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EE" w:rsidRPr="000B6EEE" w:rsidRDefault="000B6EEE" w:rsidP="00B317DA">
      <w:pPr>
        <w:pBdr>
          <w:top w:val="single" w:sz="4" w:space="1" w:color="auto"/>
        </w:pBdr>
        <w:spacing w:before="5000" w:after="400"/>
        <w:ind w:left="3456" w:right="3456"/>
        <w:jc w:val="center"/>
        <w:rPr>
          <w:b/>
          <w:sz w:val="4"/>
          <w:szCs w:val="28"/>
        </w:rPr>
      </w:pPr>
    </w:p>
    <w:p w:rsidR="00702D3D" w:rsidRPr="000B6EEE" w:rsidRDefault="00702D3D" w:rsidP="000B6EEE">
      <w:pPr>
        <w:jc w:val="center"/>
        <w:rPr>
          <w:sz w:val="36"/>
          <w:szCs w:val="36"/>
        </w:rPr>
      </w:pPr>
      <w:r w:rsidRPr="000B6EEE">
        <w:rPr>
          <w:sz w:val="36"/>
          <w:szCs w:val="36"/>
        </w:rPr>
        <w:t>REPRESENTATION.</w:t>
      </w:r>
    </w:p>
    <w:p w:rsidR="000B6EEE" w:rsidRPr="000B6EEE" w:rsidRDefault="000B6EEE" w:rsidP="00B317DA">
      <w:pPr>
        <w:pBdr>
          <w:top w:val="single" w:sz="4" w:space="1" w:color="auto"/>
        </w:pBdr>
        <w:spacing w:before="200" w:after="200"/>
        <w:ind w:left="4176" w:right="4176"/>
        <w:jc w:val="center"/>
        <w:rPr>
          <w:b/>
          <w:sz w:val="28"/>
          <w:szCs w:val="28"/>
        </w:rPr>
      </w:pPr>
    </w:p>
    <w:p w:rsidR="00702D3D" w:rsidRPr="000B6EEE" w:rsidRDefault="00702D3D" w:rsidP="000B6EEE">
      <w:pPr>
        <w:jc w:val="center"/>
        <w:rPr>
          <w:b/>
          <w:sz w:val="28"/>
          <w:szCs w:val="28"/>
        </w:rPr>
      </w:pPr>
      <w:r w:rsidRPr="000B6EEE">
        <w:rPr>
          <w:b/>
          <w:sz w:val="28"/>
          <w:szCs w:val="28"/>
        </w:rPr>
        <w:t>No. 11 of 1905.</w:t>
      </w:r>
    </w:p>
    <w:p w:rsidR="00702D3D" w:rsidRPr="006F3357" w:rsidRDefault="00702D3D" w:rsidP="000B6EEE">
      <w:pPr>
        <w:spacing w:before="300" w:after="300"/>
        <w:jc w:val="center"/>
        <w:rPr>
          <w:sz w:val="26"/>
          <w:szCs w:val="26"/>
        </w:rPr>
      </w:pPr>
      <w:r w:rsidRPr="006F3357">
        <w:rPr>
          <w:sz w:val="26"/>
          <w:szCs w:val="26"/>
        </w:rPr>
        <w:t>An Act relating to the Representation of the several States in the House of Representatives.</w:t>
      </w:r>
    </w:p>
    <w:p w:rsidR="00702D3D" w:rsidRPr="006F3357" w:rsidRDefault="00702D3D" w:rsidP="00B317DA">
      <w:pPr>
        <w:spacing w:before="120" w:after="60"/>
        <w:jc w:val="right"/>
        <w:rPr>
          <w:sz w:val="26"/>
          <w:szCs w:val="26"/>
        </w:rPr>
      </w:pPr>
      <w:r w:rsidRPr="006F3357">
        <w:rPr>
          <w:sz w:val="26"/>
          <w:szCs w:val="26"/>
        </w:rPr>
        <w:t>[Assented to 23rd November, 1905.]</w:t>
      </w:r>
    </w:p>
    <w:p w:rsidR="00702D3D" w:rsidRPr="006F3357" w:rsidRDefault="00702D3D" w:rsidP="000C2831">
      <w:pPr>
        <w:jc w:val="both"/>
      </w:pPr>
      <w:r w:rsidRPr="006F3357">
        <w:t>BE it enacted by the King</w:t>
      </w:r>
      <w:r w:rsidR="00800AA3">
        <w:t>’</w:t>
      </w:r>
      <w:r w:rsidRPr="006F3357">
        <w:t>s Most Excellent Majesty, the Senate, and the House of Representatives of the Commonwealth of Australia, as follows:—</w:t>
      </w:r>
    </w:p>
    <w:p w:rsidR="00702D3D" w:rsidRPr="000B6EEE" w:rsidRDefault="000B6EEE" w:rsidP="000C2831">
      <w:pPr>
        <w:spacing w:before="120" w:after="60"/>
        <w:jc w:val="both"/>
        <w:rPr>
          <w:b/>
          <w:sz w:val="20"/>
        </w:rPr>
      </w:pPr>
      <w:r>
        <w:rPr>
          <w:b/>
          <w:sz w:val="20"/>
        </w:rPr>
        <w:t>Short</w:t>
      </w:r>
      <w:r w:rsidR="00B317DA">
        <w:rPr>
          <w:b/>
          <w:sz w:val="20"/>
        </w:rPr>
        <w:t xml:space="preserve"> </w:t>
      </w:r>
      <w:r w:rsidR="00702D3D" w:rsidRPr="000B6EEE">
        <w:rPr>
          <w:b/>
          <w:sz w:val="20"/>
        </w:rPr>
        <w:t>title.</w:t>
      </w:r>
    </w:p>
    <w:p w:rsidR="00702D3D" w:rsidRPr="000B6EEE" w:rsidRDefault="00DF7BE1" w:rsidP="000C2831">
      <w:pPr>
        <w:tabs>
          <w:tab w:val="left" w:pos="207"/>
          <w:tab w:val="left" w:pos="612"/>
        </w:tabs>
        <w:ind w:firstLine="288"/>
        <w:jc w:val="both"/>
        <w:rPr>
          <w:sz w:val="22"/>
        </w:rPr>
      </w:pPr>
      <w:r w:rsidRPr="00DF7BE1">
        <w:rPr>
          <w:b/>
          <w:sz w:val="22"/>
        </w:rPr>
        <w:t>1.</w:t>
      </w:r>
      <w:r>
        <w:rPr>
          <w:sz w:val="22"/>
        </w:rPr>
        <w:tab/>
      </w:r>
      <w:r w:rsidR="00702D3D" w:rsidRPr="000B6EEE">
        <w:rPr>
          <w:sz w:val="22"/>
        </w:rPr>
        <w:t xml:space="preserve">This Act may be cited as the </w:t>
      </w:r>
      <w:r w:rsidR="00702D3D" w:rsidRPr="000B6EEE">
        <w:rPr>
          <w:i/>
          <w:sz w:val="22"/>
        </w:rPr>
        <w:t xml:space="preserve">Representation Act </w:t>
      </w:r>
      <w:r w:rsidR="00702D3D" w:rsidRPr="000B6EEE">
        <w:rPr>
          <w:sz w:val="22"/>
        </w:rPr>
        <w:t>1905.</w:t>
      </w:r>
    </w:p>
    <w:p w:rsidR="00702D3D" w:rsidRPr="000B6EEE" w:rsidRDefault="00702D3D" w:rsidP="000C2831">
      <w:pPr>
        <w:spacing w:before="120" w:after="60"/>
        <w:jc w:val="both"/>
        <w:rPr>
          <w:b/>
          <w:sz w:val="20"/>
        </w:rPr>
      </w:pPr>
      <w:r w:rsidRPr="000B6EEE">
        <w:rPr>
          <w:b/>
          <w:sz w:val="20"/>
        </w:rPr>
        <w:t>Inquiry as to population of the several States.</w:t>
      </w:r>
    </w:p>
    <w:p w:rsidR="00702D3D" w:rsidRPr="000B6EEE" w:rsidRDefault="00702D3D" w:rsidP="000C2831">
      <w:pPr>
        <w:tabs>
          <w:tab w:val="left" w:pos="207"/>
          <w:tab w:val="left" w:pos="612"/>
        </w:tabs>
        <w:ind w:firstLine="288"/>
        <w:jc w:val="both"/>
        <w:rPr>
          <w:sz w:val="22"/>
        </w:rPr>
      </w:pPr>
      <w:r w:rsidRPr="000B6EEE">
        <w:rPr>
          <w:b/>
          <w:sz w:val="22"/>
        </w:rPr>
        <w:t>2.</w:t>
      </w:r>
      <w:r w:rsidR="000B6EEE" w:rsidRPr="000B6EEE">
        <w:rPr>
          <w:sz w:val="22"/>
        </w:rPr>
        <w:tab/>
      </w:r>
      <w:r w:rsidRPr="000B6EEE">
        <w:rPr>
          <w:sz w:val="22"/>
        </w:rPr>
        <w:t>For the purpose of determining the number of Members of the House of Representatives to be chosen from time to time in the several States, the Chief Electoral Officer of the Commonwealth shall at the times and in the manner prescribed by this Act ascertain the numbers of the people of the Commonwealth, and the numbers of the people of the several States.</w:t>
      </w:r>
    </w:p>
    <w:p w:rsidR="00702D3D" w:rsidRPr="000B6EEE" w:rsidRDefault="000B6EEE" w:rsidP="000B6EEE">
      <w:pPr>
        <w:rPr>
          <w:sz w:val="22"/>
        </w:rPr>
      </w:pPr>
      <w:r w:rsidRPr="000B6EEE">
        <w:rPr>
          <w:sz w:val="22"/>
        </w:rPr>
        <w:br w:type="page"/>
      </w:r>
    </w:p>
    <w:p w:rsidR="00702D3D" w:rsidRPr="000B6EEE" w:rsidRDefault="00702D3D" w:rsidP="000C2831">
      <w:pPr>
        <w:spacing w:before="120" w:after="60"/>
        <w:jc w:val="both"/>
        <w:rPr>
          <w:b/>
          <w:sz w:val="20"/>
        </w:rPr>
      </w:pPr>
      <w:r w:rsidRPr="000B6EEE">
        <w:rPr>
          <w:b/>
          <w:sz w:val="20"/>
        </w:rPr>
        <w:lastRenderedPageBreak/>
        <w:t>Appointment of Enumeration Day.</w:t>
      </w:r>
    </w:p>
    <w:p w:rsidR="00702D3D" w:rsidRPr="000B6EEE" w:rsidRDefault="00702D3D" w:rsidP="000C2831">
      <w:pPr>
        <w:tabs>
          <w:tab w:val="left" w:pos="756"/>
          <w:tab w:val="left" w:pos="1170"/>
        </w:tabs>
        <w:spacing w:after="120"/>
        <w:ind w:firstLine="288"/>
        <w:jc w:val="both"/>
        <w:rPr>
          <w:sz w:val="22"/>
        </w:rPr>
      </w:pPr>
      <w:r w:rsidRPr="000B6EEE">
        <w:rPr>
          <w:b/>
          <w:sz w:val="22"/>
        </w:rPr>
        <w:t>3.</w:t>
      </w:r>
      <w:r w:rsidR="00D32AC9">
        <w:rPr>
          <w:sz w:val="22"/>
        </w:rPr>
        <w:t>—(1.)</w:t>
      </w:r>
      <w:r w:rsidR="00D32AC9">
        <w:rPr>
          <w:sz w:val="22"/>
        </w:rPr>
        <w:tab/>
      </w:r>
      <w:r w:rsidRPr="000B6EEE">
        <w:rPr>
          <w:sz w:val="22"/>
        </w:rPr>
        <w:t>The day on which any census of the people of the Commonwealth is taken shall be an Enumeration Day within the meaning of this Act.</w:t>
      </w:r>
    </w:p>
    <w:p w:rsidR="00702D3D" w:rsidRPr="000B6EEE" w:rsidRDefault="006C7387" w:rsidP="000C2831">
      <w:pPr>
        <w:tabs>
          <w:tab w:val="left" w:pos="756"/>
          <w:tab w:val="left" w:pos="1170"/>
        </w:tabs>
        <w:ind w:firstLine="288"/>
        <w:jc w:val="both"/>
        <w:rPr>
          <w:sz w:val="22"/>
        </w:rPr>
      </w:pPr>
      <w:r>
        <w:rPr>
          <w:sz w:val="22"/>
        </w:rPr>
        <w:t>(2.)</w:t>
      </w:r>
      <w:r w:rsidR="00074938">
        <w:rPr>
          <w:sz w:val="22"/>
        </w:rPr>
        <w:tab/>
      </w:r>
      <w:r w:rsidR="00702D3D" w:rsidRPr="000B6EEE">
        <w:rPr>
          <w:sz w:val="22"/>
        </w:rPr>
        <w:t>The Chief Electoral Officer shall appoint other Enumeration Days as follows:—</w:t>
      </w:r>
    </w:p>
    <w:p w:rsidR="00702D3D" w:rsidRPr="000B6EEE" w:rsidRDefault="00702D3D" w:rsidP="000C2831">
      <w:pPr>
        <w:tabs>
          <w:tab w:val="left" w:pos="909"/>
        </w:tabs>
        <w:ind w:left="1296" w:hanging="576"/>
        <w:jc w:val="both"/>
        <w:rPr>
          <w:sz w:val="22"/>
        </w:rPr>
      </w:pPr>
      <w:r w:rsidRPr="000B6EEE">
        <w:rPr>
          <w:sz w:val="22"/>
        </w:rPr>
        <w:t>(</w:t>
      </w:r>
      <w:r w:rsidRPr="000B6EEE">
        <w:rPr>
          <w:i/>
          <w:sz w:val="22"/>
        </w:rPr>
        <w:t>a</w:t>
      </w:r>
      <w:r w:rsidR="000B6EEE" w:rsidRPr="000B6EEE">
        <w:rPr>
          <w:sz w:val="22"/>
        </w:rPr>
        <w:t>)</w:t>
      </w:r>
      <w:r w:rsidR="006C7387">
        <w:rPr>
          <w:sz w:val="22"/>
        </w:rPr>
        <w:t xml:space="preserve"> </w:t>
      </w:r>
      <w:r w:rsidRPr="000B6EEE">
        <w:rPr>
          <w:sz w:val="22"/>
        </w:rPr>
        <w:t>The first Enumeration Day shall be appointed as soon as practicable after the commencement of this Act;</w:t>
      </w:r>
    </w:p>
    <w:p w:rsidR="00702D3D" w:rsidRPr="000B6EEE" w:rsidRDefault="00702D3D" w:rsidP="000C2831">
      <w:pPr>
        <w:tabs>
          <w:tab w:val="left" w:pos="909"/>
        </w:tabs>
        <w:ind w:left="1296" w:hanging="576"/>
        <w:jc w:val="both"/>
        <w:rPr>
          <w:sz w:val="22"/>
        </w:rPr>
      </w:pPr>
      <w:r w:rsidRPr="000B6EEE">
        <w:rPr>
          <w:sz w:val="22"/>
        </w:rPr>
        <w:t>(</w:t>
      </w:r>
      <w:r w:rsidRPr="000B6EEE">
        <w:rPr>
          <w:i/>
          <w:sz w:val="22"/>
        </w:rPr>
        <w:t>b</w:t>
      </w:r>
      <w:r w:rsidR="000B6EEE" w:rsidRPr="000B6EEE">
        <w:rPr>
          <w:sz w:val="22"/>
        </w:rPr>
        <w:t>)</w:t>
      </w:r>
      <w:r w:rsidR="006C7387">
        <w:rPr>
          <w:sz w:val="22"/>
        </w:rPr>
        <w:t xml:space="preserve"> </w:t>
      </w:r>
      <w:r w:rsidRPr="000B6EEE">
        <w:rPr>
          <w:sz w:val="22"/>
        </w:rPr>
        <w:t>After the first census taken after the commencement of this Act, an Enumeration Day shall be appointed at the expiration of every fifth year after the then last preceding Enumeration Day.</w:t>
      </w:r>
    </w:p>
    <w:p w:rsidR="00702D3D" w:rsidRPr="000B6EEE" w:rsidRDefault="00702D3D" w:rsidP="000C2831">
      <w:pPr>
        <w:spacing w:before="120" w:after="60"/>
        <w:jc w:val="both"/>
        <w:rPr>
          <w:b/>
          <w:sz w:val="20"/>
        </w:rPr>
      </w:pPr>
      <w:r w:rsidRPr="000B6EEE">
        <w:rPr>
          <w:b/>
          <w:sz w:val="20"/>
        </w:rPr>
        <w:t>Ascertainment of number of people of the Commonwealth and the States.</w:t>
      </w:r>
    </w:p>
    <w:p w:rsidR="00702D3D" w:rsidRPr="000B6EEE" w:rsidRDefault="00702D3D" w:rsidP="000C2831">
      <w:pPr>
        <w:tabs>
          <w:tab w:val="left" w:pos="756"/>
          <w:tab w:val="left" w:pos="1170"/>
        </w:tabs>
        <w:spacing w:after="120"/>
        <w:ind w:firstLine="288"/>
        <w:jc w:val="both"/>
        <w:rPr>
          <w:sz w:val="22"/>
        </w:rPr>
      </w:pPr>
      <w:r w:rsidRPr="000B6EEE">
        <w:rPr>
          <w:b/>
          <w:sz w:val="22"/>
        </w:rPr>
        <w:t>4.</w:t>
      </w:r>
      <w:r w:rsidRPr="000B6EEE">
        <w:rPr>
          <w:sz w:val="22"/>
        </w:rPr>
        <w:t>—</w:t>
      </w:r>
      <w:r w:rsidR="006C7387">
        <w:rPr>
          <w:sz w:val="22"/>
        </w:rPr>
        <w:t>(1.)</w:t>
      </w:r>
      <w:r w:rsidR="006C7387">
        <w:rPr>
          <w:sz w:val="22"/>
        </w:rPr>
        <w:tab/>
      </w:r>
      <w:r w:rsidRPr="000B6EEE">
        <w:rPr>
          <w:sz w:val="22"/>
        </w:rPr>
        <w:t>The numbers of the people shall be ascertained as on Enumeration Day in accordance with the following provisions:—</w:t>
      </w:r>
    </w:p>
    <w:p w:rsidR="00702D3D" w:rsidRPr="000B6EEE" w:rsidRDefault="00702D3D" w:rsidP="000C2831">
      <w:pPr>
        <w:tabs>
          <w:tab w:val="left" w:pos="1026"/>
        </w:tabs>
        <w:ind w:left="1296" w:hanging="720"/>
        <w:jc w:val="both"/>
        <w:rPr>
          <w:sz w:val="22"/>
        </w:rPr>
      </w:pPr>
      <w:r w:rsidRPr="000B6EEE">
        <w:rPr>
          <w:sz w:val="22"/>
        </w:rPr>
        <w:t>(</w:t>
      </w:r>
      <w:r w:rsidRPr="000B6EEE">
        <w:rPr>
          <w:i/>
          <w:sz w:val="22"/>
        </w:rPr>
        <w:t>a</w:t>
      </w:r>
      <w:r w:rsidR="006C7387">
        <w:rPr>
          <w:sz w:val="22"/>
        </w:rPr>
        <w:t xml:space="preserve">) </w:t>
      </w:r>
      <w:r w:rsidRPr="000B6EEE">
        <w:rPr>
          <w:sz w:val="22"/>
        </w:rPr>
        <w:t>The numbers of the people of each State, as shown by the census, shall be taken.</w:t>
      </w:r>
    </w:p>
    <w:p w:rsidR="00702D3D" w:rsidRPr="000B6EEE" w:rsidRDefault="00702D3D" w:rsidP="000C2831">
      <w:pPr>
        <w:tabs>
          <w:tab w:val="left" w:pos="1026"/>
        </w:tabs>
        <w:ind w:left="1296" w:hanging="720"/>
        <w:jc w:val="both"/>
        <w:rPr>
          <w:sz w:val="22"/>
        </w:rPr>
      </w:pPr>
      <w:r w:rsidRPr="000B6EEE">
        <w:rPr>
          <w:sz w:val="22"/>
        </w:rPr>
        <w:t>(</w:t>
      </w:r>
      <w:r w:rsidRPr="000B6EEE">
        <w:rPr>
          <w:i/>
          <w:sz w:val="22"/>
        </w:rPr>
        <w:t>b</w:t>
      </w:r>
      <w:r w:rsidR="000B6EEE" w:rsidRPr="000B6EEE">
        <w:rPr>
          <w:sz w:val="22"/>
        </w:rPr>
        <w:t>)</w:t>
      </w:r>
      <w:r w:rsidR="006C7387" w:rsidRPr="000B6EEE">
        <w:rPr>
          <w:sz w:val="22"/>
        </w:rPr>
        <w:t xml:space="preserve"> </w:t>
      </w:r>
      <w:r w:rsidRPr="000B6EEE">
        <w:rPr>
          <w:sz w:val="22"/>
        </w:rPr>
        <w:t>In the case of an Enumeration Day not being a census day, allowances shall then be made, as prescribed in Schedule A or by the regulations, by adding the increases and deducting the decreases in those numbers arising from births, deaths, arrivals, and departures during the period from the last census day.</w:t>
      </w:r>
    </w:p>
    <w:p w:rsidR="00702D3D" w:rsidRPr="000B6EEE" w:rsidRDefault="00702D3D" w:rsidP="000C2831">
      <w:pPr>
        <w:tabs>
          <w:tab w:val="left" w:pos="1026"/>
        </w:tabs>
        <w:spacing w:after="60"/>
        <w:ind w:left="1296" w:hanging="720"/>
        <w:jc w:val="both"/>
        <w:rPr>
          <w:sz w:val="22"/>
        </w:rPr>
      </w:pPr>
      <w:r w:rsidRPr="000B6EEE">
        <w:rPr>
          <w:sz w:val="22"/>
        </w:rPr>
        <w:t>(</w:t>
      </w:r>
      <w:r w:rsidRPr="000B6EEE">
        <w:rPr>
          <w:i/>
          <w:sz w:val="22"/>
        </w:rPr>
        <w:t>c</w:t>
      </w:r>
      <w:r w:rsidR="000B6EEE" w:rsidRPr="000B6EEE">
        <w:rPr>
          <w:sz w:val="22"/>
        </w:rPr>
        <w:t>)</w:t>
      </w:r>
      <w:r w:rsidR="006C7387" w:rsidRPr="000B6EEE">
        <w:rPr>
          <w:sz w:val="22"/>
        </w:rPr>
        <w:t xml:space="preserve"> </w:t>
      </w:r>
      <w:r w:rsidRPr="000B6EEE">
        <w:rPr>
          <w:sz w:val="22"/>
        </w:rPr>
        <w:t>There shall be excluded from the reckoning the number of persons who, by section twenty-five or section one hundred and twenty-seven of the Constitution, are required not to be counted.</w:t>
      </w:r>
    </w:p>
    <w:p w:rsidR="00702D3D" w:rsidRPr="000B6EEE" w:rsidRDefault="006C7387" w:rsidP="000C2831">
      <w:pPr>
        <w:tabs>
          <w:tab w:val="left" w:pos="756"/>
          <w:tab w:val="left" w:pos="1170"/>
        </w:tabs>
        <w:ind w:firstLine="288"/>
        <w:jc w:val="both"/>
        <w:rPr>
          <w:sz w:val="22"/>
        </w:rPr>
      </w:pPr>
      <w:r>
        <w:rPr>
          <w:sz w:val="22"/>
        </w:rPr>
        <w:t>(2.)</w:t>
      </w:r>
      <w:r w:rsidR="00074938">
        <w:rPr>
          <w:sz w:val="22"/>
        </w:rPr>
        <w:tab/>
      </w:r>
      <w:r w:rsidR="00702D3D" w:rsidRPr="000B6EEE">
        <w:rPr>
          <w:sz w:val="22"/>
        </w:rPr>
        <w:t>Until the census is taken pursuant to any law of the Commonwealth, the census taken pursuant to the law of any State shall, as regards that State, be the census for the purposes of this section.</w:t>
      </w:r>
    </w:p>
    <w:p w:rsidR="00702D3D" w:rsidRPr="000B6EEE" w:rsidRDefault="000B6EEE" w:rsidP="000C2831">
      <w:pPr>
        <w:tabs>
          <w:tab w:val="left" w:pos="756"/>
          <w:tab w:val="left" w:pos="1170"/>
        </w:tabs>
        <w:ind w:firstLine="288"/>
        <w:jc w:val="both"/>
        <w:rPr>
          <w:sz w:val="22"/>
        </w:rPr>
      </w:pPr>
      <w:r w:rsidRPr="000B6EEE">
        <w:rPr>
          <w:sz w:val="22"/>
        </w:rPr>
        <w:t>(3.)</w:t>
      </w:r>
      <w:r w:rsidR="00074938">
        <w:rPr>
          <w:sz w:val="22"/>
        </w:rPr>
        <w:tab/>
      </w:r>
      <w:r w:rsidR="00702D3D" w:rsidRPr="000B6EEE">
        <w:rPr>
          <w:sz w:val="22"/>
        </w:rPr>
        <w:t>Until otherwise prescribed, the quarter days shall be the thirty-first of March, thirtieth of June, thirtieth of September, and thirty-first of December.</w:t>
      </w:r>
    </w:p>
    <w:p w:rsidR="00702D3D" w:rsidRPr="000B6EEE" w:rsidRDefault="00702D3D" w:rsidP="000C2831">
      <w:pPr>
        <w:spacing w:before="120" w:after="60"/>
        <w:jc w:val="both"/>
        <w:rPr>
          <w:b/>
          <w:sz w:val="20"/>
        </w:rPr>
      </w:pPr>
      <w:r w:rsidRPr="000B6EEE">
        <w:rPr>
          <w:b/>
          <w:sz w:val="20"/>
        </w:rPr>
        <w:t>Statistical information to b</w:t>
      </w:r>
      <w:r w:rsidR="00074938">
        <w:rPr>
          <w:b/>
          <w:sz w:val="20"/>
        </w:rPr>
        <w:t>e</w:t>
      </w:r>
      <w:r w:rsidRPr="000B6EEE">
        <w:rPr>
          <w:b/>
          <w:sz w:val="20"/>
        </w:rPr>
        <w:t xml:space="preserve"> furnished.</w:t>
      </w:r>
    </w:p>
    <w:p w:rsidR="00702D3D" w:rsidRPr="000B6EEE" w:rsidRDefault="00702D3D" w:rsidP="000C2831">
      <w:pPr>
        <w:tabs>
          <w:tab w:val="left" w:pos="207"/>
          <w:tab w:val="left" w:pos="612"/>
        </w:tabs>
        <w:ind w:firstLine="288"/>
        <w:jc w:val="both"/>
        <w:rPr>
          <w:sz w:val="22"/>
        </w:rPr>
      </w:pPr>
      <w:r w:rsidRPr="000B6EEE">
        <w:rPr>
          <w:b/>
          <w:sz w:val="22"/>
        </w:rPr>
        <w:t>5.</w:t>
      </w:r>
      <w:r w:rsidR="000B6EEE" w:rsidRPr="000B6EEE">
        <w:rPr>
          <w:sz w:val="22"/>
        </w:rPr>
        <w:tab/>
      </w:r>
      <w:r w:rsidRPr="000B6EEE">
        <w:rPr>
          <w:sz w:val="22"/>
        </w:rPr>
        <w:t>All Statistical Officers of the Commonwealth and of the several States are hereby authorized and required to furnish to the Chief Electoral Officer all such statistical information as he requires to enable him to ascertain the numbers of the people in accordance with this Act.</w:t>
      </w:r>
    </w:p>
    <w:p w:rsidR="00702D3D" w:rsidRPr="000B6EEE" w:rsidRDefault="00702D3D" w:rsidP="000C2831">
      <w:pPr>
        <w:spacing w:before="120" w:after="60"/>
        <w:jc w:val="both"/>
        <w:rPr>
          <w:b/>
          <w:sz w:val="20"/>
        </w:rPr>
      </w:pPr>
      <w:r w:rsidRPr="000B6EEE">
        <w:rPr>
          <w:b/>
          <w:sz w:val="20"/>
        </w:rPr>
        <w:t>Certificate of Chief Electoral Officer.</w:t>
      </w:r>
    </w:p>
    <w:p w:rsidR="00702D3D" w:rsidRPr="000B6EEE" w:rsidRDefault="00702D3D" w:rsidP="000C2831">
      <w:pPr>
        <w:tabs>
          <w:tab w:val="left" w:pos="207"/>
          <w:tab w:val="left" w:pos="612"/>
        </w:tabs>
        <w:ind w:firstLine="288"/>
        <w:jc w:val="both"/>
        <w:rPr>
          <w:sz w:val="22"/>
        </w:rPr>
      </w:pPr>
      <w:r w:rsidRPr="000B6EEE">
        <w:rPr>
          <w:b/>
          <w:sz w:val="22"/>
        </w:rPr>
        <w:t>6.</w:t>
      </w:r>
      <w:r w:rsidR="000B6EEE" w:rsidRPr="000B6EEE">
        <w:rPr>
          <w:sz w:val="22"/>
        </w:rPr>
        <w:tab/>
      </w:r>
      <w:r w:rsidRPr="000B6EEE">
        <w:rPr>
          <w:sz w:val="22"/>
        </w:rPr>
        <w:t>The Chief Electoral Officer shall forthwith, after he has ascertained the numbers of the people in accordance with this Act, make and forward to the Minister a certificate, in accordance with the form prescribed in Schedule B or by the regulations, setting forth the numbers of the people of the Commonwealth and of the several States as on Enumeration Day.</w:t>
      </w:r>
    </w:p>
    <w:p w:rsidR="00702D3D" w:rsidRPr="000B6EEE" w:rsidRDefault="00702D3D" w:rsidP="000C2831">
      <w:pPr>
        <w:spacing w:before="120" w:after="60"/>
        <w:jc w:val="both"/>
        <w:rPr>
          <w:b/>
          <w:sz w:val="20"/>
        </w:rPr>
      </w:pPr>
      <w:r w:rsidRPr="000B6EEE">
        <w:rPr>
          <w:b/>
          <w:sz w:val="20"/>
        </w:rPr>
        <w:t>Gazettal of certificate.</w:t>
      </w:r>
    </w:p>
    <w:p w:rsidR="00702D3D" w:rsidRPr="000B6EEE" w:rsidRDefault="00702D3D" w:rsidP="000C2831">
      <w:pPr>
        <w:tabs>
          <w:tab w:val="left" w:pos="207"/>
          <w:tab w:val="left" w:pos="612"/>
        </w:tabs>
        <w:ind w:firstLine="288"/>
        <w:jc w:val="both"/>
        <w:rPr>
          <w:sz w:val="22"/>
        </w:rPr>
      </w:pPr>
      <w:r w:rsidRPr="000B6EEE">
        <w:rPr>
          <w:b/>
          <w:sz w:val="22"/>
        </w:rPr>
        <w:t>7.</w:t>
      </w:r>
      <w:r w:rsidR="000B6EEE" w:rsidRPr="000B6EEE">
        <w:rPr>
          <w:sz w:val="22"/>
        </w:rPr>
        <w:tab/>
      </w:r>
      <w:r w:rsidRPr="000B6EEE">
        <w:rPr>
          <w:sz w:val="22"/>
        </w:rPr>
        <w:t xml:space="preserve">A copy of the certificate of the Chief Electoral Officer shall forthwith be published in the </w:t>
      </w:r>
      <w:r w:rsidRPr="000B6EEE">
        <w:rPr>
          <w:i/>
          <w:sz w:val="22"/>
        </w:rPr>
        <w:t xml:space="preserve">Gazette; </w:t>
      </w:r>
      <w:r w:rsidRPr="000B6EEE">
        <w:rPr>
          <w:sz w:val="22"/>
        </w:rPr>
        <w:t>and copies of the certificate shall forthwith be laid before both Houses of the Parliament, if the Parliament is then sitting, and if not then within thirty days after the next meeting of the Parliament.</w:t>
      </w:r>
    </w:p>
    <w:p w:rsidR="00702D3D" w:rsidRPr="000B6EEE" w:rsidRDefault="00995CEA" w:rsidP="000C2831">
      <w:pPr>
        <w:spacing w:before="120" w:after="60"/>
        <w:jc w:val="both"/>
        <w:rPr>
          <w:b/>
          <w:sz w:val="20"/>
        </w:rPr>
      </w:pPr>
      <w:r>
        <w:rPr>
          <w:sz w:val="22"/>
        </w:rPr>
        <w:br w:type="page"/>
      </w:r>
      <w:r w:rsidR="00702D3D" w:rsidRPr="000B6EEE">
        <w:rPr>
          <w:b/>
          <w:sz w:val="20"/>
        </w:rPr>
        <w:lastRenderedPageBreak/>
        <w:t>Effect of certificate.</w:t>
      </w:r>
    </w:p>
    <w:p w:rsidR="00702D3D" w:rsidRPr="000B6EEE" w:rsidRDefault="00702D3D" w:rsidP="000C2831">
      <w:pPr>
        <w:tabs>
          <w:tab w:val="left" w:pos="207"/>
          <w:tab w:val="left" w:pos="612"/>
        </w:tabs>
        <w:ind w:firstLine="288"/>
        <w:jc w:val="both"/>
        <w:rPr>
          <w:sz w:val="22"/>
        </w:rPr>
      </w:pPr>
      <w:r w:rsidRPr="000B6EEE">
        <w:rPr>
          <w:b/>
          <w:sz w:val="22"/>
        </w:rPr>
        <w:t>8.</w:t>
      </w:r>
      <w:r w:rsidR="000B6EEE" w:rsidRPr="000B6EEE">
        <w:rPr>
          <w:sz w:val="22"/>
        </w:rPr>
        <w:tab/>
      </w:r>
      <w:r w:rsidRPr="000B6EEE">
        <w:rPr>
          <w:sz w:val="22"/>
        </w:rPr>
        <w:t>The certificate of the Chief Electoral Officer shall, for the purposes of this Act, be evidence of the numbers of the people of the Commonwealth and of the several States, and shall remain in force until superseded by the making of another certificate in accordance with this Act.</w:t>
      </w:r>
    </w:p>
    <w:p w:rsidR="00702D3D" w:rsidRPr="000B6EEE" w:rsidRDefault="00702D3D" w:rsidP="000C2831">
      <w:pPr>
        <w:spacing w:before="120" w:after="60"/>
        <w:jc w:val="both"/>
        <w:rPr>
          <w:b/>
          <w:sz w:val="20"/>
        </w:rPr>
      </w:pPr>
      <w:r w:rsidRPr="000B6EEE">
        <w:rPr>
          <w:b/>
          <w:sz w:val="20"/>
        </w:rPr>
        <w:t>Determination of number of Members of House of Representatives.</w:t>
      </w:r>
    </w:p>
    <w:p w:rsidR="00702D3D" w:rsidRPr="000B6EEE" w:rsidRDefault="00702D3D" w:rsidP="000C2831">
      <w:pPr>
        <w:tabs>
          <w:tab w:val="left" w:pos="207"/>
          <w:tab w:val="left" w:pos="612"/>
        </w:tabs>
        <w:ind w:firstLine="288"/>
        <w:jc w:val="both"/>
        <w:rPr>
          <w:sz w:val="22"/>
        </w:rPr>
      </w:pPr>
      <w:r w:rsidRPr="000B6EEE">
        <w:rPr>
          <w:b/>
          <w:sz w:val="22"/>
        </w:rPr>
        <w:t>9.</w:t>
      </w:r>
      <w:r w:rsidR="000B6EEE" w:rsidRPr="000B6EEE">
        <w:rPr>
          <w:sz w:val="22"/>
        </w:rPr>
        <w:tab/>
      </w:r>
      <w:r w:rsidRPr="000B6EEE">
        <w:rPr>
          <w:sz w:val="22"/>
        </w:rPr>
        <w:t>The Chief Electoral Officer shall, immediately after the issue of the foregoing certificate, determine the number of Members of the House of Representatives to be chosen in the several States in the manner hereinafter mentioned.</w:t>
      </w:r>
    </w:p>
    <w:p w:rsidR="00702D3D" w:rsidRPr="000B6EEE" w:rsidRDefault="00702D3D" w:rsidP="000C2831">
      <w:pPr>
        <w:spacing w:before="120" w:after="60"/>
        <w:jc w:val="both"/>
        <w:rPr>
          <w:b/>
          <w:sz w:val="20"/>
        </w:rPr>
      </w:pPr>
      <w:r w:rsidRPr="000B6EEE">
        <w:rPr>
          <w:b/>
          <w:sz w:val="20"/>
        </w:rPr>
        <w:t>Determination of representation of the States.</w:t>
      </w:r>
    </w:p>
    <w:p w:rsidR="00702D3D" w:rsidRPr="000B6EEE" w:rsidRDefault="00702D3D" w:rsidP="000C2831">
      <w:pPr>
        <w:tabs>
          <w:tab w:val="left" w:pos="207"/>
          <w:tab w:val="left" w:pos="720"/>
        </w:tabs>
        <w:ind w:firstLine="288"/>
        <w:jc w:val="both"/>
        <w:rPr>
          <w:sz w:val="22"/>
        </w:rPr>
      </w:pPr>
      <w:r w:rsidRPr="000B6EEE">
        <w:rPr>
          <w:b/>
          <w:sz w:val="22"/>
        </w:rPr>
        <w:t>10.</w:t>
      </w:r>
      <w:r w:rsidR="000B6EEE" w:rsidRPr="000B6EEE">
        <w:rPr>
          <w:sz w:val="22"/>
        </w:rPr>
        <w:tab/>
      </w:r>
      <w:r w:rsidRPr="000B6EEE">
        <w:rPr>
          <w:sz w:val="22"/>
        </w:rPr>
        <w:t>For the purpose of determining the number of Members of the House of Representatives to be chosen in the several States, the following procedure shall be followed:—</w:t>
      </w:r>
    </w:p>
    <w:p w:rsidR="00702D3D" w:rsidRPr="000B6EEE" w:rsidRDefault="00702D3D" w:rsidP="000C2831">
      <w:pPr>
        <w:tabs>
          <w:tab w:val="left" w:pos="1026"/>
        </w:tabs>
        <w:ind w:left="1296" w:hanging="720"/>
        <w:jc w:val="both"/>
        <w:rPr>
          <w:sz w:val="22"/>
        </w:rPr>
      </w:pPr>
      <w:r w:rsidRPr="000B6EEE">
        <w:rPr>
          <w:sz w:val="22"/>
        </w:rPr>
        <w:t>(</w:t>
      </w:r>
      <w:r w:rsidRPr="000B6EEE">
        <w:rPr>
          <w:i/>
          <w:sz w:val="22"/>
        </w:rPr>
        <w:t>a</w:t>
      </w:r>
      <w:r w:rsidR="00EA228A">
        <w:rPr>
          <w:sz w:val="22"/>
        </w:rPr>
        <w:t xml:space="preserve">) </w:t>
      </w:r>
      <w:r w:rsidRPr="000B6EEE">
        <w:rPr>
          <w:sz w:val="22"/>
        </w:rPr>
        <w:t>A quota shall be ascertained by dividing the number of people of the Commonwealth, as shown by the certificate (for the time being in force) of the Chief Electoral Officer, by twice the number of Senators.</w:t>
      </w:r>
    </w:p>
    <w:p w:rsidR="00702D3D" w:rsidRPr="000B6EEE" w:rsidRDefault="00702D3D" w:rsidP="000C2831">
      <w:pPr>
        <w:tabs>
          <w:tab w:val="left" w:pos="1026"/>
        </w:tabs>
        <w:ind w:left="1296" w:hanging="720"/>
        <w:jc w:val="both"/>
        <w:rPr>
          <w:sz w:val="22"/>
        </w:rPr>
      </w:pPr>
      <w:r w:rsidRPr="000B6EEE">
        <w:rPr>
          <w:sz w:val="22"/>
        </w:rPr>
        <w:t>(</w:t>
      </w:r>
      <w:r w:rsidRPr="000B6EEE">
        <w:rPr>
          <w:i/>
          <w:sz w:val="22"/>
        </w:rPr>
        <w:t>b</w:t>
      </w:r>
      <w:r w:rsidR="00EA228A">
        <w:rPr>
          <w:sz w:val="22"/>
        </w:rPr>
        <w:t xml:space="preserve">) </w:t>
      </w:r>
      <w:r w:rsidRPr="000B6EEE">
        <w:rPr>
          <w:sz w:val="22"/>
        </w:rPr>
        <w:t>The number of Members to be chosen in each State shall, subject to the Constitution, be determined by dividing the number of the people of the State, as shown by the certificate (for the time being in force) of the Chief Electoral Officer, by the quota; and if on such division there is a remainder greater than one-half of the quota, one more Member shall be chosen in the State.</w:t>
      </w:r>
    </w:p>
    <w:p w:rsidR="00702D3D" w:rsidRPr="000B6EEE" w:rsidRDefault="00702D3D" w:rsidP="000C2831">
      <w:pPr>
        <w:spacing w:before="120" w:after="60"/>
        <w:jc w:val="both"/>
        <w:rPr>
          <w:b/>
          <w:sz w:val="20"/>
        </w:rPr>
      </w:pPr>
      <w:r w:rsidRPr="000B6EEE">
        <w:rPr>
          <w:b/>
          <w:sz w:val="20"/>
        </w:rPr>
        <w:t>Notification setting forth number of Members of House of Representatives.</w:t>
      </w:r>
    </w:p>
    <w:p w:rsidR="00702D3D" w:rsidRPr="000B6EEE" w:rsidRDefault="00702D3D" w:rsidP="000C2831">
      <w:pPr>
        <w:tabs>
          <w:tab w:val="left" w:pos="207"/>
          <w:tab w:val="left" w:pos="720"/>
        </w:tabs>
        <w:ind w:firstLine="288"/>
        <w:jc w:val="both"/>
        <w:rPr>
          <w:sz w:val="22"/>
        </w:rPr>
      </w:pPr>
      <w:r w:rsidRPr="000B6EEE">
        <w:rPr>
          <w:b/>
          <w:sz w:val="22"/>
        </w:rPr>
        <w:t>11.</w:t>
      </w:r>
      <w:r w:rsidR="000B6EEE" w:rsidRPr="000B6EEE">
        <w:rPr>
          <w:sz w:val="22"/>
        </w:rPr>
        <w:tab/>
      </w:r>
      <w:r w:rsidRPr="000B6EEE">
        <w:rPr>
          <w:sz w:val="22"/>
        </w:rPr>
        <w:t>The Chief Electoral Officer shall forthwith, after he has determined the number of Members of the House of Representatives to be chosen in the several States in accordance with this Act, make and forward to the Minister a notification setting forth the number of Members of the House of Representatives to be chosen in the several States.</w:t>
      </w:r>
    </w:p>
    <w:p w:rsidR="00702D3D" w:rsidRPr="000B6EEE" w:rsidRDefault="00702D3D" w:rsidP="000C2831">
      <w:pPr>
        <w:spacing w:before="120" w:after="60"/>
        <w:jc w:val="both"/>
        <w:rPr>
          <w:b/>
          <w:sz w:val="20"/>
        </w:rPr>
      </w:pPr>
      <w:r w:rsidRPr="000B6EEE">
        <w:rPr>
          <w:b/>
          <w:sz w:val="20"/>
        </w:rPr>
        <w:t>Certificate not to affect certain elections.</w:t>
      </w:r>
    </w:p>
    <w:p w:rsidR="00702D3D" w:rsidRPr="000B6EEE" w:rsidRDefault="00702D3D" w:rsidP="000C2831">
      <w:pPr>
        <w:tabs>
          <w:tab w:val="left" w:pos="207"/>
          <w:tab w:val="left" w:pos="738"/>
        </w:tabs>
        <w:ind w:firstLine="288"/>
        <w:jc w:val="both"/>
        <w:rPr>
          <w:sz w:val="22"/>
        </w:rPr>
      </w:pPr>
      <w:r w:rsidRPr="000B6EEE">
        <w:rPr>
          <w:b/>
          <w:sz w:val="22"/>
        </w:rPr>
        <w:t>12.</w:t>
      </w:r>
      <w:r w:rsidR="000B6EEE" w:rsidRPr="000B6EEE">
        <w:rPr>
          <w:sz w:val="22"/>
        </w:rPr>
        <w:tab/>
      </w:r>
      <w:r w:rsidRPr="000B6EEE">
        <w:rPr>
          <w:sz w:val="22"/>
        </w:rPr>
        <w:t>When in pursuance of a certificate under this Act an alteration takes place in the number of Members of the House of Representatives to be chosen in any State the alteration shall not affect—</w:t>
      </w:r>
    </w:p>
    <w:p w:rsidR="00702D3D" w:rsidRPr="000B6EEE" w:rsidRDefault="00702D3D" w:rsidP="000C2831">
      <w:pPr>
        <w:tabs>
          <w:tab w:val="left" w:pos="1026"/>
        </w:tabs>
        <w:ind w:left="1296" w:hanging="720"/>
        <w:jc w:val="both"/>
        <w:rPr>
          <w:sz w:val="22"/>
        </w:rPr>
      </w:pPr>
      <w:r w:rsidRPr="000B6EEE">
        <w:rPr>
          <w:sz w:val="22"/>
        </w:rPr>
        <w:t>(</w:t>
      </w:r>
      <w:r w:rsidRPr="000B6EEE">
        <w:rPr>
          <w:i/>
          <w:sz w:val="22"/>
        </w:rPr>
        <w:t>a</w:t>
      </w:r>
      <w:r w:rsidR="00EA228A">
        <w:rPr>
          <w:sz w:val="22"/>
        </w:rPr>
        <w:t xml:space="preserve">) </w:t>
      </w:r>
      <w:r w:rsidRPr="000B6EEE">
        <w:rPr>
          <w:sz w:val="22"/>
        </w:rPr>
        <w:t>any election held before the State has been redistributed into electoral divisions pursuant to the certificate; nor</w:t>
      </w:r>
    </w:p>
    <w:p w:rsidR="00702D3D" w:rsidRPr="000B6EEE" w:rsidRDefault="00702D3D" w:rsidP="000C2831">
      <w:pPr>
        <w:tabs>
          <w:tab w:val="left" w:pos="1026"/>
        </w:tabs>
        <w:ind w:left="1296" w:hanging="720"/>
        <w:jc w:val="both"/>
        <w:rPr>
          <w:sz w:val="22"/>
        </w:rPr>
      </w:pPr>
      <w:r w:rsidRPr="000B6EEE">
        <w:rPr>
          <w:sz w:val="22"/>
        </w:rPr>
        <w:t>(</w:t>
      </w:r>
      <w:r w:rsidRPr="000B6EEE">
        <w:rPr>
          <w:i/>
          <w:sz w:val="22"/>
        </w:rPr>
        <w:t>b</w:t>
      </w:r>
      <w:r w:rsidR="000B6EEE" w:rsidRPr="000B6EEE">
        <w:rPr>
          <w:sz w:val="22"/>
        </w:rPr>
        <w:t>)</w:t>
      </w:r>
      <w:r w:rsidR="00EA228A" w:rsidRPr="000B6EEE">
        <w:rPr>
          <w:sz w:val="22"/>
        </w:rPr>
        <w:t xml:space="preserve"> </w:t>
      </w:r>
      <w:r w:rsidRPr="000B6EEE">
        <w:rPr>
          <w:sz w:val="22"/>
        </w:rPr>
        <w:t>any election to fill a vacancy in a House of Representatives elected before such redistribution,</w:t>
      </w:r>
    </w:p>
    <w:p w:rsidR="00702D3D" w:rsidRPr="000B6EEE" w:rsidRDefault="00702D3D" w:rsidP="000C2831">
      <w:pPr>
        <w:jc w:val="both"/>
        <w:rPr>
          <w:sz w:val="22"/>
        </w:rPr>
      </w:pPr>
      <w:r w:rsidRPr="000B6EEE">
        <w:rPr>
          <w:sz w:val="22"/>
        </w:rPr>
        <w:t>but shall affect any general election after such redistribution.</w:t>
      </w:r>
    </w:p>
    <w:p w:rsidR="00702D3D" w:rsidRPr="000B6EEE" w:rsidRDefault="00702D3D" w:rsidP="000C2831">
      <w:pPr>
        <w:spacing w:before="120" w:after="60"/>
        <w:jc w:val="both"/>
        <w:rPr>
          <w:b/>
          <w:sz w:val="20"/>
        </w:rPr>
      </w:pPr>
      <w:r w:rsidRPr="000B6EEE">
        <w:rPr>
          <w:b/>
          <w:sz w:val="20"/>
        </w:rPr>
        <w:t>Power to make regulations.</w:t>
      </w:r>
    </w:p>
    <w:p w:rsidR="00702D3D" w:rsidRPr="000B6EEE" w:rsidRDefault="00702D3D" w:rsidP="000C2831">
      <w:pPr>
        <w:tabs>
          <w:tab w:val="left" w:pos="207"/>
          <w:tab w:val="left" w:pos="711"/>
          <w:tab w:val="left" w:pos="1242"/>
        </w:tabs>
        <w:ind w:firstLine="288"/>
        <w:jc w:val="both"/>
        <w:rPr>
          <w:sz w:val="22"/>
        </w:rPr>
      </w:pPr>
      <w:r w:rsidRPr="000B6EEE">
        <w:rPr>
          <w:b/>
          <w:sz w:val="22"/>
        </w:rPr>
        <w:t>13.</w:t>
      </w:r>
      <w:r w:rsidR="00995CEA">
        <w:rPr>
          <w:sz w:val="22"/>
        </w:rPr>
        <w:t>—(1.)</w:t>
      </w:r>
      <w:r w:rsidR="00995CEA">
        <w:rPr>
          <w:sz w:val="22"/>
        </w:rPr>
        <w:tab/>
      </w:r>
      <w:r w:rsidRPr="000B6EEE">
        <w:rPr>
          <w:sz w:val="22"/>
        </w:rPr>
        <w:t>The Governor-General may make regulations, not inconsistent with this Act, prescribing all matters necessary or convenient to be prescribed for carrying out or giving effect to this Act.</w:t>
      </w:r>
    </w:p>
    <w:p w:rsidR="00702D3D" w:rsidRPr="000B6EEE" w:rsidRDefault="00702D3D" w:rsidP="000C2831">
      <w:pPr>
        <w:spacing w:before="120" w:after="60"/>
        <w:jc w:val="both"/>
        <w:rPr>
          <w:b/>
          <w:sz w:val="20"/>
        </w:rPr>
      </w:pPr>
      <w:r w:rsidRPr="000B6EEE">
        <w:rPr>
          <w:b/>
          <w:sz w:val="20"/>
        </w:rPr>
        <w:t>Laying before Parliament.</w:t>
      </w:r>
    </w:p>
    <w:p w:rsidR="00702D3D" w:rsidRPr="000B6EEE" w:rsidRDefault="00EA228A" w:rsidP="000C2831">
      <w:pPr>
        <w:tabs>
          <w:tab w:val="left" w:pos="207"/>
          <w:tab w:val="left" w:pos="810"/>
          <w:tab w:val="left" w:pos="1242"/>
        </w:tabs>
        <w:ind w:firstLine="288"/>
        <w:jc w:val="both"/>
        <w:rPr>
          <w:sz w:val="22"/>
        </w:rPr>
      </w:pPr>
      <w:r>
        <w:rPr>
          <w:sz w:val="22"/>
        </w:rPr>
        <w:t>(2.)</w:t>
      </w:r>
      <w:r w:rsidR="00974E69">
        <w:rPr>
          <w:sz w:val="22"/>
        </w:rPr>
        <w:tab/>
      </w:r>
      <w:r w:rsidR="00702D3D" w:rsidRPr="000B6EEE">
        <w:rPr>
          <w:sz w:val="22"/>
        </w:rPr>
        <w:t>All regulations made in pursuance of this Act shall be laid before both Houses of the Parliament within thirty days next after they are made if the Parliament is then sitting, or if the Parliament is not then sitting then within thirty clays after the next meeting of the Parliament.</w:t>
      </w:r>
    </w:p>
    <w:p w:rsidR="00702D3D" w:rsidRPr="000B6EEE" w:rsidRDefault="00702D3D" w:rsidP="000C2831">
      <w:pPr>
        <w:spacing w:before="120" w:after="60"/>
        <w:jc w:val="both"/>
        <w:rPr>
          <w:b/>
          <w:sz w:val="20"/>
        </w:rPr>
      </w:pPr>
      <w:r w:rsidRPr="000B6EEE">
        <w:rPr>
          <w:b/>
          <w:sz w:val="20"/>
        </w:rPr>
        <w:t>Power of Parliament over.</w:t>
      </w:r>
    </w:p>
    <w:p w:rsidR="00702D3D" w:rsidRPr="000B6EEE" w:rsidRDefault="00EA228A" w:rsidP="000C2831">
      <w:pPr>
        <w:tabs>
          <w:tab w:val="left" w:pos="207"/>
          <w:tab w:val="left" w:pos="810"/>
          <w:tab w:val="left" w:pos="1242"/>
        </w:tabs>
        <w:ind w:firstLine="288"/>
        <w:jc w:val="both"/>
        <w:rPr>
          <w:sz w:val="22"/>
        </w:rPr>
      </w:pPr>
      <w:r>
        <w:rPr>
          <w:sz w:val="22"/>
        </w:rPr>
        <w:t>(3.)</w:t>
      </w:r>
      <w:r w:rsidR="00974E69">
        <w:rPr>
          <w:sz w:val="22"/>
        </w:rPr>
        <w:tab/>
      </w:r>
      <w:r w:rsidR="00702D3D" w:rsidRPr="000B6EEE">
        <w:rPr>
          <w:sz w:val="22"/>
        </w:rPr>
        <w:t>A regulation altering or superseding or providing a substitute for or affecting Schedules A and B, or either of them, shall not have</w:t>
      </w:r>
    </w:p>
    <w:p w:rsidR="00702D3D" w:rsidRPr="000B6EEE" w:rsidRDefault="001429C1" w:rsidP="000C2831">
      <w:pPr>
        <w:jc w:val="both"/>
        <w:rPr>
          <w:sz w:val="22"/>
        </w:rPr>
      </w:pPr>
      <w:r>
        <w:rPr>
          <w:sz w:val="22"/>
        </w:rPr>
        <w:br w:type="page"/>
      </w:r>
      <w:r w:rsidR="00702D3D" w:rsidRPr="000B6EEE">
        <w:rPr>
          <w:sz w:val="22"/>
        </w:rPr>
        <w:lastRenderedPageBreak/>
        <w:t>any force until it has been laid before both Houses of the Parliament for thirty days, or if within that time a resolution has been proposed in either House of the Parliament to disapprove of the regulation, until the motion for the resolution has been disposed of.</w:t>
      </w:r>
    </w:p>
    <w:p w:rsidR="00702D3D" w:rsidRDefault="00EA228A" w:rsidP="000C2831">
      <w:pPr>
        <w:tabs>
          <w:tab w:val="left" w:pos="207"/>
          <w:tab w:val="left" w:pos="810"/>
          <w:tab w:val="left" w:pos="1242"/>
        </w:tabs>
        <w:ind w:firstLine="288"/>
        <w:jc w:val="both"/>
        <w:rPr>
          <w:sz w:val="22"/>
        </w:rPr>
      </w:pPr>
      <w:r>
        <w:rPr>
          <w:sz w:val="22"/>
        </w:rPr>
        <w:t>(4.)</w:t>
      </w:r>
      <w:r w:rsidR="00974E69">
        <w:rPr>
          <w:sz w:val="22"/>
        </w:rPr>
        <w:tab/>
      </w:r>
      <w:r w:rsidR="00702D3D" w:rsidRPr="000B6EEE">
        <w:rPr>
          <w:sz w:val="22"/>
        </w:rPr>
        <w:t>If before the regulation comes into force a resolution disapproving of it is passed by either House of the Parliament, the regulation shall be of no effect.</w:t>
      </w:r>
    </w:p>
    <w:p w:rsidR="00AD1991" w:rsidRPr="00AD1991" w:rsidRDefault="00AD1991" w:rsidP="00974E69">
      <w:pPr>
        <w:pBdr>
          <w:top w:val="single" w:sz="4" w:space="1" w:color="auto"/>
        </w:pBdr>
        <w:spacing w:before="800" w:after="600"/>
        <w:ind w:left="4176" w:right="4176"/>
        <w:jc w:val="center"/>
        <w:rPr>
          <w:b/>
          <w:sz w:val="6"/>
          <w:szCs w:val="28"/>
        </w:rPr>
      </w:pPr>
    </w:p>
    <w:p w:rsidR="00702D3D" w:rsidRPr="0096701A" w:rsidRDefault="00702D3D" w:rsidP="00AD1991">
      <w:pPr>
        <w:jc w:val="center"/>
      </w:pPr>
      <w:r w:rsidRPr="0096701A">
        <w:t>SCHEDULES.</w:t>
      </w:r>
    </w:p>
    <w:p w:rsidR="00AD1991" w:rsidRPr="00AD1991" w:rsidRDefault="00AD1991" w:rsidP="00974E69">
      <w:pPr>
        <w:pBdr>
          <w:top w:val="single" w:sz="8" w:space="1" w:color="auto"/>
        </w:pBdr>
        <w:spacing w:before="240" w:after="240"/>
        <w:ind w:left="4320" w:right="4320"/>
        <w:jc w:val="center"/>
        <w:rPr>
          <w:b/>
          <w:sz w:val="2"/>
          <w:szCs w:val="28"/>
        </w:rPr>
      </w:pPr>
    </w:p>
    <w:p w:rsidR="00702D3D" w:rsidRPr="000B6EEE" w:rsidRDefault="00702D3D" w:rsidP="00AD1991">
      <w:pPr>
        <w:jc w:val="center"/>
        <w:rPr>
          <w:sz w:val="22"/>
        </w:rPr>
      </w:pPr>
      <w:r w:rsidRPr="000B6EEE">
        <w:rPr>
          <w:sz w:val="22"/>
        </w:rPr>
        <w:t>SCHEDULE A.</w:t>
      </w:r>
    </w:p>
    <w:p w:rsidR="00702D3D" w:rsidRPr="000B6EEE" w:rsidRDefault="00702D3D" w:rsidP="00AD1991">
      <w:pPr>
        <w:spacing w:before="200" w:after="200"/>
        <w:jc w:val="center"/>
        <w:rPr>
          <w:sz w:val="22"/>
        </w:rPr>
      </w:pPr>
      <w:r w:rsidRPr="000B6EEE">
        <w:rPr>
          <w:sz w:val="22"/>
        </w:rPr>
        <w:t xml:space="preserve">The </w:t>
      </w:r>
      <w:r w:rsidRPr="000B6EEE">
        <w:rPr>
          <w:i/>
          <w:sz w:val="22"/>
        </w:rPr>
        <w:t xml:space="preserve">Representation Act </w:t>
      </w:r>
      <w:r w:rsidRPr="000B6EEE">
        <w:rPr>
          <w:sz w:val="22"/>
        </w:rPr>
        <w:t>1905.</w:t>
      </w:r>
    </w:p>
    <w:p w:rsidR="00702D3D" w:rsidRPr="000B6EEE" w:rsidRDefault="00702D3D" w:rsidP="00AD1991">
      <w:pPr>
        <w:spacing w:after="200"/>
        <w:jc w:val="center"/>
        <w:rPr>
          <w:sz w:val="22"/>
        </w:rPr>
      </w:pPr>
      <w:r w:rsidRPr="000B6EEE">
        <w:rPr>
          <w:sz w:val="22"/>
        </w:rPr>
        <w:t>METHOD OF ASCERTAINING THE NUMBERS OF THE PEOPLE OF THE COMMONWEALTH AND OF THE SEVERAL STATES.</w:t>
      </w:r>
    </w:p>
    <w:p w:rsidR="00702D3D" w:rsidRPr="000B6EEE" w:rsidRDefault="00EA228A" w:rsidP="000C2831">
      <w:pPr>
        <w:tabs>
          <w:tab w:val="left" w:pos="207"/>
          <w:tab w:val="left" w:pos="711"/>
          <w:tab w:val="left" w:pos="1242"/>
        </w:tabs>
        <w:spacing w:after="60"/>
        <w:ind w:firstLine="288"/>
        <w:jc w:val="both"/>
        <w:rPr>
          <w:sz w:val="22"/>
        </w:rPr>
      </w:pPr>
      <w:r w:rsidRPr="00974E69">
        <w:rPr>
          <w:b/>
          <w:sz w:val="22"/>
        </w:rPr>
        <w:t>1.</w:t>
      </w:r>
      <w:r w:rsidR="00974E69">
        <w:rPr>
          <w:b/>
          <w:sz w:val="22"/>
        </w:rPr>
        <w:tab/>
      </w:r>
      <w:r w:rsidR="00702D3D" w:rsidRPr="000B6EEE">
        <w:rPr>
          <w:sz w:val="22"/>
        </w:rPr>
        <w:t>Increases and decreases in the numbers of the people in each State, arising from births and deaths, and arrivals and departures (whether by sea or land), during the period from the last Census Day up to and including the last quarter day before Enumeration Day shall be ascertained.</w:t>
      </w:r>
    </w:p>
    <w:p w:rsidR="00702D3D" w:rsidRPr="000B6EEE" w:rsidRDefault="00EA228A" w:rsidP="000C2831">
      <w:pPr>
        <w:tabs>
          <w:tab w:val="left" w:pos="207"/>
          <w:tab w:val="left" w:pos="711"/>
          <w:tab w:val="left" w:pos="1242"/>
        </w:tabs>
        <w:spacing w:after="60"/>
        <w:ind w:firstLine="288"/>
        <w:jc w:val="both"/>
        <w:rPr>
          <w:sz w:val="22"/>
        </w:rPr>
      </w:pPr>
      <w:r w:rsidRPr="00974E69">
        <w:rPr>
          <w:b/>
          <w:sz w:val="22"/>
        </w:rPr>
        <w:t>2.</w:t>
      </w:r>
      <w:r w:rsidR="00974E69">
        <w:rPr>
          <w:b/>
          <w:sz w:val="22"/>
        </w:rPr>
        <w:tab/>
      </w:r>
      <w:r w:rsidR="00702D3D" w:rsidRPr="000B6EEE">
        <w:rPr>
          <w:sz w:val="22"/>
        </w:rPr>
        <w:t>The Chief Electoral Officer may accept as evidence of increases and decreases, and of the number of persons who by section twenty-five or section one hundred and twenty-seven of the Constitution are required not to be counted, any returns supplied to him by the Government Statistician of the Commonwealth or of any State.</w:t>
      </w:r>
    </w:p>
    <w:p w:rsidR="00702D3D" w:rsidRPr="000B6EEE" w:rsidRDefault="00EA228A" w:rsidP="000C2831">
      <w:pPr>
        <w:tabs>
          <w:tab w:val="left" w:pos="207"/>
          <w:tab w:val="left" w:pos="711"/>
          <w:tab w:val="left" w:pos="1242"/>
        </w:tabs>
        <w:spacing w:after="60"/>
        <w:ind w:firstLine="288"/>
        <w:jc w:val="both"/>
        <w:rPr>
          <w:sz w:val="22"/>
        </w:rPr>
      </w:pPr>
      <w:r w:rsidRPr="00974E69">
        <w:rPr>
          <w:b/>
          <w:sz w:val="22"/>
        </w:rPr>
        <w:t>3.</w:t>
      </w:r>
      <w:r w:rsidR="00974E69">
        <w:rPr>
          <w:sz w:val="22"/>
        </w:rPr>
        <w:tab/>
      </w:r>
      <w:r w:rsidR="00702D3D" w:rsidRPr="000B6EEE">
        <w:rPr>
          <w:sz w:val="22"/>
        </w:rPr>
        <w:t>Returns supplied by the Government Statistician of the Commonwealth or of any State to the Chief Electoral Officer shall be based on official information received as follows:—</w:t>
      </w:r>
    </w:p>
    <w:p w:rsidR="00702D3D" w:rsidRPr="000B6EEE" w:rsidRDefault="00702D3D" w:rsidP="000C2831">
      <w:pPr>
        <w:tabs>
          <w:tab w:val="left" w:pos="1026"/>
        </w:tabs>
        <w:ind w:left="1296" w:hanging="720"/>
        <w:jc w:val="both"/>
        <w:rPr>
          <w:sz w:val="22"/>
        </w:rPr>
      </w:pPr>
      <w:r w:rsidRPr="000B6EEE">
        <w:rPr>
          <w:sz w:val="22"/>
        </w:rPr>
        <w:t>(</w:t>
      </w:r>
      <w:r w:rsidRPr="000B6EEE">
        <w:rPr>
          <w:i/>
          <w:sz w:val="22"/>
        </w:rPr>
        <w:t>a</w:t>
      </w:r>
      <w:r w:rsidR="00EA228A">
        <w:rPr>
          <w:sz w:val="22"/>
        </w:rPr>
        <w:t xml:space="preserve">) </w:t>
      </w:r>
      <w:r w:rsidRPr="000B6EEE">
        <w:rPr>
          <w:sz w:val="22"/>
        </w:rPr>
        <w:t>In the case of births and deaths, from the Registrar-General of Births and Deaths;</w:t>
      </w:r>
    </w:p>
    <w:p w:rsidR="00702D3D" w:rsidRPr="000B6EEE" w:rsidRDefault="00702D3D" w:rsidP="000C2831">
      <w:pPr>
        <w:tabs>
          <w:tab w:val="left" w:pos="1026"/>
        </w:tabs>
        <w:ind w:left="1296" w:hanging="720"/>
        <w:jc w:val="both"/>
        <w:rPr>
          <w:sz w:val="22"/>
        </w:rPr>
      </w:pPr>
      <w:r w:rsidRPr="000B6EEE">
        <w:rPr>
          <w:sz w:val="22"/>
        </w:rPr>
        <w:t>(</w:t>
      </w:r>
      <w:r w:rsidRPr="000B6EEE">
        <w:rPr>
          <w:i/>
          <w:sz w:val="22"/>
        </w:rPr>
        <w:t>b</w:t>
      </w:r>
      <w:r w:rsidR="00717F76">
        <w:rPr>
          <w:sz w:val="22"/>
        </w:rPr>
        <w:t>)</w:t>
      </w:r>
      <w:r w:rsidR="00EA228A">
        <w:rPr>
          <w:sz w:val="22"/>
        </w:rPr>
        <w:t xml:space="preserve"> </w:t>
      </w:r>
      <w:r w:rsidRPr="000B6EEE">
        <w:rPr>
          <w:sz w:val="22"/>
        </w:rPr>
        <w:t>In the case of arrivals and departures by sea, from the Department of Trade and Customs;</w:t>
      </w:r>
    </w:p>
    <w:p w:rsidR="00702D3D" w:rsidRPr="000B6EEE" w:rsidRDefault="00702D3D" w:rsidP="000C2831">
      <w:pPr>
        <w:tabs>
          <w:tab w:val="left" w:pos="1026"/>
        </w:tabs>
        <w:ind w:left="1296" w:hanging="720"/>
        <w:jc w:val="both"/>
        <w:rPr>
          <w:sz w:val="22"/>
        </w:rPr>
      </w:pPr>
      <w:r w:rsidRPr="000B6EEE">
        <w:rPr>
          <w:sz w:val="22"/>
        </w:rPr>
        <w:t>(</w:t>
      </w:r>
      <w:r w:rsidRPr="000B6EEE">
        <w:rPr>
          <w:i/>
          <w:sz w:val="22"/>
        </w:rPr>
        <w:t>c</w:t>
      </w:r>
      <w:r w:rsidR="00717F76">
        <w:rPr>
          <w:sz w:val="22"/>
        </w:rPr>
        <w:t>)</w:t>
      </w:r>
      <w:r w:rsidR="00EA228A">
        <w:rPr>
          <w:sz w:val="22"/>
        </w:rPr>
        <w:t xml:space="preserve"> </w:t>
      </w:r>
      <w:r w:rsidRPr="000B6EEE">
        <w:rPr>
          <w:sz w:val="22"/>
        </w:rPr>
        <w:t>In the case of arrivals and departures by land, from the Railway Departments.</w:t>
      </w:r>
    </w:p>
    <w:p w:rsidR="00702D3D" w:rsidRPr="000B6EEE" w:rsidRDefault="00717F76" w:rsidP="000C2831">
      <w:pPr>
        <w:tabs>
          <w:tab w:val="left" w:pos="207"/>
          <w:tab w:val="left" w:pos="711"/>
          <w:tab w:val="left" w:pos="1242"/>
        </w:tabs>
        <w:spacing w:after="120"/>
        <w:ind w:firstLine="288"/>
        <w:jc w:val="both"/>
        <w:rPr>
          <w:sz w:val="22"/>
        </w:rPr>
      </w:pPr>
      <w:r w:rsidRPr="00974E69">
        <w:rPr>
          <w:b/>
          <w:sz w:val="22"/>
        </w:rPr>
        <w:t>4.</w:t>
      </w:r>
      <w:r w:rsidR="00974E69">
        <w:rPr>
          <w:sz w:val="22"/>
        </w:rPr>
        <w:tab/>
      </w:r>
      <w:r w:rsidR="00702D3D" w:rsidRPr="000B6EEE">
        <w:rPr>
          <w:sz w:val="22"/>
        </w:rPr>
        <w:t>In the case of the States of New South Wales, Victoria, Queensland, and South Australia, ten per centum shall be added to the numbers of people arriving and departing as shown by the information received from the Railway Departments, to allow for unrecorded arrivals and departures by rail and road.</w:t>
      </w:r>
    </w:p>
    <w:p w:rsidR="00702D3D" w:rsidRPr="000B6EEE" w:rsidRDefault="00717F76" w:rsidP="000C2831">
      <w:pPr>
        <w:tabs>
          <w:tab w:val="left" w:pos="207"/>
          <w:tab w:val="left" w:pos="711"/>
          <w:tab w:val="left" w:pos="1242"/>
        </w:tabs>
        <w:spacing w:after="60"/>
        <w:ind w:firstLine="288"/>
        <w:jc w:val="both"/>
        <w:rPr>
          <w:sz w:val="22"/>
        </w:rPr>
      </w:pPr>
      <w:r w:rsidRPr="00974E69">
        <w:rPr>
          <w:b/>
          <w:sz w:val="22"/>
        </w:rPr>
        <w:t>5.</w:t>
      </w:r>
      <w:r w:rsidR="00974E69">
        <w:rPr>
          <w:sz w:val="22"/>
        </w:rPr>
        <w:tab/>
      </w:r>
      <w:r w:rsidR="00702D3D" w:rsidRPr="000B6EEE">
        <w:rPr>
          <w:sz w:val="22"/>
        </w:rPr>
        <w:t>The following percentages shall be added to the numbers of persons departing by sea from the several States as shown by the information received, to allow for unrecorded departures by sea:—</w:t>
      </w:r>
    </w:p>
    <w:tbl>
      <w:tblPr>
        <w:tblW w:w="5000" w:type="pct"/>
        <w:tblCellMar>
          <w:left w:w="40" w:type="dxa"/>
          <w:right w:w="40" w:type="dxa"/>
        </w:tblCellMar>
        <w:tblLook w:val="0000" w:firstRow="0" w:lastRow="0" w:firstColumn="0" w:lastColumn="0" w:noHBand="0" w:noVBand="0"/>
      </w:tblPr>
      <w:tblGrid>
        <w:gridCol w:w="8339"/>
        <w:gridCol w:w="1101"/>
      </w:tblGrid>
      <w:tr w:rsidR="00702D3D" w:rsidRPr="000B6EEE" w:rsidTr="00974E69">
        <w:trPr>
          <w:trHeight w:val="149"/>
        </w:trPr>
        <w:tc>
          <w:tcPr>
            <w:tcW w:w="4417" w:type="pct"/>
            <w:tcBorders>
              <w:top w:val="nil"/>
              <w:left w:val="nil"/>
              <w:bottom w:val="nil"/>
              <w:right w:val="nil"/>
            </w:tcBorders>
          </w:tcPr>
          <w:p w:rsidR="00702D3D" w:rsidRPr="000B6EEE" w:rsidRDefault="00702D3D" w:rsidP="000B6EEE"/>
        </w:tc>
        <w:tc>
          <w:tcPr>
            <w:tcW w:w="583" w:type="pct"/>
            <w:tcBorders>
              <w:top w:val="nil"/>
              <w:left w:val="nil"/>
              <w:bottom w:val="nil"/>
              <w:right w:val="nil"/>
            </w:tcBorders>
          </w:tcPr>
          <w:p w:rsidR="00702D3D" w:rsidRPr="000B6EEE" w:rsidRDefault="00702D3D" w:rsidP="00F46DD7">
            <w:pPr>
              <w:jc w:val="center"/>
            </w:pPr>
            <w:r w:rsidRPr="000B6EEE">
              <w:rPr>
                <w:sz w:val="22"/>
              </w:rPr>
              <w:t>per cent.</w:t>
            </w:r>
          </w:p>
        </w:tc>
      </w:tr>
      <w:tr w:rsidR="00702D3D" w:rsidRPr="000B6EEE" w:rsidTr="00974E69">
        <w:trPr>
          <w:trHeight w:val="206"/>
        </w:trPr>
        <w:tc>
          <w:tcPr>
            <w:tcW w:w="4417" w:type="pct"/>
            <w:tcBorders>
              <w:top w:val="nil"/>
              <w:left w:val="nil"/>
              <w:bottom w:val="nil"/>
              <w:right w:val="nil"/>
            </w:tcBorders>
          </w:tcPr>
          <w:p w:rsidR="00702D3D" w:rsidRPr="000B6EEE" w:rsidRDefault="00702D3D" w:rsidP="00A2550C">
            <w:pPr>
              <w:tabs>
                <w:tab w:val="left" w:leader="dot" w:pos="8100"/>
              </w:tabs>
            </w:pPr>
            <w:r w:rsidRPr="000B6EEE">
              <w:rPr>
                <w:sz w:val="22"/>
              </w:rPr>
              <w:t>New South Wales</w:t>
            </w:r>
            <w:r w:rsidR="00A2550C">
              <w:rPr>
                <w:sz w:val="22"/>
              </w:rPr>
              <w:tab/>
            </w:r>
          </w:p>
        </w:tc>
        <w:tc>
          <w:tcPr>
            <w:tcW w:w="583" w:type="pct"/>
            <w:tcBorders>
              <w:top w:val="nil"/>
              <w:left w:val="nil"/>
              <w:bottom w:val="nil"/>
              <w:right w:val="nil"/>
            </w:tcBorders>
          </w:tcPr>
          <w:p w:rsidR="00702D3D" w:rsidRPr="000B6EEE" w:rsidRDefault="00702D3D" w:rsidP="00F46DD7">
            <w:pPr>
              <w:jc w:val="center"/>
            </w:pPr>
            <w:r w:rsidRPr="000B6EEE">
              <w:rPr>
                <w:sz w:val="22"/>
              </w:rPr>
              <w:t>9</w:t>
            </w:r>
          </w:p>
        </w:tc>
      </w:tr>
      <w:tr w:rsidR="00702D3D" w:rsidRPr="000B6EEE" w:rsidTr="00974E69">
        <w:trPr>
          <w:trHeight w:val="216"/>
        </w:trPr>
        <w:tc>
          <w:tcPr>
            <w:tcW w:w="4417" w:type="pct"/>
            <w:tcBorders>
              <w:top w:val="nil"/>
              <w:left w:val="nil"/>
              <w:bottom w:val="nil"/>
              <w:right w:val="nil"/>
            </w:tcBorders>
          </w:tcPr>
          <w:p w:rsidR="00702D3D" w:rsidRPr="000B6EEE" w:rsidRDefault="00702D3D" w:rsidP="00A2550C">
            <w:pPr>
              <w:tabs>
                <w:tab w:val="left" w:leader="dot" w:pos="8100"/>
              </w:tabs>
            </w:pPr>
            <w:r w:rsidRPr="000B6EEE">
              <w:rPr>
                <w:sz w:val="22"/>
              </w:rPr>
              <w:t>Victoria</w:t>
            </w:r>
            <w:r w:rsidR="00A2550C">
              <w:rPr>
                <w:sz w:val="22"/>
              </w:rPr>
              <w:tab/>
            </w:r>
          </w:p>
        </w:tc>
        <w:tc>
          <w:tcPr>
            <w:tcW w:w="583" w:type="pct"/>
            <w:tcBorders>
              <w:top w:val="nil"/>
              <w:left w:val="nil"/>
              <w:bottom w:val="nil"/>
              <w:right w:val="nil"/>
            </w:tcBorders>
          </w:tcPr>
          <w:p w:rsidR="00702D3D" w:rsidRPr="000B6EEE" w:rsidRDefault="00702D3D" w:rsidP="00F46DD7">
            <w:pPr>
              <w:jc w:val="center"/>
            </w:pPr>
            <w:r w:rsidRPr="000B6EEE">
              <w:rPr>
                <w:sz w:val="22"/>
              </w:rPr>
              <w:t>9</w:t>
            </w:r>
          </w:p>
        </w:tc>
      </w:tr>
      <w:tr w:rsidR="00702D3D" w:rsidRPr="000B6EEE" w:rsidTr="00974E69">
        <w:trPr>
          <w:trHeight w:val="230"/>
        </w:trPr>
        <w:tc>
          <w:tcPr>
            <w:tcW w:w="4417" w:type="pct"/>
            <w:tcBorders>
              <w:top w:val="nil"/>
              <w:left w:val="nil"/>
              <w:bottom w:val="nil"/>
              <w:right w:val="nil"/>
            </w:tcBorders>
          </w:tcPr>
          <w:p w:rsidR="00702D3D" w:rsidRPr="000B6EEE" w:rsidRDefault="00702D3D" w:rsidP="00A2550C">
            <w:pPr>
              <w:tabs>
                <w:tab w:val="left" w:leader="dot" w:pos="8100"/>
              </w:tabs>
            </w:pPr>
            <w:r w:rsidRPr="000B6EEE">
              <w:rPr>
                <w:sz w:val="22"/>
              </w:rPr>
              <w:t>Queensland</w:t>
            </w:r>
            <w:r w:rsidR="00A2550C">
              <w:rPr>
                <w:sz w:val="22"/>
              </w:rPr>
              <w:tab/>
            </w:r>
          </w:p>
        </w:tc>
        <w:tc>
          <w:tcPr>
            <w:tcW w:w="583" w:type="pct"/>
            <w:tcBorders>
              <w:top w:val="nil"/>
              <w:left w:val="nil"/>
              <w:bottom w:val="nil"/>
              <w:right w:val="nil"/>
            </w:tcBorders>
          </w:tcPr>
          <w:p w:rsidR="00702D3D" w:rsidRPr="000B6EEE" w:rsidRDefault="00702D3D" w:rsidP="00F46DD7">
            <w:pPr>
              <w:jc w:val="center"/>
            </w:pPr>
            <w:r w:rsidRPr="000B6EEE">
              <w:rPr>
                <w:sz w:val="22"/>
              </w:rPr>
              <w:t>10</w:t>
            </w:r>
          </w:p>
        </w:tc>
      </w:tr>
      <w:tr w:rsidR="00702D3D" w:rsidRPr="000B6EEE" w:rsidTr="00974E69">
        <w:trPr>
          <w:trHeight w:val="202"/>
        </w:trPr>
        <w:tc>
          <w:tcPr>
            <w:tcW w:w="4417" w:type="pct"/>
            <w:tcBorders>
              <w:top w:val="nil"/>
              <w:left w:val="nil"/>
              <w:bottom w:val="nil"/>
              <w:right w:val="nil"/>
            </w:tcBorders>
          </w:tcPr>
          <w:p w:rsidR="00702D3D" w:rsidRPr="000B6EEE" w:rsidRDefault="00702D3D" w:rsidP="00A2550C">
            <w:pPr>
              <w:tabs>
                <w:tab w:val="left" w:leader="dot" w:pos="8100"/>
              </w:tabs>
            </w:pPr>
            <w:r w:rsidRPr="000B6EEE">
              <w:rPr>
                <w:sz w:val="22"/>
              </w:rPr>
              <w:t>South Australia</w:t>
            </w:r>
            <w:r w:rsidR="00A2550C">
              <w:rPr>
                <w:sz w:val="22"/>
              </w:rPr>
              <w:tab/>
            </w:r>
          </w:p>
        </w:tc>
        <w:tc>
          <w:tcPr>
            <w:tcW w:w="583" w:type="pct"/>
            <w:tcBorders>
              <w:top w:val="nil"/>
              <w:left w:val="nil"/>
              <w:bottom w:val="nil"/>
              <w:right w:val="nil"/>
            </w:tcBorders>
          </w:tcPr>
          <w:p w:rsidR="00702D3D" w:rsidRPr="000B6EEE" w:rsidRDefault="00702D3D" w:rsidP="00F46DD7">
            <w:pPr>
              <w:jc w:val="center"/>
            </w:pPr>
            <w:r w:rsidRPr="000B6EEE">
              <w:rPr>
                <w:sz w:val="22"/>
              </w:rPr>
              <w:t>7</w:t>
            </w:r>
          </w:p>
        </w:tc>
      </w:tr>
      <w:tr w:rsidR="00702D3D" w:rsidRPr="000B6EEE" w:rsidTr="00974E69">
        <w:trPr>
          <w:trHeight w:val="221"/>
        </w:trPr>
        <w:tc>
          <w:tcPr>
            <w:tcW w:w="4417" w:type="pct"/>
            <w:tcBorders>
              <w:top w:val="nil"/>
              <w:left w:val="nil"/>
              <w:bottom w:val="nil"/>
              <w:right w:val="nil"/>
            </w:tcBorders>
          </w:tcPr>
          <w:p w:rsidR="00702D3D" w:rsidRPr="000B6EEE" w:rsidRDefault="00702D3D" w:rsidP="00A2550C">
            <w:pPr>
              <w:tabs>
                <w:tab w:val="left" w:leader="dot" w:pos="8100"/>
              </w:tabs>
            </w:pPr>
            <w:r w:rsidRPr="000B6EEE">
              <w:rPr>
                <w:sz w:val="22"/>
              </w:rPr>
              <w:t>Western Australia</w:t>
            </w:r>
            <w:r w:rsidR="00A2550C">
              <w:rPr>
                <w:sz w:val="22"/>
              </w:rPr>
              <w:tab/>
            </w:r>
          </w:p>
        </w:tc>
        <w:tc>
          <w:tcPr>
            <w:tcW w:w="583" w:type="pct"/>
            <w:tcBorders>
              <w:top w:val="nil"/>
              <w:left w:val="nil"/>
              <w:bottom w:val="nil"/>
              <w:right w:val="nil"/>
            </w:tcBorders>
          </w:tcPr>
          <w:p w:rsidR="00702D3D" w:rsidRPr="000B6EEE" w:rsidRDefault="00702D3D" w:rsidP="00F46DD7">
            <w:pPr>
              <w:jc w:val="center"/>
            </w:pPr>
            <w:r w:rsidRPr="000B6EEE">
              <w:rPr>
                <w:sz w:val="22"/>
              </w:rPr>
              <w:t>5</w:t>
            </w:r>
          </w:p>
        </w:tc>
      </w:tr>
      <w:tr w:rsidR="00702D3D" w:rsidRPr="000B6EEE" w:rsidTr="00974E69">
        <w:trPr>
          <w:trHeight w:val="202"/>
        </w:trPr>
        <w:tc>
          <w:tcPr>
            <w:tcW w:w="4417" w:type="pct"/>
            <w:tcBorders>
              <w:top w:val="nil"/>
              <w:left w:val="nil"/>
              <w:bottom w:val="nil"/>
              <w:right w:val="nil"/>
            </w:tcBorders>
          </w:tcPr>
          <w:p w:rsidR="00702D3D" w:rsidRPr="000B6EEE" w:rsidRDefault="00702D3D" w:rsidP="00A2550C">
            <w:pPr>
              <w:tabs>
                <w:tab w:val="left" w:leader="dot" w:pos="8100"/>
              </w:tabs>
            </w:pPr>
            <w:r w:rsidRPr="000B6EEE">
              <w:rPr>
                <w:sz w:val="22"/>
              </w:rPr>
              <w:t>Tasmania</w:t>
            </w:r>
            <w:r w:rsidR="00A2550C">
              <w:rPr>
                <w:sz w:val="22"/>
              </w:rPr>
              <w:tab/>
            </w:r>
          </w:p>
        </w:tc>
        <w:tc>
          <w:tcPr>
            <w:tcW w:w="583" w:type="pct"/>
            <w:tcBorders>
              <w:top w:val="nil"/>
              <w:left w:val="nil"/>
              <w:bottom w:val="nil"/>
              <w:right w:val="nil"/>
            </w:tcBorders>
          </w:tcPr>
          <w:p w:rsidR="00702D3D" w:rsidRPr="000B6EEE" w:rsidRDefault="00F46DD7" w:rsidP="00F46DD7">
            <w:pPr>
              <w:jc w:val="center"/>
            </w:pPr>
            <w:r>
              <w:rPr>
                <w:sz w:val="22"/>
              </w:rPr>
              <w:t>12.</w:t>
            </w:r>
            <w:r w:rsidR="00702D3D" w:rsidRPr="000B6EEE">
              <w:rPr>
                <w:sz w:val="22"/>
              </w:rPr>
              <w:t>5</w:t>
            </w:r>
          </w:p>
        </w:tc>
      </w:tr>
    </w:tbl>
    <w:p w:rsidR="00702D3D" w:rsidRPr="000B6EEE" w:rsidRDefault="00717F76" w:rsidP="000C2831">
      <w:pPr>
        <w:tabs>
          <w:tab w:val="left" w:pos="207"/>
          <w:tab w:val="left" w:pos="711"/>
          <w:tab w:val="left" w:pos="1242"/>
        </w:tabs>
        <w:spacing w:before="120" w:after="120"/>
        <w:ind w:firstLine="288"/>
        <w:jc w:val="both"/>
        <w:rPr>
          <w:sz w:val="22"/>
        </w:rPr>
      </w:pPr>
      <w:r w:rsidRPr="00B9508C">
        <w:rPr>
          <w:b/>
          <w:sz w:val="22"/>
        </w:rPr>
        <w:t>6.</w:t>
      </w:r>
      <w:r>
        <w:rPr>
          <w:sz w:val="22"/>
        </w:rPr>
        <w:tab/>
      </w:r>
      <w:r w:rsidR="00702D3D" w:rsidRPr="000B6EEE">
        <w:rPr>
          <w:sz w:val="22"/>
        </w:rPr>
        <w:t>In reckoning the arrivals and departures by sea, the number of seamen discharged or having deserted from, and the number of seamen signing on as members of the crew of, any ship (other than a ship trading exclusively in a State) shall be taken into account.</w:t>
      </w:r>
    </w:p>
    <w:p w:rsidR="00702D3D" w:rsidRPr="0096701A" w:rsidRDefault="00407081" w:rsidP="00756067">
      <w:pPr>
        <w:spacing w:before="80" w:after="80"/>
        <w:jc w:val="center"/>
      </w:pPr>
      <w:r>
        <w:rPr>
          <w:sz w:val="22"/>
        </w:rPr>
        <w:br w:type="page"/>
      </w:r>
      <w:r w:rsidR="00702D3D" w:rsidRPr="0096701A">
        <w:lastRenderedPageBreak/>
        <w:t>SCHEDULE B.</w:t>
      </w:r>
    </w:p>
    <w:p w:rsidR="00702D3D" w:rsidRPr="00483002" w:rsidRDefault="00702D3D" w:rsidP="00756067">
      <w:pPr>
        <w:spacing w:before="80" w:after="80"/>
        <w:jc w:val="center"/>
        <w:rPr>
          <w:smallCaps/>
          <w:sz w:val="22"/>
        </w:rPr>
      </w:pPr>
      <w:r w:rsidRPr="00483002">
        <w:rPr>
          <w:smallCaps/>
          <w:sz w:val="22"/>
        </w:rPr>
        <w:t>Commonwealth of Australia.</w:t>
      </w:r>
    </w:p>
    <w:p w:rsidR="00702D3D" w:rsidRPr="000B6EEE" w:rsidRDefault="00702D3D" w:rsidP="00756067">
      <w:pPr>
        <w:spacing w:before="80" w:after="80"/>
        <w:jc w:val="center"/>
        <w:rPr>
          <w:sz w:val="22"/>
        </w:rPr>
      </w:pPr>
      <w:r w:rsidRPr="000B6EEE">
        <w:rPr>
          <w:sz w:val="22"/>
        </w:rPr>
        <w:t xml:space="preserve">The </w:t>
      </w:r>
      <w:r w:rsidRPr="000B6EEE">
        <w:rPr>
          <w:i/>
          <w:sz w:val="22"/>
        </w:rPr>
        <w:t xml:space="preserve">Representation Act </w:t>
      </w:r>
      <w:r w:rsidRPr="000B6EEE">
        <w:rPr>
          <w:sz w:val="22"/>
        </w:rPr>
        <w:t>1905.</w:t>
      </w:r>
    </w:p>
    <w:p w:rsidR="00702D3D" w:rsidRPr="000B6EEE" w:rsidRDefault="00702D3D" w:rsidP="00756067">
      <w:pPr>
        <w:spacing w:before="80" w:after="80"/>
        <w:jc w:val="center"/>
        <w:rPr>
          <w:sz w:val="22"/>
        </w:rPr>
      </w:pPr>
      <w:r w:rsidRPr="000B6EEE">
        <w:rPr>
          <w:sz w:val="22"/>
        </w:rPr>
        <w:t>CERTIFICATE OF THE CHIEF ELECTORAL OFFICER OF THE NUMBERS OF THE PEOPLE OF THE COMMONWEALTH AND OF THE SEVERAL STATES.</w:t>
      </w:r>
    </w:p>
    <w:p w:rsidR="008E162E" w:rsidRDefault="00702D3D" w:rsidP="000C2831">
      <w:pPr>
        <w:tabs>
          <w:tab w:val="left" w:pos="7560"/>
        </w:tabs>
        <w:jc w:val="both"/>
        <w:rPr>
          <w:sz w:val="22"/>
        </w:rPr>
      </w:pPr>
      <w:r w:rsidRPr="000B6EEE">
        <w:rPr>
          <w:sz w:val="22"/>
        </w:rPr>
        <w:t>I,</w:t>
      </w:r>
      <w:r w:rsidR="00483002">
        <w:rPr>
          <w:sz w:val="22"/>
        </w:rPr>
        <w:tab/>
        <w:t>,</w:t>
      </w:r>
      <w:r w:rsidR="00483002" w:rsidRPr="00483002">
        <w:rPr>
          <w:sz w:val="22"/>
        </w:rPr>
        <w:t xml:space="preserve"> </w:t>
      </w:r>
      <w:r w:rsidR="00483002" w:rsidRPr="000B6EEE">
        <w:rPr>
          <w:sz w:val="22"/>
        </w:rPr>
        <w:t>Chief Electoral</w:t>
      </w:r>
    </w:p>
    <w:p w:rsidR="00702D3D" w:rsidRPr="000B6EEE" w:rsidRDefault="00702D3D" w:rsidP="000C2831">
      <w:pPr>
        <w:spacing w:after="120"/>
        <w:jc w:val="both"/>
        <w:rPr>
          <w:sz w:val="22"/>
        </w:rPr>
      </w:pPr>
      <w:r w:rsidRPr="000B6EEE">
        <w:rPr>
          <w:sz w:val="22"/>
        </w:rPr>
        <w:t xml:space="preserve">Officer of the Commonwealth of Australia, do hereby certify that I have, in the manner prescribed by the </w:t>
      </w:r>
      <w:r w:rsidRPr="000B6EEE">
        <w:rPr>
          <w:i/>
          <w:sz w:val="22"/>
        </w:rPr>
        <w:t xml:space="preserve">Representation Act </w:t>
      </w:r>
      <w:r w:rsidRPr="000B6EEE">
        <w:rPr>
          <w:sz w:val="22"/>
        </w:rPr>
        <w:t xml:space="preserve">1905, ascertained the numbers of the people of the Commonwealth and of the several States, and that those numbers were on </w:t>
      </w:r>
      <w:r w:rsidR="002D0BC9">
        <w:rPr>
          <w:sz w:val="22"/>
        </w:rPr>
        <w:tab/>
      </w:r>
      <w:r w:rsidR="002D0BC9">
        <w:rPr>
          <w:sz w:val="22"/>
        </w:rPr>
        <w:tab/>
      </w:r>
      <w:bookmarkStart w:id="0" w:name="_GoBack"/>
      <w:bookmarkEnd w:id="0"/>
      <w:r w:rsidR="002D0BC9">
        <w:rPr>
          <w:sz w:val="22"/>
        </w:rPr>
        <w:tab/>
      </w:r>
      <w:r w:rsidRPr="000B6EEE">
        <w:rPr>
          <w:sz w:val="22"/>
        </w:rPr>
        <w:t xml:space="preserve">the day of </w:t>
      </w:r>
      <w:r w:rsidR="002D0BC9">
        <w:rPr>
          <w:sz w:val="22"/>
        </w:rPr>
        <w:tab/>
      </w:r>
      <w:r w:rsidR="002D0BC9">
        <w:rPr>
          <w:sz w:val="22"/>
        </w:rPr>
        <w:tab/>
      </w:r>
      <w:r w:rsidRPr="000B6EEE">
        <w:rPr>
          <w:sz w:val="22"/>
        </w:rPr>
        <w:t>19</w:t>
      </w:r>
      <w:r w:rsidR="002D0BC9">
        <w:rPr>
          <w:sz w:val="22"/>
        </w:rPr>
        <w:tab/>
      </w:r>
      <w:r w:rsidRPr="000B6EEE">
        <w:rPr>
          <w:sz w:val="22"/>
        </w:rPr>
        <w:t xml:space="preserve"> as follows:—</w:t>
      </w:r>
    </w:p>
    <w:tbl>
      <w:tblPr>
        <w:tblW w:w="5000" w:type="pct"/>
        <w:tblCellMar>
          <w:left w:w="40" w:type="dxa"/>
          <w:right w:w="40" w:type="dxa"/>
        </w:tblCellMar>
        <w:tblLook w:val="0000" w:firstRow="0" w:lastRow="0" w:firstColumn="0" w:lastColumn="0" w:noHBand="0" w:noVBand="0"/>
      </w:tblPr>
      <w:tblGrid>
        <w:gridCol w:w="6610"/>
        <w:gridCol w:w="2830"/>
      </w:tblGrid>
      <w:tr w:rsidR="00702D3D" w:rsidRPr="000B6EEE" w:rsidTr="00483002">
        <w:trPr>
          <w:trHeight w:val="485"/>
        </w:trPr>
        <w:tc>
          <w:tcPr>
            <w:tcW w:w="3501" w:type="pct"/>
            <w:tcBorders>
              <w:top w:val="single" w:sz="6" w:space="0" w:color="auto"/>
              <w:left w:val="nil"/>
              <w:bottom w:val="single" w:sz="6" w:space="0" w:color="auto"/>
              <w:right w:val="single" w:sz="6" w:space="0" w:color="auto"/>
            </w:tcBorders>
            <w:vAlign w:val="center"/>
          </w:tcPr>
          <w:p w:rsidR="00702D3D" w:rsidRPr="000B6EEE" w:rsidRDefault="00702D3D" w:rsidP="00483002">
            <w:pPr>
              <w:jc w:val="center"/>
            </w:pPr>
            <w:r w:rsidRPr="000B6EEE">
              <w:rPr>
                <w:sz w:val="22"/>
              </w:rPr>
              <w:t>States.</w:t>
            </w:r>
          </w:p>
        </w:tc>
        <w:tc>
          <w:tcPr>
            <w:tcW w:w="1499" w:type="pct"/>
            <w:tcBorders>
              <w:top w:val="single" w:sz="6" w:space="0" w:color="auto"/>
              <w:left w:val="single" w:sz="6" w:space="0" w:color="auto"/>
              <w:bottom w:val="single" w:sz="6" w:space="0" w:color="auto"/>
              <w:right w:val="nil"/>
            </w:tcBorders>
            <w:vAlign w:val="center"/>
          </w:tcPr>
          <w:p w:rsidR="00702D3D" w:rsidRPr="000B6EEE" w:rsidRDefault="00702D3D" w:rsidP="00483002">
            <w:pPr>
              <w:jc w:val="center"/>
            </w:pPr>
            <w:r w:rsidRPr="000B6EEE">
              <w:rPr>
                <w:sz w:val="22"/>
              </w:rPr>
              <w:t>Numbers of the People.</w:t>
            </w:r>
          </w:p>
        </w:tc>
      </w:tr>
      <w:tr w:rsidR="00702D3D" w:rsidRPr="000B6EEE" w:rsidTr="00483002">
        <w:trPr>
          <w:trHeight w:val="283"/>
        </w:trPr>
        <w:tc>
          <w:tcPr>
            <w:tcW w:w="3501" w:type="pct"/>
            <w:tcBorders>
              <w:top w:val="single" w:sz="6" w:space="0" w:color="auto"/>
              <w:left w:val="nil"/>
              <w:bottom w:val="nil"/>
              <w:right w:val="single" w:sz="6" w:space="0" w:color="auto"/>
            </w:tcBorders>
          </w:tcPr>
          <w:p w:rsidR="00702D3D" w:rsidRPr="000B6EEE" w:rsidRDefault="00702D3D" w:rsidP="00290B12">
            <w:pPr>
              <w:tabs>
                <w:tab w:val="left" w:leader="dot" w:pos="6282"/>
              </w:tabs>
            </w:pPr>
            <w:r w:rsidRPr="000B6EEE">
              <w:rPr>
                <w:sz w:val="22"/>
              </w:rPr>
              <w:t>New South Wales</w:t>
            </w:r>
            <w:r w:rsidR="00C8497A">
              <w:rPr>
                <w:sz w:val="22"/>
              </w:rPr>
              <w:tab/>
            </w:r>
          </w:p>
        </w:tc>
        <w:tc>
          <w:tcPr>
            <w:tcW w:w="1499" w:type="pct"/>
            <w:tcBorders>
              <w:top w:val="single" w:sz="6" w:space="0" w:color="auto"/>
              <w:left w:val="single" w:sz="6" w:space="0" w:color="auto"/>
              <w:bottom w:val="nil"/>
              <w:right w:val="nil"/>
            </w:tcBorders>
          </w:tcPr>
          <w:p w:rsidR="00702D3D" w:rsidRPr="000B6EEE" w:rsidRDefault="00702D3D" w:rsidP="000B6EEE"/>
        </w:tc>
      </w:tr>
      <w:tr w:rsidR="00702D3D" w:rsidRPr="000B6EEE" w:rsidTr="00483002">
        <w:trPr>
          <w:trHeight w:val="182"/>
        </w:trPr>
        <w:tc>
          <w:tcPr>
            <w:tcW w:w="3501" w:type="pct"/>
            <w:tcBorders>
              <w:top w:val="nil"/>
              <w:left w:val="nil"/>
              <w:bottom w:val="nil"/>
              <w:right w:val="single" w:sz="6" w:space="0" w:color="auto"/>
            </w:tcBorders>
          </w:tcPr>
          <w:p w:rsidR="00702D3D" w:rsidRPr="000B6EEE" w:rsidRDefault="00702D3D" w:rsidP="00290B12">
            <w:pPr>
              <w:tabs>
                <w:tab w:val="left" w:leader="dot" w:pos="6282"/>
              </w:tabs>
            </w:pPr>
            <w:r w:rsidRPr="000B6EEE">
              <w:rPr>
                <w:sz w:val="22"/>
              </w:rPr>
              <w:t>Victoria</w:t>
            </w:r>
            <w:r w:rsidR="00C8497A">
              <w:rPr>
                <w:sz w:val="22"/>
              </w:rPr>
              <w:tab/>
            </w:r>
          </w:p>
        </w:tc>
        <w:tc>
          <w:tcPr>
            <w:tcW w:w="1499" w:type="pct"/>
            <w:tcBorders>
              <w:top w:val="nil"/>
              <w:left w:val="single" w:sz="6" w:space="0" w:color="auto"/>
              <w:bottom w:val="nil"/>
              <w:right w:val="nil"/>
            </w:tcBorders>
          </w:tcPr>
          <w:p w:rsidR="00702D3D" w:rsidRPr="000B6EEE" w:rsidRDefault="00702D3D" w:rsidP="000B6EEE"/>
        </w:tc>
      </w:tr>
      <w:tr w:rsidR="00702D3D" w:rsidRPr="000B6EEE" w:rsidTr="00483002">
        <w:trPr>
          <w:trHeight w:val="154"/>
        </w:trPr>
        <w:tc>
          <w:tcPr>
            <w:tcW w:w="3501" w:type="pct"/>
            <w:tcBorders>
              <w:top w:val="nil"/>
              <w:left w:val="nil"/>
              <w:bottom w:val="nil"/>
              <w:right w:val="single" w:sz="6" w:space="0" w:color="auto"/>
            </w:tcBorders>
          </w:tcPr>
          <w:p w:rsidR="00702D3D" w:rsidRPr="000B6EEE" w:rsidRDefault="00702D3D" w:rsidP="00290B12">
            <w:pPr>
              <w:tabs>
                <w:tab w:val="left" w:leader="dot" w:pos="6282"/>
              </w:tabs>
            </w:pPr>
            <w:r w:rsidRPr="000B6EEE">
              <w:rPr>
                <w:sz w:val="22"/>
              </w:rPr>
              <w:t>Queensland</w:t>
            </w:r>
            <w:r w:rsidR="00C8497A">
              <w:rPr>
                <w:sz w:val="22"/>
              </w:rPr>
              <w:tab/>
            </w:r>
          </w:p>
        </w:tc>
        <w:tc>
          <w:tcPr>
            <w:tcW w:w="1499" w:type="pct"/>
            <w:tcBorders>
              <w:top w:val="nil"/>
              <w:left w:val="single" w:sz="6" w:space="0" w:color="auto"/>
              <w:bottom w:val="nil"/>
              <w:right w:val="nil"/>
            </w:tcBorders>
          </w:tcPr>
          <w:p w:rsidR="00702D3D" w:rsidRPr="000B6EEE" w:rsidRDefault="00702D3D" w:rsidP="000B6EEE"/>
        </w:tc>
      </w:tr>
      <w:tr w:rsidR="00702D3D" w:rsidRPr="000B6EEE" w:rsidTr="00483002">
        <w:trPr>
          <w:trHeight w:val="139"/>
        </w:trPr>
        <w:tc>
          <w:tcPr>
            <w:tcW w:w="3501" w:type="pct"/>
            <w:tcBorders>
              <w:top w:val="nil"/>
              <w:left w:val="nil"/>
              <w:bottom w:val="nil"/>
              <w:right w:val="single" w:sz="6" w:space="0" w:color="auto"/>
            </w:tcBorders>
          </w:tcPr>
          <w:p w:rsidR="00702D3D" w:rsidRPr="000B6EEE" w:rsidRDefault="00702D3D" w:rsidP="00290B12">
            <w:pPr>
              <w:tabs>
                <w:tab w:val="left" w:leader="dot" w:pos="6282"/>
              </w:tabs>
            </w:pPr>
            <w:r w:rsidRPr="000B6EEE">
              <w:rPr>
                <w:sz w:val="22"/>
              </w:rPr>
              <w:t>South Australia</w:t>
            </w:r>
            <w:r w:rsidR="00290B12">
              <w:rPr>
                <w:sz w:val="22"/>
              </w:rPr>
              <w:tab/>
            </w:r>
          </w:p>
        </w:tc>
        <w:tc>
          <w:tcPr>
            <w:tcW w:w="1499" w:type="pct"/>
            <w:tcBorders>
              <w:top w:val="nil"/>
              <w:left w:val="single" w:sz="6" w:space="0" w:color="auto"/>
              <w:bottom w:val="nil"/>
              <w:right w:val="nil"/>
            </w:tcBorders>
          </w:tcPr>
          <w:p w:rsidR="00702D3D" w:rsidRPr="000B6EEE" w:rsidRDefault="00702D3D" w:rsidP="000B6EEE"/>
        </w:tc>
      </w:tr>
      <w:tr w:rsidR="00702D3D" w:rsidRPr="000B6EEE" w:rsidTr="00483002">
        <w:trPr>
          <w:trHeight w:val="168"/>
        </w:trPr>
        <w:tc>
          <w:tcPr>
            <w:tcW w:w="3501" w:type="pct"/>
            <w:tcBorders>
              <w:top w:val="nil"/>
              <w:left w:val="nil"/>
              <w:bottom w:val="nil"/>
              <w:right w:val="single" w:sz="6" w:space="0" w:color="auto"/>
            </w:tcBorders>
          </w:tcPr>
          <w:p w:rsidR="00702D3D" w:rsidRPr="000B6EEE" w:rsidRDefault="00702D3D" w:rsidP="00290B12">
            <w:pPr>
              <w:tabs>
                <w:tab w:val="left" w:leader="dot" w:pos="6282"/>
              </w:tabs>
            </w:pPr>
            <w:r w:rsidRPr="000B6EEE">
              <w:rPr>
                <w:sz w:val="22"/>
              </w:rPr>
              <w:t>Western Australia</w:t>
            </w:r>
            <w:r w:rsidR="00290B12">
              <w:rPr>
                <w:sz w:val="22"/>
              </w:rPr>
              <w:tab/>
            </w:r>
          </w:p>
        </w:tc>
        <w:tc>
          <w:tcPr>
            <w:tcW w:w="1499" w:type="pct"/>
            <w:tcBorders>
              <w:top w:val="nil"/>
              <w:left w:val="single" w:sz="6" w:space="0" w:color="auto"/>
              <w:bottom w:val="nil"/>
              <w:right w:val="nil"/>
            </w:tcBorders>
          </w:tcPr>
          <w:p w:rsidR="00702D3D" w:rsidRPr="000B6EEE" w:rsidRDefault="00702D3D" w:rsidP="000B6EEE"/>
        </w:tc>
      </w:tr>
      <w:tr w:rsidR="00702D3D" w:rsidRPr="000B6EEE" w:rsidTr="00483002">
        <w:trPr>
          <w:trHeight w:val="264"/>
        </w:trPr>
        <w:tc>
          <w:tcPr>
            <w:tcW w:w="3501" w:type="pct"/>
            <w:tcBorders>
              <w:top w:val="nil"/>
              <w:left w:val="nil"/>
              <w:bottom w:val="single" w:sz="6" w:space="0" w:color="auto"/>
              <w:right w:val="single" w:sz="6" w:space="0" w:color="auto"/>
            </w:tcBorders>
          </w:tcPr>
          <w:p w:rsidR="00702D3D" w:rsidRPr="000B6EEE" w:rsidRDefault="00702D3D" w:rsidP="00290B12">
            <w:pPr>
              <w:tabs>
                <w:tab w:val="left" w:leader="dot" w:pos="6282"/>
              </w:tabs>
            </w:pPr>
            <w:r w:rsidRPr="000B6EEE">
              <w:rPr>
                <w:sz w:val="22"/>
              </w:rPr>
              <w:t>Tasmania</w:t>
            </w:r>
            <w:r w:rsidR="00290B12">
              <w:rPr>
                <w:sz w:val="22"/>
              </w:rPr>
              <w:tab/>
            </w:r>
          </w:p>
        </w:tc>
        <w:tc>
          <w:tcPr>
            <w:tcW w:w="1499" w:type="pct"/>
            <w:tcBorders>
              <w:top w:val="nil"/>
              <w:left w:val="single" w:sz="6" w:space="0" w:color="auto"/>
              <w:bottom w:val="single" w:sz="6" w:space="0" w:color="auto"/>
              <w:right w:val="nil"/>
            </w:tcBorders>
          </w:tcPr>
          <w:p w:rsidR="00702D3D" w:rsidRPr="000B6EEE" w:rsidRDefault="00702D3D" w:rsidP="000B6EEE"/>
        </w:tc>
      </w:tr>
      <w:tr w:rsidR="00702D3D" w:rsidRPr="000B6EEE" w:rsidTr="00483002">
        <w:trPr>
          <w:trHeight w:val="427"/>
        </w:trPr>
        <w:tc>
          <w:tcPr>
            <w:tcW w:w="3501" w:type="pct"/>
            <w:tcBorders>
              <w:top w:val="single" w:sz="6" w:space="0" w:color="auto"/>
              <w:left w:val="nil"/>
              <w:bottom w:val="single" w:sz="6" w:space="0" w:color="auto"/>
              <w:right w:val="single" w:sz="6" w:space="0" w:color="auto"/>
            </w:tcBorders>
          </w:tcPr>
          <w:p w:rsidR="00702D3D" w:rsidRPr="000B6EEE" w:rsidRDefault="00702D3D" w:rsidP="00483002">
            <w:pPr>
              <w:tabs>
                <w:tab w:val="left" w:leader="dot" w:pos="6282"/>
              </w:tabs>
              <w:spacing w:before="60" w:after="60"/>
            </w:pPr>
            <w:r w:rsidRPr="000B6EEE">
              <w:rPr>
                <w:sz w:val="22"/>
              </w:rPr>
              <w:t>The Commonwealth</w:t>
            </w:r>
            <w:r w:rsidR="00290B12">
              <w:rPr>
                <w:sz w:val="22"/>
              </w:rPr>
              <w:tab/>
            </w:r>
          </w:p>
        </w:tc>
        <w:tc>
          <w:tcPr>
            <w:tcW w:w="1499" w:type="pct"/>
            <w:tcBorders>
              <w:top w:val="single" w:sz="6" w:space="0" w:color="auto"/>
              <w:left w:val="single" w:sz="6" w:space="0" w:color="auto"/>
              <w:bottom w:val="single" w:sz="6" w:space="0" w:color="auto"/>
              <w:right w:val="nil"/>
            </w:tcBorders>
          </w:tcPr>
          <w:p w:rsidR="00702D3D" w:rsidRPr="000B6EEE" w:rsidRDefault="00702D3D" w:rsidP="000B6EEE"/>
        </w:tc>
      </w:tr>
    </w:tbl>
    <w:p w:rsidR="00702D3D" w:rsidRPr="000B6EEE" w:rsidRDefault="00312C7E" w:rsidP="00483002">
      <w:pPr>
        <w:tabs>
          <w:tab w:val="left" w:pos="3591"/>
          <w:tab w:val="left" w:pos="6363"/>
        </w:tabs>
        <w:ind w:left="288"/>
        <w:rPr>
          <w:sz w:val="22"/>
        </w:rPr>
      </w:pPr>
      <w:r>
        <w:rPr>
          <w:sz w:val="22"/>
        </w:rPr>
        <w:t>Dated the</w:t>
      </w:r>
      <w:r>
        <w:rPr>
          <w:sz w:val="22"/>
        </w:rPr>
        <w:tab/>
        <w:t>day of</w:t>
      </w:r>
      <w:r>
        <w:rPr>
          <w:sz w:val="22"/>
        </w:rPr>
        <w:tab/>
      </w:r>
      <w:r w:rsidR="00702D3D" w:rsidRPr="000B6EEE">
        <w:rPr>
          <w:sz w:val="22"/>
        </w:rPr>
        <w:t>19</w:t>
      </w:r>
    </w:p>
    <w:p w:rsidR="00702D3D" w:rsidRDefault="00702D3D" w:rsidP="00483002">
      <w:pPr>
        <w:ind w:right="576"/>
        <w:jc w:val="right"/>
        <w:rPr>
          <w:i/>
          <w:sz w:val="22"/>
        </w:rPr>
      </w:pPr>
      <w:r w:rsidRPr="000B6EEE">
        <w:rPr>
          <w:i/>
          <w:sz w:val="22"/>
        </w:rPr>
        <w:t>Chief Electoral Officer.</w:t>
      </w:r>
    </w:p>
    <w:p w:rsidR="00C351F2" w:rsidRPr="00483002" w:rsidRDefault="00C351F2" w:rsidP="00483002">
      <w:pPr>
        <w:pBdr>
          <w:top w:val="single" w:sz="8" w:space="1" w:color="auto"/>
        </w:pBdr>
        <w:spacing w:before="600"/>
        <w:ind w:left="4018" w:right="4018"/>
        <w:jc w:val="center"/>
        <w:rPr>
          <w:sz w:val="22"/>
        </w:rPr>
      </w:pPr>
    </w:p>
    <w:sectPr w:rsidR="00C351F2" w:rsidRPr="00483002" w:rsidSect="00EE7D8D">
      <w:headerReference w:type="even" r:id="rId8"/>
      <w:headerReference w:type="default" r:id="rId9"/>
      <w:pgSz w:w="11909" w:h="16834" w:code="9"/>
      <w:pgMar w:top="1138" w:right="850" w:bottom="1138" w:left="1699"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F4B" w:rsidRDefault="00BC1F4B">
      <w:r>
        <w:separator/>
      </w:r>
    </w:p>
  </w:endnote>
  <w:endnote w:type="continuationSeparator" w:id="0">
    <w:p w:rsidR="00BC1F4B" w:rsidRDefault="00BC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F4B" w:rsidRDefault="00BC1F4B">
      <w:r>
        <w:separator/>
      </w:r>
    </w:p>
  </w:footnote>
  <w:footnote w:type="continuationSeparator" w:id="0">
    <w:p w:rsidR="00BC1F4B" w:rsidRDefault="00BC1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8D" w:rsidRPr="00EE7D8D" w:rsidRDefault="00EE7D8D">
    <w:pPr>
      <w:pStyle w:val="Header"/>
      <w:rPr>
        <w:sz w:val="20"/>
      </w:rPr>
    </w:pPr>
    <w:r w:rsidRPr="00EE7D8D">
      <w:rPr>
        <w:sz w:val="20"/>
      </w:rPr>
      <w:t>1905.</w:t>
    </w:r>
    <w:r w:rsidRPr="00EE7D8D">
      <w:rPr>
        <w:sz w:val="20"/>
      </w:rPr>
      <w:ptab w:relativeTo="margin" w:alignment="center" w:leader="none"/>
    </w:r>
    <w:r w:rsidRPr="00EE7D8D">
      <w:rPr>
        <w:i/>
        <w:sz w:val="20"/>
      </w:rPr>
      <w:t>Representation.</w:t>
    </w:r>
    <w:r w:rsidRPr="00EE7D8D">
      <w:rPr>
        <w:sz w:val="20"/>
      </w:rPr>
      <w:ptab w:relativeTo="margin" w:alignment="right" w:leader="none"/>
    </w:r>
    <w:r w:rsidRPr="00EE7D8D">
      <w:rPr>
        <w:sz w:val="20"/>
      </w:rPr>
      <w:t>No.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8D" w:rsidRPr="00BF01A5" w:rsidRDefault="00BF01A5">
    <w:pPr>
      <w:pStyle w:val="Header"/>
      <w:rPr>
        <w:sz w:val="20"/>
      </w:rPr>
    </w:pPr>
    <w:r w:rsidRPr="00BF01A5">
      <w:rPr>
        <w:sz w:val="20"/>
      </w:rPr>
      <w:t>No. 11.</w:t>
    </w:r>
    <w:r w:rsidR="00EE7D8D" w:rsidRPr="00BF01A5">
      <w:rPr>
        <w:sz w:val="20"/>
      </w:rPr>
      <w:ptab w:relativeTo="margin" w:alignment="center" w:leader="none"/>
    </w:r>
    <w:r w:rsidRPr="00BF01A5">
      <w:rPr>
        <w:i/>
        <w:sz w:val="20"/>
      </w:rPr>
      <w:t>Representation.</w:t>
    </w:r>
    <w:r w:rsidR="00EE7D8D" w:rsidRPr="00BF01A5">
      <w:rPr>
        <w:sz w:val="20"/>
      </w:rPr>
      <w:ptab w:relativeTo="margin" w:alignment="right" w:leader="none"/>
    </w:r>
    <w:r w:rsidRPr="00BF01A5">
      <w:rPr>
        <w:sz w:val="20"/>
      </w:rPr>
      <w:t>1905.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1198"/>
    <w:multiLevelType w:val="hybridMultilevel"/>
    <w:tmpl w:val="BE66E818"/>
    <w:lvl w:ilvl="0" w:tplc="6F965B7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82723E5"/>
    <w:multiLevelType w:val="hybridMultilevel"/>
    <w:tmpl w:val="49B88916"/>
    <w:lvl w:ilvl="0" w:tplc="7D9C677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702D3D"/>
    <w:rsid w:val="00064EE2"/>
    <w:rsid w:val="00074938"/>
    <w:rsid w:val="000B6EEE"/>
    <w:rsid w:val="000C2831"/>
    <w:rsid w:val="001429C1"/>
    <w:rsid w:val="0021072F"/>
    <w:rsid w:val="00232FE7"/>
    <w:rsid w:val="002571D5"/>
    <w:rsid w:val="00262EB4"/>
    <w:rsid w:val="00265290"/>
    <w:rsid w:val="00290B12"/>
    <w:rsid w:val="002D0BC9"/>
    <w:rsid w:val="002F0D80"/>
    <w:rsid w:val="00312C7E"/>
    <w:rsid w:val="00341946"/>
    <w:rsid w:val="00371AE4"/>
    <w:rsid w:val="00407081"/>
    <w:rsid w:val="004743D0"/>
    <w:rsid w:val="00483002"/>
    <w:rsid w:val="004F4BBD"/>
    <w:rsid w:val="006563D4"/>
    <w:rsid w:val="006622A4"/>
    <w:rsid w:val="006C163B"/>
    <w:rsid w:val="006C7387"/>
    <w:rsid w:val="006F3357"/>
    <w:rsid w:val="00702D3D"/>
    <w:rsid w:val="00717F76"/>
    <w:rsid w:val="00756067"/>
    <w:rsid w:val="00757BDC"/>
    <w:rsid w:val="007F4236"/>
    <w:rsid w:val="00800AA3"/>
    <w:rsid w:val="008373F6"/>
    <w:rsid w:val="008E162E"/>
    <w:rsid w:val="0096381F"/>
    <w:rsid w:val="0096701A"/>
    <w:rsid w:val="00974E69"/>
    <w:rsid w:val="00995CEA"/>
    <w:rsid w:val="009D44E6"/>
    <w:rsid w:val="00A2550C"/>
    <w:rsid w:val="00A435C2"/>
    <w:rsid w:val="00AD1991"/>
    <w:rsid w:val="00B317DA"/>
    <w:rsid w:val="00B9508C"/>
    <w:rsid w:val="00BC1F4B"/>
    <w:rsid w:val="00BF01A5"/>
    <w:rsid w:val="00C351F2"/>
    <w:rsid w:val="00C8497A"/>
    <w:rsid w:val="00D07727"/>
    <w:rsid w:val="00D32AC9"/>
    <w:rsid w:val="00D57439"/>
    <w:rsid w:val="00D75D2A"/>
    <w:rsid w:val="00DF7BE1"/>
    <w:rsid w:val="00E6025E"/>
    <w:rsid w:val="00EA228A"/>
    <w:rsid w:val="00EE7D8D"/>
    <w:rsid w:val="00F46DD7"/>
    <w:rsid w:val="00FE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E2"/>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064EE2"/>
  </w:style>
  <w:style w:type="paragraph" w:customStyle="1" w:styleId="Style2">
    <w:name w:val="Style2"/>
    <w:basedOn w:val="Normal"/>
    <w:uiPriority w:val="99"/>
    <w:rsid w:val="00064EE2"/>
  </w:style>
  <w:style w:type="paragraph" w:customStyle="1" w:styleId="Style3">
    <w:name w:val="Style3"/>
    <w:basedOn w:val="Normal"/>
    <w:uiPriority w:val="99"/>
    <w:rsid w:val="00064EE2"/>
  </w:style>
  <w:style w:type="paragraph" w:customStyle="1" w:styleId="Style4">
    <w:name w:val="Style4"/>
    <w:basedOn w:val="Normal"/>
    <w:uiPriority w:val="99"/>
    <w:rsid w:val="00064EE2"/>
  </w:style>
  <w:style w:type="paragraph" w:customStyle="1" w:styleId="Style5">
    <w:name w:val="Style5"/>
    <w:basedOn w:val="Normal"/>
    <w:uiPriority w:val="99"/>
    <w:rsid w:val="00064EE2"/>
  </w:style>
  <w:style w:type="paragraph" w:customStyle="1" w:styleId="Style6">
    <w:name w:val="Style6"/>
    <w:basedOn w:val="Normal"/>
    <w:uiPriority w:val="99"/>
    <w:rsid w:val="00064EE2"/>
  </w:style>
  <w:style w:type="paragraph" w:customStyle="1" w:styleId="Style7">
    <w:name w:val="Style7"/>
    <w:basedOn w:val="Normal"/>
    <w:uiPriority w:val="99"/>
    <w:rsid w:val="00064EE2"/>
  </w:style>
  <w:style w:type="paragraph" w:customStyle="1" w:styleId="Style8">
    <w:name w:val="Style8"/>
    <w:basedOn w:val="Normal"/>
    <w:uiPriority w:val="99"/>
    <w:rsid w:val="00064EE2"/>
  </w:style>
  <w:style w:type="paragraph" w:customStyle="1" w:styleId="Style9">
    <w:name w:val="Style9"/>
    <w:basedOn w:val="Normal"/>
    <w:uiPriority w:val="99"/>
    <w:rsid w:val="00064EE2"/>
  </w:style>
  <w:style w:type="paragraph" w:customStyle="1" w:styleId="Style10">
    <w:name w:val="Style10"/>
    <w:basedOn w:val="Normal"/>
    <w:uiPriority w:val="99"/>
    <w:rsid w:val="00064EE2"/>
  </w:style>
  <w:style w:type="paragraph" w:customStyle="1" w:styleId="Style11">
    <w:name w:val="Style11"/>
    <w:basedOn w:val="Normal"/>
    <w:uiPriority w:val="99"/>
    <w:rsid w:val="00064EE2"/>
  </w:style>
  <w:style w:type="paragraph" w:customStyle="1" w:styleId="Style12">
    <w:name w:val="Style12"/>
    <w:basedOn w:val="Normal"/>
    <w:uiPriority w:val="99"/>
    <w:rsid w:val="00064EE2"/>
  </w:style>
  <w:style w:type="paragraph" w:customStyle="1" w:styleId="Style13">
    <w:name w:val="Style13"/>
    <w:basedOn w:val="Normal"/>
    <w:uiPriority w:val="99"/>
    <w:rsid w:val="00064EE2"/>
  </w:style>
  <w:style w:type="paragraph" w:customStyle="1" w:styleId="Style14">
    <w:name w:val="Style14"/>
    <w:basedOn w:val="Normal"/>
    <w:uiPriority w:val="99"/>
    <w:rsid w:val="00064EE2"/>
  </w:style>
  <w:style w:type="paragraph" w:customStyle="1" w:styleId="Style15">
    <w:name w:val="Style15"/>
    <w:basedOn w:val="Normal"/>
    <w:uiPriority w:val="99"/>
    <w:rsid w:val="00064EE2"/>
  </w:style>
  <w:style w:type="paragraph" w:customStyle="1" w:styleId="Style16">
    <w:name w:val="Style16"/>
    <w:basedOn w:val="Normal"/>
    <w:uiPriority w:val="99"/>
    <w:rsid w:val="00064EE2"/>
  </w:style>
  <w:style w:type="paragraph" w:customStyle="1" w:styleId="Style17">
    <w:name w:val="Style17"/>
    <w:basedOn w:val="Normal"/>
    <w:uiPriority w:val="99"/>
    <w:rsid w:val="00064EE2"/>
  </w:style>
  <w:style w:type="paragraph" w:customStyle="1" w:styleId="Style18">
    <w:name w:val="Style18"/>
    <w:basedOn w:val="Normal"/>
    <w:uiPriority w:val="99"/>
    <w:rsid w:val="00064EE2"/>
  </w:style>
  <w:style w:type="paragraph" w:customStyle="1" w:styleId="Style19">
    <w:name w:val="Style19"/>
    <w:basedOn w:val="Normal"/>
    <w:uiPriority w:val="99"/>
    <w:rsid w:val="00064EE2"/>
  </w:style>
  <w:style w:type="paragraph" w:customStyle="1" w:styleId="Style20">
    <w:name w:val="Style20"/>
    <w:basedOn w:val="Normal"/>
    <w:uiPriority w:val="99"/>
    <w:rsid w:val="00064EE2"/>
  </w:style>
  <w:style w:type="paragraph" w:customStyle="1" w:styleId="Style21">
    <w:name w:val="Style21"/>
    <w:basedOn w:val="Normal"/>
    <w:uiPriority w:val="99"/>
    <w:rsid w:val="00064EE2"/>
  </w:style>
  <w:style w:type="paragraph" w:customStyle="1" w:styleId="Style22">
    <w:name w:val="Style22"/>
    <w:basedOn w:val="Normal"/>
    <w:uiPriority w:val="99"/>
    <w:rsid w:val="00064EE2"/>
  </w:style>
  <w:style w:type="paragraph" w:customStyle="1" w:styleId="Style23">
    <w:name w:val="Style23"/>
    <w:basedOn w:val="Normal"/>
    <w:uiPriority w:val="99"/>
    <w:rsid w:val="00064EE2"/>
  </w:style>
  <w:style w:type="character" w:customStyle="1" w:styleId="FontStyle25">
    <w:name w:val="Font Style25"/>
    <w:basedOn w:val="DefaultParagraphFont"/>
    <w:uiPriority w:val="99"/>
    <w:rsid w:val="00064EE2"/>
    <w:rPr>
      <w:rFonts w:ascii="Times New Roman" w:hAnsi="Times New Roman" w:cs="Times New Roman"/>
      <w:sz w:val="32"/>
      <w:szCs w:val="32"/>
    </w:rPr>
  </w:style>
  <w:style w:type="character" w:customStyle="1" w:styleId="FontStyle26">
    <w:name w:val="Font Style26"/>
    <w:basedOn w:val="DefaultParagraphFont"/>
    <w:uiPriority w:val="99"/>
    <w:rsid w:val="00064EE2"/>
    <w:rPr>
      <w:rFonts w:ascii="Times New Roman" w:hAnsi="Times New Roman" w:cs="Times New Roman"/>
      <w:b/>
      <w:bCs/>
      <w:sz w:val="24"/>
      <w:szCs w:val="24"/>
    </w:rPr>
  </w:style>
  <w:style w:type="character" w:customStyle="1" w:styleId="FontStyle27">
    <w:name w:val="Font Style27"/>
    <w:basedOn w:val="DefaultParagraphFont"/>
    <w:uiPriority w:val="99"/>
    <w:rsid w:val="00064EE2"/>
    <w:rPr>
      <w:rFonts w:ascii="Times New Roman" w:hAnsi="Times New Roman" w:cs="Times New Roman"/>
      <w:sz w:val="26"/>
      <w:szCs w:val="26"/>
    </w:rPr>
  </w:style>
  <w:style w:type="character" w:customStyle="1" w:styleId="FontStyle28">
    <w:name w:val="Font Style28"/>
    <w:basedOn w:val="DefaultParagraphFont"/>
    <w:uiPriority w:val="99"/>
    <w:rsid w:val="00064EE2"/>
    <w:rPr>
      <w:rFonts w:ascii="Times New Roman" w:hAnsi="Times New Roman" w:cs="Times New Roman"/>
      <w:b/>
      <w:bCs/>
      <w:sz w:val="50"/>
      <w:szCs w:val="50"/>
    </w:rPr>
  </w:style>
  <w:style w:type="character" w:customStyle="1" w:styleId="FontStyle29">
    <w:name w:val="Font Style29"/>
    <w:basedOn w:val="DefaultParagraphFont"/>
    <w:uiPriority w:val="99"/>
    <w:rsid w:val="00064EE2"/>
    <w:rPr>
      <w:rFonts w:ascii="Times New Roman" w:hAnsi="Times New Roman" w:cs="Times New Roman"/>
      <w:b/>
      <w:bCs/>
      <w:sz w:val="20"/>
      <w:szCs w:val="20"/>
    </w:rPr>
  </w:style>
  <w:style w:type="character" w:customStyle="1" w:styleId="FontStyle30">
    <w:name w:val="Font Style30"/>
    <w:basedOn w:val="DefaultParagraphFont"/>
    <w:uiPriority w:val="99"/>
    <w:rsid w:val="00064EE2"/>
    <w:rPr>
      <w:rFonts w:ascii="Georgia" w:hAnsi="Georgia" w:cs="Georgia"/>
      <w:b/>
      <w:bCs/>
      <w:sz w:val="18"/>
      <w:szCs w:val="18"/>
    </w:rPr>
  </w:style>
  <w:style w:type="character" w:customStyle="1" w:styleId="FontStyle31">
    <w:name w:val="Font Style31"/>
    <w:basedOn w:val="DefaultParagraphFont"/>
    <w:uiPriority w:val="99"/>
    <w:rsid w:val="00064EE2"/>
    <w:rPr>
      <w:rFonts w:ascii="Times New Roman" w:hAnsi="Times New Roman" w:cs="Times New Roman"/>
      <w:sz w:val="20"/>
      <w:szCs w:val="20"/>
    </w:rPr>
  </w:style>
  <w:style w:type="character" w:customStyle="1" w:styleId="FontStyle32">
    <w:name w:val="Font Style32"/>
    <w:basedOn w:val="DefaultParagraphFont"/>
    <w:uiPriority w:val="99"/>
    <w:rsid w:val="00064EE2"/>
    <w:rPr>
      <w:rFonts w:ascii="Times New Roman" w:hAnsi="Times New Roman" w:cs="Times New Roman"/>
      <w:b/>
      <w:bCs/>
      <w:spacing w:val="20"/>
      <w:sz w:val="20"/>
      <w:szCs w:val="20"/>
    </w:rPr>
  </w:style>
  <w:style w:type="character" w:customStyle="1" w:styleId="FontStyle33">
    <w:name w:val="Font Style33"/>
    <w:basedOn w:val="DefaultParagraphFont"/>
    <w:uiPriority w:val="99"/>
    <w:rsid w:val="00064EE2"/>
    <w:rPr>
      <w:rFonts w:ascii="Times New Roman" w:hAnsi="Times New Roman" w:cs="Times New Roman"/>
      <w:i/>
      <w:iCs/>
      <w:sz w:val="20"/>
      <w:szCs w:val="20"/>
    </w:rPr>
  </w:style>
  <w:style w:type="character" w:customStyle="1" w:styleId="FontStyle34">
    <w:name w:val="Font Style34"/>
    <w:basedOn w:val="DefaultParagraphFont"/>
    <w:uiPriority w:val="99"/>
    <w:rsid w:val="00064EE2"/>
    <w:rPr>
      <w:rFonts w:ascii="Georgia" w:hAnsi="Georgia" w:cs="Georgia"/>
      <w:b/>
      <w:bCs/>
      <w:sz w:val="18"/>
      <w:szCs w:val="18"/>
    </w:rPr>
  </w:style>
  <w:style w:type="character" w:customStyle="1" w:styleId="FontStyle35">
    <w:name w:val="Font Style35"/>
    <w:basedOn w:val="DefaultParagraphFont"/>
    <w:uiPriority w:val="99"/>
    <w:rsid w:val="00064EE2"/>
    <w:rPr>
      <w:rFonts w:ascii="Times New Roman" w:hAnsi="Times New Roman" w:cs="Times New Roman"/>
      <w:b/>
      <w:bCs/>
      <w:sz w:val="14"/>
      <w:szCs w:val="14"/>
    </w:rPr>
  </w:style>
  <w:style w:type="character" w:customStyle="1" w:styleId="FontStyle36">
    <w:name w:val="Font Style36"/>
    <w:basedOn w:val="DefaultParagraphFont"/>
    <w:uiPriority w:val="99"/>
    <w:rsid w:val="00064EE2"/>
    <w:rPr>
      <w:rFonts w:ascii="Times New Roman" w:hAnsi="Times New Roman" w:cs="Times New Roman"/>
      <w:i/>
      <w:iCs/>
      <w:spacing w:val="30"/>
      <w:sz w:val="18"/>
      <w:szCs w:val="18"/>
    </w:rPr>
  </w:style>
  <w:style w:type="character" w:customStyle="1" w:styleId="FontStyle37">
    <w:name w:val="Font Style37"/>
    <w:basedOn w:val="DefaultParagraphFont"/>
    <w:uiPriority w:val="99"/>
    <w:rsid w:val="00064EE2"/>
    <w:rPr>
      <w:rFonts w:ascii="Times New Roman" w:hAnsi="Times New Roman" w:cs="Times New Roman"/>
      <w:b/>
      <w:bCs/>
      <w:spacing w:val="10"/>
      <w:sz w:val="20"/>
      <w:szCs w:val="20"/>
    </w:rPr>
  </w:style>
  <w:style w:type="character" w:customStyle="1" w:styleId="FontStyle38">
    <w:name w:val="Font Style38"/>
    <w:basedOn w:val="DefaultParagraphFont"/>
    <w:uiPriority w:val="99"/>
    <w:rsid w:val="00064EE2"/>
    <w:rPr>
      <w:rFonts w:ascii="Times New Roman" w:hAnsi="Times New Roman" w:cs="Times New Roman"/>
      <w:b/>
      <w:bCs/>
      <w:sz w:val="14"/>
      <w:szCs w:val="14"/>
    </w:rPr>
  </w:style>
  <w:style w:type="character" w:customStyle="1" w:styleId="FontStyle39">
    <w:name w:val="Font Style39"/>
    <w:basedOn w:val="DefaultParagraphFont"/>
    <w:uiPriority w:val="99"/>
    <w:rsid w:val="00064EE2"/>
    <w:rPr>
      <w:rFonts w:ascii="Times New Roman" w:hAnsi="Times New Roman" w:cs="Times New Roman"/>
      <w:b/>
      <w:bCs/>
      <w:smallCaps/>
      <w:sz w:val="14"/>
      <w:szCs w:val="14"/>
    </w:rPr>
  </w:style>
  <w:style w:type="character" w:customStyle="1" w:styleId="FontStyle40">
    <w:name w:val="Font Style40"/>
    <w:basedOn w:val="DefaultParagraphFont"/>
    <w:uiPriority w:val="99"/>
    <w:rsid w:val="00064EE2"/>
    <w:rPr>
      <w:rFonts w:ascii="Times New Roman" w:hAnsi="Times New Roman" w:cs="Times New Roman"/>
      <w:b/>
      <w:bCs/>
      <w:i/>
      <w:iCs/>
      <w:sz w:val="14"/>
      <w:szCs w:val="14"/>
    </w:rPr>
  </w:style>
  <w:style w:type="paragraph" w:styleId="Header">
    <w:name w:val="header"/>
    <w:basedOn w:val="Normal"/>
    <w:link w:val="HeaderChar"/>
    <w:uiPriority w:val="99"/>
    <w:semiHidden/>
    <w:unhideWhenUsed/>
    <w:rsid w:val="00EE7D8D"/>
    <w:pPr>
      <w:tabs>
        <w:tab w:val="center" w:pos="4680"/>
        <w:tab w:val="right" w:pos="9360"/>
      </w:tabs>
    </w:pPr>
  </w:style>
  <w:style w:type="character" w:customStyle="1" w:styleId="HeaderChar">
    <w:name w:val="Header Char"/>
    <w:basedOn w:val="DefaultParagraphFont"/>
    <w:link w:val="Header"/>
    <w:uiPriority w:val="99"/>
    <w:semiHidden/>
    <w:locked/>
    <w:rsid w:val="00EE7D8D"/>
    <w:rPr>
      <w:rFonts w:hAnsi="Times New Roman" w:cs="Times New Roman"/>
      <w:sz w:val="24"/>
      <w:szCs w:val="24"/>
    </w:rPr>
  </w:style>
  <w:style w:type="paragraph" w:styleId="Footer">
    <w:name w:val="footer"/>
    <w:basedOn w:val="Normal"/>
    <w:link w:val="FooterChar"/>
    <w:uiPriority w:val="99"/>
    <w:semiHidden/>
    <w:unhideWhenUsed/>
    <w:rsid w:val="00EE7D8D"/>
    <w:pPr>
      <w:tabs>
        <w:tab w:val="center" w:pos="4680"/>
        <w:tab w:val="right" w:pos="9360"/>
      </w:tabs>
    </w:pPr>
  </w:style>
  <w:style w:type="character" w:customStyle="1" w:styleId="FooterChar">
    <w:name w:val="Footer Char"/>
    <w:basedOn w:val="DefaultParagraphFont"/>
    <w:link w:val="Footer"/>
    <w:uiPriority w:val="99"/>
    <w:semiHidden/>
    <w:locked/>
    <w:rsid w:val="00EE7D8D"/>
    <w:rPr>
      <w:rFonts w:hAnsi="Times New Roman" w:cs="Times New Roman"/>
      <w:sz w:val="24"/>
      <w:szCs w:val="24"/>
    </w:rPr>
  </w:style>
  <w:style w:type="paragraph" w:styleId="BalloonText">
    <w:name w:val="Balloon Text"/>
    <w:basedOn w:val="Normal"/>
    <w:link w:val="BalloonTextChar"/>
    <w:uiPriority w:val="99"/>
    <w:semiHidden/>
    <w:unhideWhenUsed/>
    <w:rsid w:val="00EE7D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7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1626</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15</cp:revision>
  <dcterms:created xsi:type="dcterms:W3CDTF">2017-03-27T10:09:00Z</dcterms:created>
  <dcterms:modified xsi:type="dcterms:W3CDTF">2017-05-23T06:03:00Z</dcterms:modified>
</cp:coreProperties>
</file>