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01" w:rsidRPr="00F1293C" w:rsidRDefault="00797D01" w:rsidP="00A40198">
      <w:pPr>
        <w:pBdr>
          <w:top w:val="single" w:sz="4" w:space="1" w:color="auto"/>
        </w:pBdr>
        <w:spacing w:before="6600" w:after="120" w:line="240" w:lineRule="auto"/>
        <w:ind w:left="3600" w:right="3600"/>
        <w:jc w:val="center"/>
        <w:rPr>
          <w:rFonts w:ascii="Times New Roman" w:hAnsi="Times New Roman" w:cs="Times New Roman"/>
        </w:rPr>
      </w:pPr>
    </w:p>
    <w:p w:rsidR="00745412" w:rsidRPr="002B4949" w:rsidRDefault="00745412" w:rsidP="002B4949">
      <w:pPr>
        <w:spacing w:before="120" w:after="120" w:line="240" w:lineRule="auto"/>
        <w:jc w:val="center"/>
        <w:rPr>
          <w:rFonts w:ascii="Times New Roman" w:hAnsi="Times New Roman"/>
          <w:sz w:val="36"/>
        </w:rPr>
      </w:pPr>
      <w:r w:rsidRPr="002B4949">
        <w:rPr>
          <w:rFonts w:ascii="Times New Roman" w:hAnsi="Times New Roman"/>
          <w:sz w:val="36"/>
        </w:rPr>
        <w:t>WAR PRECAUTIONS.</w:t>
      </w:r>
    </w:p>
    <w:p w:rsidR="00797D01" w:rsidRPr="00F1293C" w:rsidRDefault="00797D01" w:rsidP="00797D01">
      <w:pPr>
        <w:pBdr>
          <w:top w:val="single" w:sz="4" w:space="1" w:color="auto"/>
        </w:pBdr>
        <w:spacing w:before="120" w:after="120" w:line="240" w:lineRule="auto"/>
        <w:ind w:left="4032" w:right="4032"/>
        <w:jc w:val="center"/>
        <w:rPr>
          <w:rFonts w:ascii="Times New Roman" w:hAnsi="Times New Roman" w:cs="Times New Roman"/>
        </w:rPr>
      </w:pPr>
    </w:p>
    <w:p w:rsidR="00745412" w:rsidRPr="002B4949" w:rsidRDefault="00745412" w:rsidP="002B4949">
      <w:pPr>
        <w:spacing w:before="120" w:after="120" w:line="240" w:lineRule="auto"/>
        <w:jc w:val="center"/>
        <w:rPr>
          <w:rFonts w:ascii="Times New Roman" w:hAnsi="Times New Roman"/>
          <w:sz w:val="28"/>
        </w:rPr>
      </w:pPr>
      <w:r w:rsidRPr="002B4949">
        <w:rPr>
          <w:rFonts w:ascii="Times New Roman" w:hAnsi="Times New Roman"/>
          <w:b/>
          <w:sz w:val="28"/>
        </w:rPr>
        <w:t>No. 37 of 1918.</w:t>
      </w:r>
    </w:p>
    <w:p w:rsidR="00745412" w:rsidRPr="002B4949" w:rsidRDefault="00745412" w:rsidP="002B4949">
      <w:pPr>
        <w:spacing w:before="120" w:after="120" w:line="240" w:lineRule="auto"/>
        <w:ind w:left="720" w:hanging="720"/>
        <w:jc w:val="both"/>
        <w:rPr>
          <w:rFonts w:ascii="Times New Roman" w:hAnsi="Times New Roman"/>
          <w:sz w:val="26"/>
        </w:rPr>
      </w:pPr>
      <w:r w:rsidRPr="002B4949">
        <w:rPr>
          <w:rFonts w:ascii="Times New Roman" w:hAnsi="Times New Roman"/>
          <w:sz w:val="26"/>
        </w:rPr>
        <w:t xml:space="preserve">An Act to extend the duration of the </w:t>
      </w:r>
      <w:r w:rsidRPr="002B4949">
        <w:rPr>
          <w:rFonts w:ascii="Times New Roman" w:hAnsi="Times New Roman"/>
          <w:i/>
          <w:sz w:val="26"/>
        </w:rPr>
        <w:t xml:space="preserve">War Precautions Act </w:t>
      </w:r>
      <w:r w:rsidRPr="002B4949">
        <w:rPr>
          <w:rFonts w:ascii="Times New Roman" w:hAnsi="Times New Roman"/>
          <w:sz w:val="26"/>
        </w:rPr>
        <w:t>1914</w:t>
      </w:r>
      <w:r w:rsidR="00F1293C">
        <w:rPr>
          <w:rFonts w:ascii="Times New Roman" w:hAnsi="Times New Roman"/>
          <w:sz w:val="26"/>
        </w:rPr>
        <w:t>–</w:t>
      </w:r>
      <w:r w:rsidRPr="002B4949">
        <w:rPr>
          <w:rFonts w:ascii="Times New Roman" w:hAnsi="Times New Roman"/>
          <w:sz w:val="26"/>
        </w:rPr>
        <w:t>1916 and for other purposes.</w:t>
      </w:r>
    </w:p>
    <w:p w:rsidR="00745412" w:rsidRPr="002B4949" w:rsidRDefault="00745412" w:rsidP="002B4949">
      <w:pPr>
        <w:spacing w:before="120" w:after="120" w:line="240" w:lineRule="auto"/>
        <w:jc w:val="right"/>
        <w:rPr>
          <w:rFonts w:ascii="Times New Roman" w:hAnsi="Times New Roman"/>
          <w:sz w:val="26"/>
        </w:rPr>
      </w:pPr>
      <w:r w:rsidRPr="002B4949">
        <w:rPr>
          <w:rFonts w:ascii="Times New Roman" w:hAnsi="Times New Roman"/>
          <w:sz w:val="26"/>
        </w:rPr>
        <w:t>[Assented to 25th December, 1918.]</w:t>
      </w:r>
    </w:p>
    <w:p w:rsidR="00745412" w:rsidRPr="005A5F1F" w:rsidRDefault="00745412" w:rsidP="005A5F1F">
      <w:pPr>
        <w:spacing w:before="120" w:after="60" w:line="240" w:lineRule="auto"/>
        <w:rPr>
          <w:rFonts w:ascii="Times New Roman" w:hAnsi="Times New Roman" w:cs="Times New Roman"/>
          <w:b/>
          <w:sz w:val="20"/>
        </w:rPr>
      </w:pPr>
      <w:r w:rsidRPr="005A5F1F">
        <w:rPr>
          <w:rFonts w:ascii="Times New Roman" w:hAnsi="Times New Roman" w:cs="Times New Roman"/>
          <w:b/>
          <w:sz w:val="20"/>
        </w:rPr>
        <w:t>Preamble.</w:t>
      </w:r>
    </w:p>
    <w:p w:rsidR="00745412" w:rsidRPr="005647E7" w:rsidRDefault="00745412" w:rsidP="00EA2918">
      <w:pPr>
        <w:spacing w:after="0" w:line="240" w:lineRule="auto"/>
        <w:jc w:val="both"/>
        <w:rPr>
          <w:rFonts w:ascii="Times New Roman" w:hAnsi="Times New Roman"/>
        </w:rPr>
      </w:pPr>
      <w:r w:rsidRPr="005647E7">
        <w:rPr>
          <w:rFonts w:ascii="Times New Roman" w:hAnsi="Times New Roman"/>
        </w:rPr>
        <w:t xml:space="preserve">WHEREAS by the </w:t>
      </w:r>
      <w:r w:rsidRPr="00DC589A">
        <w:rPr>
          <w:rFonts w:ascii="Times New Roman" w:hAnsi="Times New Roman"/>
          <w:i/>
        </w:rPr>
        <w:t>War Precautions Act</w:t>
      </w:r>
      <w:r w:rsidRPr="00DC589A">
        <w:rPr>
          <w:rFonts w:ascii="Times New Roman" w:hAnsi="Times New Roman"/>
          <w:b/>
          <w:i/>
        </w:rPr>
        <w:t xml:space="preserve"> </w:t>
      </w:r>
      <w:r w:rsidRPr="005647E7">
        <w:rPr>
          <w:rFonts w:ascii="Times New Roman" w:hAnsi="Times New Roman"/>
        </w:rPr>
        <w:t>1914</w:t>
      </w:r>
      <w:r w:rsidR="00F1293C">
        <w:rPr>
          <w:rFonts w:ascii="Times New Roman" w:hAnsi="Times New Roman"/>
        </w:rPr>
        <w:t>–</w:t>
      </w:r>
      <w:r w:rsidRPr="005647E7">
        <w:rPr>
          <w:rFonts w:ascii="Times New Roman" w:hAnsi="Times New Roman"/>
        </w:rPr>
        <w:t>1916 it is enacted that the Governor-General may make Regulations and Orders for securing the public safety and the defence of the Commonwealth:</w:t>
      </w:r>
    </w:p>
    <w:p w:rsidR="00745412" w:rsidRPr="005647E7" w:rsidRDefault="00745412" w:rsidP="00EA2918">
      <w:pPr>
        <w:spacing w:before="60" w:after="0" w:line="240" w:lineRule="auto"/>
        <w:ind w:firstLine="432"/>
        <w:jc w:val="both"/>
        <w:rPr>
          <w:rFonts w:ascii="Times New Roman" w:hAnsi="Times New Roman"/>
        </w:rPr>
      </w:pPr>
      <w:r w:rsidRPr="005647E7">
        <w:rPr>
          <w:rFonts w:ascii="Times New Roman" w:hAnsi="Times New Roman"/>
        </w:rPr>
        <w:t>And whereas the said Act and the Regulations and Orders thereunder continue in operation during the continuance of the present state of war, and no longer:</w:t>
      </w:r>
    </w:p>
    <w:p w:rsidR="00745412" w:rsidRPr="005647E7" w:rsidRDefault="00745412" w:rsidP="00745412">
      <w:pPr>
        <w:spacing w:after="0" w:line="240" w:lineRule="auto"/>
        <w:rPr>
          <w:rFonts w:ascii="Times New Roman" w:hAnsi="Times New Roman"/>
        </w:rPr>
      </w:pPr>
      <w:r>
        <w:rPr>
          <w:rFonts w:ascii="Times New Roman" w:hAnsi="Times New Roman"/>
        </w:rPr>
        <w:br w:type="page"/>
      </w:r>
    </w:p>
    <w:p w:rsidR="00745412" w:rsidRPr="005647E7" w:rsidRDefault="00745412" w:rsidP="00EA2918">
      <w:pPr>
        <w:spacing w:after="0" w:line="240" w:lineRule="auto"/>
        <w:ind w:firstLine="432"/>
        <w:jc w:val="both"/>
        <w:rPr>
          <w:rFonts w:ascii="Times New Roman" w:hAnsi="Times New Roman"/>
        </w:rPr>
      </w:pPr>
      <w:r w:rsidRPr="005647E7">
        <w:rPr>
          <w:rFonts w:ascii="Times New Roman" w:hAnsi="Times New Roman"/>
        </w:rPr>
        <w:lastRenderedPageBreak/>
        <w:t>And whereas it may not be possible before the war has ceased to make complete provision for a return to the normal conditions of peace</w:t>
      </w:r>
      <w:r w:rsidR="00F1293C">
        <w:rPr>
          <w:rFonts w:ascii="Times New Roman" w:hAnsi="Times New Roman"/>
        </w:rPr>
        <w:t>:</w:t>
      </w:r>
    </w:p>
    <w:p w:rsidR="00B333C2" w:rsidRDefault="00745412" w:rsidP="00B333C2">
      <w:pPr>
        <w:spacing w:before="60" w:after="0" w:line="240" w:lineRule="auto"/>
        <w:ind w:firstLine="432"/>
        <w:jc w:val="both"/>
        <w:rPr>
          <w:rFonts w:ascii="Times New Roman" w:hAnsi="Times New Roman"/>
        </w:rPr>
      </w:pPr>
      <w:r w:rsidRPr="005647E7">
        <w:rPr>
          <w:rFonts w:ascii="Times New Roman" w:hAnsi="Times New Roman"/>
        </w:rPr>
        <w:t>And whereas the expiration of the said Act and of all Order</w:t>
      </w:r>
      <w:r w:rsidR="00A14C86">
        <w:rPr>
          <w:rFonts w:ascii="Times New Roman" w:hAnsi="Times New Roman"/>
        </w:rPr>
        <w:t>’</w:t>
      </w:r>
      <w:r w:rsidRPr="005647E7">
        <w:rPr>
          <w:rFonts w:ascii="Times New Roman" w:hAnsi="Times New Roman"/>
        </w:rPr>
        <w:t>s and Regulations made thereunder, in the absence of such provision, would cause great public danger and inconvenience:</w:t>
      </w:r>
    </w:p>
    <w:p w:rsidR="00745412" w:rsidRPr="005647E7" w:rsidRDefault="00745412" w:rsidP="00B333C2">
      <w:pPr>
        <w:spacing w:before="60" w:after="0" w:line="240" w:lineRule="auto"/>
        <w:ind w:firstLine="432"/>
        <w:jc w:val="both"/>
        <w:rPr>
          <w:rFonts w:ascii="Times New Roman" w:hAnsi="Times New Roman"/>
        </w:rPr>
      </w:pPr>
      <w:r w:rsidRPr="005647E7">
        <w:rPr>
          <w:rFonts w:ascii="Times New Roman" w:hAnsi="Times New Roman"/>
        </w:rPr>
        <w:t>Be it therefore enacted by the King</w:t>
      </w:r>
      <w:r w:rsidR="00A14C86">
        <w:rPr>
          <w:rFonts w:ascii="Times New Roman" w:hAnsi="Times New Roman"/>
        </w:rPr>
        <w:t>’</w:t>
      </w:r>
      <w:r w:rsidRPr="005647E7">
        <w:rPr>
          <w:rFonts w:ascii="Times New Roman" w:hAnsi="Times New Roman"/>
        </w:rPr>
        <w:t>s Most Excellent Majesty, the Senate, and the House of Representatives of the Commonwealth of Australia, as follows:—</w:t>
      </w:r>
    </w:p>
    <w:p w:rsidR="00745412" w:rsidRPr="00F1293C" w:rsidRDefault="00745412" w:rsidP="00F1293C">
      <w:pPr>
        <w:spacing w:before="120" w:after="60" w:line="240" w:lineRule="auto"/>
        <w:rPr>
          <w:rFonts w:ascii="Times New Roman" w:hAnsi="Times New Roman" w:cs="Times New Roman"/>
          <w:b/>
          <w:sz w:val="20"/>
        </w:rPr>
      </w:pPr>
      <w:r w:rsidRPr="00F1293C">
        <w:rPr>
          <w:rFonts w:ascii="Times New Roman" w:hAnsi="Times New Roman" w:cs="Times New Roman"/>
          <w:b/>
          <w:sz w:val="20"/>
        </w:rPr>
        <w:t>Short title.</w:t>
      </w:r>
    </w:p>
    <w:p w:rsidR="00745412" w:rsidRPr="005647E7" w:rsidRDefault="00745412" w:rsidP="00712A0C">
      <w:pPr>
        <w:spacing w:before="60" w:after="0" w:line="240" w:lineRule="auto"/>
        <w:ind w:firstLine="432"/>
        <w:jc w:val="both"/>
        <w:rPr>
          <w:rFonts w:ascii="Times New Roman" w:hAnsi="Times New Roman"/>
        </w:rPr>
      </w:pPr>
      <w:r w:rsidRPr="00DC589A">
        <w:rPr>
          <w:rFonts w:ascii="Times New Roman" w:hAnsi="Times New Roman"/>
          <w:b/>
        </w:rPr>
        <w:t>1.</w:t>
      </w:r>
      <w:r w:rsidRPr="005647E7">
        <w:rPr>
          <w:rFonts w:ascii="Times New Roman" w:hAnsi="Times New Roman"/>
        </w:rPr>
        <w:t>—(1.)</w:t>
      </w:r>
      <w:r w:rsidR="006E5F18">
        <w:rPr>
          <w:rFonts w:ascii="Times New Roman" w:hAnsi="Times New Roman"/>
        </w:rPr>
        <w:tab/>
      </w:r>
      <w:r w:rsidRPr="005647E7">
        <w:rPr>
          <w:rFonts w:ascii="Times New Roman" w:hAnsi="Times New Roman"/>
        </w:rPr>
        <w:t xml:space="preserve">This Act may be cited as the </w:t>
      </w:r>
      <w:r w:rsidRPr="00DC589A">
        <w:rPr>
          <w:rFonts w:ascii="Times New Roman" w:hAnsi="Times New Roman"/>
          <w:i/>
        </w:rPr>
        <w:t xml:space="preserve">War Precautions Act </w:t>
      </w:r>
      <w:r w:rsidRPr="005647E7">
        <w:rPr>
          <w:rFonts w:ascii="Times New Roman" w:hAnsi="Times New Roman"/>
        </w:rPr>
        <w:t>1918.</w:t>
      </w:r>
    </w:p>
    <w:p w:rsidR="006E5F18" w:rsidRDefault="00745412" w:rsidP="00712A0C">
      <w:pPr>
        <w:tabs>
          <w:tab w:val="left" w:pos="900"/>
        </w:tabs>
        <w:spacing w:before="60" w:after="0" w:line="240" w:lineRule="auto"/>
        <w:ind w:firstLine="432"/>
        <w:jc w:val="both"/>
        <w:rPr>
          <w:rFonts w:ascii="Times New Roman" w:hAnsi="Times New Roman"/>
        </w:rPr>
      </w:pPr>
      <w:r w:rsidRPr="005647E7">
        <w:rPr>
          <w:rFonts w:ascii="Times New Roman" w:hAnsi="Times New Roman"/>
        </w:rPr>
        <w:t>(2.)</w:t>
      </w:r>
      <w:r w:rsidR="006E5F18">
        <w:rPr>
          <w:rFonts w:ascii="Times New Roman" w:hAnsi="Times New Roman"/>
        </w:rPr>
        <w:tab/>
      </w:r>
      <w:r w:rsidRPr="005647E7">
        <w:rPr>
          <w:rFonts w:ascii="Times New Roman" w:hAnsi="Times New Roman"/>
        </w:rPr>
        <w:t xml:space="preserve">The </w:t>
      </w:r>
      <w:r w:rsidRPr="00DC589A">
        <w:rPr>
          <w:rFonts w:ascii="Times New Roman" w:hAnsi="Times New Roman"/>
          <w:i/>
        </w:rPr>
        <w:t>War Precautions Act</w:t>
      </w:r>
      <w:r w:rsidRPr="009440A3">
        <w:rPr>
          <w:rFonts w:ascii="Times New Roman" w:hAnsi="Times New Roman"/>
          <w:i/>
        </w:rPr>
        <w:t xml:space="preserve"> </w:t>
      </w:r>
      <w:r w:rsidRPr="005647E7">
        <w:rPr>
          <w:rFonts w:ascii="Times New Roman" w:hAnsi="Times New Roman"/>
        </w:rPr>
        <w:t>1914</w:t>
      </w:r>
      <w:r w:rsidR="00F1293C">
        <w:rPr>
          <w:rFonts w:ascii="Times New Roman" w:hAnsi="Times New Roman"/>
        </w:rPr>
        <w:t>–</w:t>
      </w:r>
      <w:r w:rsidRPr="005647E7">
        <w:rPr>
          <w:rFonts w:ascii="Times New Roman" w:hAnsi="Times New Roman"/>
        </w:rPr>
        <w:t>1916 is in this Act referred to as the Principal Act.</w:t>
      </w:r>
    </w:p>
    <w:p w:rsidR="00212F1C" w:rsidRDefault="00745412" w:rsidP="00712A0C">
      <w:pPr>
        <w:tabs>
          <w:tab w:val="left" w:pos="900"/>
        </w:tabs>
        <w:spacing w:before="60" w:after="0" w:line="240" w:lineRule="auto"/>
        <w:ind w:firstLine="432"/>
        <w:jc w:val="both"/>
        <w:rPr>
          <w:rFonts w:ascii="Times New Roman" w:hAnsi="Times New Roman"/>
        </w:rPr>
      </w:pPr>
      <w:r w:rsidRPr="005647E7">
        <w:rPr>
          <w:rFonts w:ascii="Times New Roman" w:hAnsi="Times New Roman"/>
        </w:rPr>
        <w:t>(3.)</w:t>
      </w:r>
      <w:r w:rsidR="006E5F18">
        <w:rPr>
          <w:rFonts w:ascii="Times New Roman" w:hAnsi="Times New Roman"/>
        </w:rPr>
        <w:tab/>
      </w:r>
      <w:r w:rsidRPr="005647E7">
        <w:rPr>
          <w:rFonts w:ascii="Times New Roman" w:hAnsi="Times New Roman"/>
        </w:rPr>
        <w:t xml:space="preserve">The Principal Act as amended by this Act may be cited as the </w:t>
      </w:r>
      <w:r w:rsidRPr="00DC589A">
        <w:rPr>
          <w:rFonts w:ascii="Times New Roman" w:hAnsi="Times New Roman"/>
          <w:i/>
        </w:rPr>
        <w:t>War Precautions Act</w:t>
      </w:r>
      <w:bookmarkStart w:id="0" w:name="_GoBack"/>
      <w:r w:rsidRPr="009440A3">
        <w:rPr>
          <w:rFonts w:ascii="Times New Roman" w:hAnsi="Times New Roman"/>
          <w:i/>
        </w:rPr>
        <w:t xml:space="preserve"> </w:t>
      </w:r>
      <w:bookmarkEnd w:id="0"/>
      <w:r w:rsidRPr="005647E7">
        <w:rPr>
          <w:rFonts w:ascii="Times New Roman" w:hAnsi="Times New Roman"/>
        </w:rPr>
        <w:t>1914</w:t>
      </w:r>
      <w:r w:rsidR="00F1293C">
        <w:rPr>
          <w:rFonts w:ascii="Times New Roman" w:hAnsi="Times New Roman"/>
        </w:rPr>
        <w:t>–</w:t>
      </w:r>
      <w:r w:rsidRPr="005647E7">
        <w:rPr>
          <w:rFonts w:ascii="Times New Roman" w:hAnsi="Times New Roman"/>
        </w:rPr>
        <w:t>1918.</w:t>
      </w:r>
    </w:p>
    <w:p w:rsidR="00212F1C" w:rsidRPr="00212F1C" w:rsidRDefault="00745412" w:rsidP="00212F1C">
      <w:pPr>
        <w:tabs>
          <w:tab w:val="left" w:pos="900"/>
        </w:tabs>
        <w:spacing w:before="120" w:after="60" w:line="240" w:lineRule="auto"/>
        <w:rPr>
          <w:rFonts w:ascii="Times New Roman" w:hAnsi="Times New Roman" w:cs="Times New Roman"/>
          <w:b/>
          <w:sz w:val="20"/>
        </w:rPr>
      </w:pPr>
      <w:r w:rsidRPr="00212F1C">
        <w:rPr>
          <w:rFonts w:ascii="Times New Roman" w:hAnsi="Times New Roman" w:cs="Times New Roman"/>
          <w:b/>
          <w:sz w:val="20"/>
        </w:rPr>
        <w:t>Duration of Act.</w:t>
      </w:r>
    </w:p>
    <w:p w:rsidR="00212F1C" w:rsidRDefault="00745412" w:rsidP="00D50DBD">
      <w:pPr>
        <w:tabs>
          <w:tab w:val="left" w:pos="900"/>
        </w:tabs>
        <w:spacing w:before="60" w:after="0" w:line="240" w:lineRule="auto"/>
        <w:ind w:firstLine="432"/>
        <w:jc w:val="both"/>
        <w:rPr>
          <w:rFonts w:ascii="Times New Roman" w:hAnsi="Times New Roman"/>
        </w:rPr>
      </w:pPr>
      <w:r w:rsidRPr="00DC589A">
        <w:rPr>
          <w:rFonts w:ascii="Times New Roman" w:hAnsi="Times New Roman"/>
          <w:b/>
        </w:rPr>
        <w:t>2.</w:t>
      </w:r>
      <w:r w:rsidRPr="005647E7">
        <w:rPr>
          <w:rFonts w:ascii="Times New Roman" w:hAnsi="Times New Roman"/>
        </w:rPr>
        <w:t>—(1.)</w:t>
      </w:r>
      <w:r w:rsidR="00212F1C">
        <w:rPr>
          <w:rFonts w:ascii="Times New Roman" w:hAnsi="Times New Roman"/>
        </w:rPr>
        <w:tab/>
      </w:r>
      <w:r w:rsidRPr="005647E7">
        <w:rPr>
          <w:rFonts w:ascii="Times New Roman" w:hAnsi="Times New Roman"/>
        </w:rPr>
        <w:t xml:space="preserve">Section two of the Principal Act is amended by inserting in sub-section (1.) thereof after the words </w:t>
      </w:r>
      <w:r w:rsidR="00EE61AA">
        <w:rPr>
          <w:rFonts w:ascii="Times New Roman" w:hAnsi="Times New Roman"/>
        </w:rPr>
        <w:t>“</w:t>
      </w:r>
      <w:r w:rsidRPr="005647E7">
        <w:rPr>
          <w:rFonts w:ascii="Times New Roman" w:hAnsi="Times New Roman"/>
        </w:rPr>
        <w:t>state of war</w:t>
      </w:r>
      <w:r w:rsidR="00EE61AA">
        <w:rPr>
          <w:rFonts w:ascii="Times New Roman" w:hAnsi="Times New Roman"/>
        </w:rPr>
        <w:t>”</w:t>
      </w:r>
      <w:r w:rsidRPr="005647E7">
        <w:rPr>
          <w:rFonts w:ascii="Times New Roman" w:hAnsi="Times New Roman"/>
        </w:rPr>
        <w:t xml:space="preserve"> the words </w:t>
      </w:r>
      <w:r w:rsidR="00EE61AA">
        <w:rPr>
          <w:rFonts w:ascii="Times New Roman" w:hAnsi="Times New Roman"/>
        </w:rPr>
        <w:t>“</w:t>
      </w:r>
      <w:r w:rsidRPr="005647E7">
        <w:rPr>
          <w:rFonts w:ascii="Times New Roman" w:hAnsi="Times New Roman"/>
        </w:rPr>
        <w:t>and for a period of three months thereafter or until the thirty-first day of July One thousand nine hundred and nineteen, whichever period is the longer,</w:t>
      </w:r>
      <w:r w:rsidR="00EE61AA">
        <w:rPr>
          <w:rFonts w:ascii="Times New Roman" w:hAnsi="Times New Roman"/>
        </w:rPr>
        <w:t>”</w:t>
      </w:r>
      <w:r w:rsidRPr="005647E7">
        <w:rPr>
          <w:rFonts w:ascii="Times New Roman" w:hAnsi="Times New Roman"/>
        </w:rPr>
        <w:t>.</w:t>
      </w:r>
    </w:p>
    <w:p w:rsidR="001E132F" w:rsidRDefault="00745412" w:rsidP="00712A0C">
      <w:pPr>
        <w:tabs>
          <w:tab w:val="left" w:pos="900"/>
        </w:tabs>
        <w:spacing w:before="60" w:after="0" w:line="240" w:lineRule="auto"/>
        <w:ind w:firstLine="432"/>
        <w:jc w:val="both"/>
        <w:rPr>
          <w:rFonts w:ascii="Times New Roman" w:hAnsi="Times New Roman"/>
        </w:rPr>
      </w:pPr>
      <w:r w:rsidRPr="005647E7">
        <w:rPr>
          <w:rFonts w:ascii="Times New Roman" w:hAnsi="Times New Roman"/>
        </w:rPr>
        <w:t>(2.)</w:t>
      </w:r>
      <w:r w:rsidR="00212F1C">
        <w:rPr>
          <w:rFonts w:ascii="Times New Roman" w:hAnsi="Times New Roman"/>
        </w:rPr>
        <w:tab/>
      </w:r>
      <w:r w:rsidRPr="005647E7">
        <w:rPr>
          <w:rFonts w:ascii="Times New Roman" w:hAnsi="Times New Roman"/>
        </w:rPr>
        <w:t xml:space="preserve">The period during which the Principal Act continues in operation by virtue of sub-section (1.) of this section is in this Act referred to as </w:t>
      </w:r>
      <w:r w:rsidR="00EE61AA">
        <w:rPr>
          <w:rFonts w:ascii="Times New Roman" w:hAnsi="Times New Roman"/>
        </w:rPr>
        <w:t>“</w:t>
      </w:r>
      <w:r w:rsidRPr="005647E7">
        <w:rPr>
          <w:rFonts w:ascii="Times New Roman" w:hAnsi="Times New Roman"/>
        </w:rPr>
        <w:t>the extended period during which the Principal Act remains in force</w:t>
      </w:r>
      <w:r w:rsidR="00EE61AA">
        <w:rPr>
          <w:rFonts w:ascii="Times New Roman" w:hAnsi="Times New Roman"/>
        </w:rPr>
        <w:t>”</w:t>
      </w:r>
      <w:r w:rsidRPr="005647E7">
        <w:rPr>
          <w:rFonts w:ascii="Times New Roman" w:hAnsi="Times New Roman"/>
        </w:rPr>
        <w:t>.</w:t>
      </w:r>
    </w:p>
    <w:p w:rsidR="001E132F" w:rsidRPr="001E132F" w:rsidRDefault="00745412" w:rsidP="001E132F">
      <w:pPr>
        <w:tabs>
          <w:tab w:val="left" w:pos="900"/>
        </w:tabs>
        <w:spacing w:before="120" w:after="60" w:line="240" w:lineRule="auto"/>
        <w:rPr>
          <w:rFonts w:ascii="Times New Roman" w:hAnsi="Times New Roman" w:cs="Times New Roman"/>
          <w:b/>
          <w:sz w:val="20"/>
        </w:rPr>
      </w:pPr>
      <w:r w:rsidRPr="001E132F">
        <w:rPr>
          <w:rFonts w:ascii="Times New Roman" w:hAnsi="Times New Roman" w:cs="Times New Roman"/>
          <w:b/>
          <w:sz w:val="20"/>
        </w:rPr>
        <w:t>Continuation of existing Regulations, &amp;c.</w:t>
      </w:r>
    </w:p>
    <w:p w:rsidR="00275963" w:rsidRDefault="00745412" w:rsidP="00712A0C">
      <w:pPr>
        <w:tabs>
          <w:tab w:val="left" w:pos="900"/>
        </w:tabs>
        <w:spacing w:before="60" w:after="0" w:line="240" w:lineRule="auto"/>
        <w:ind w:firstLine="432"/>
        <w:jc w:val="both"/>
        <w:rPr>
          <w:rFonts w:ascii="Times New Roman" w:hAnsi="Times New Roman"/>
        </w:rPr>
      </w:pPr>
      <w:r w:rsidRPr="00DC589A">
        <w:rPr>
          <w:rFonts w:ascii="Times New Roman" w:hAnsi="Times New Roman"/>
          <w:b/>
        </w:rPr>
        <w:t>3.</w:t>
      </w:r>
      <w:r w:rsidR="001E132F">
        <w:rPr>
          <w:rFonts w:ascii="Times New Roman" w:hAnsi="Times New Roman"/>
        </w:rPr>
        <w:tab/>
      </w:r>
      <w:r w:rsidRPr="005647E7">
        <w:rPr>
          <w:rFonts w:ascii="Times New Roman" w:hAnsi="Times New Roman"/>
        </w:rPr>
        <w:t>All regulations orders and proclamations lawfully made pursuant to the Principal Act shall, except in so far as they are amended or repealed, continue in operation during the extended period during which the Principal Act remains in force and no longer:</w:t>
      </w:r>
    </w:p>
    <w:p w:rsidR="00275963" w:rsidRDefault="00745412" w:rsidP="00712A0C">
      <w:pPr>
        <w:tabs>
          <w:tab w:val="left" w:pos="900"/>
        </w:tabs>
        <w:spacing w:before="60" w:after="0" w:line="240" w:lineRule="auto"/>
        <w:ind w:firstLine="432"/>
        <w:jc w:val="both"/>
        <w:rPr>
          <w:rFonts w:ascii="Times New Roman" w:hAnsi="Times New Roman"/>
        </w:rPr>
      </w:pPr>
      <w:r w:rsidRPr="005647E7">
        <w:rPr>
          <w:rFonts w:ascii="Times New Roman" w:hAnsi="Times New Roman"/>
        </w:rPr>
        <w:t>Provided that any regulation order or proclamation heretofore made, or any provision therein contained, operating by force of its terms for a longer period than the extended period during which the Principal Act remains in force shall remain in force unless amended or repealed during the period provided in such regulation order proclamation or provision.</w:t>
      </w:r>
    </w:p>
    <w:p w:rsidR="00275963" w:rsidRPr="00275963" w:rsidRDefault="00745412" w:rsidP="00275963">
      <w:pPr>
        <w:tabs>
          <w:tab w:val="left" w:pos="900"/>
        </w:tabs>
        <w:spacing w:before="120" w:after="60" w:line="240" w:lineRule="auto"/>
        <w:rPr>
          <w:rFonts w:ascii="Times New Roman" w:hAnsi="Times New Roman" w:cs="Times New Roman"/>
          <w:b/>
          <w:sz w:val="20"/>
        </w:rPr>
      </w:pPr>
      <w:r w:rsidRPr="00275963">
        <w:rPr>
          <w:rFonts w:ascii="Times New Roman" w:hAnsi="Times New Roman" w:cs="Times New Roman"/>
          <w:b/>
          <w:sz w:val="20"/>
        </w:rPr>
        <w:t>Application of terms used in Principal Act.</w:t>
      </w:r>
    </w:p>
    <w:p w:rsidR="00745412" w:rsidRPr="005647E7" w:rsidRDefault="00745412" w:rsidP="00275963">
      <w:pPr>
        <w:tabs>
          <w:tab w:val="left" w:pos="900"/>
        </w:tabs>
        <w:spacing w:after="0" w:line="240" w:lineRule="auto"/>
        <w:ind w:firstLine="432"/>
        <w:jc w:val="both"/>
        <w:rPr>
          <w:rFonts w:ascii="Times New Roman" w:hAnsi="Times New Roman"/>
        </w:rPr>
      </w:pPr>
      <w:r w:rsidRPr="00DC589A">
        <w:rPr>
          <w:rFonts w:ascii="Times New Roman" w:hAnsi="Times New Roman"/>
          <w:b/>
        </w:rPr>
        <w:t>4.</w:t>
      </w:r>
      <w:r w:rsidR="00275963">
        <w:rPr>
          <w:rFonts w:ascii="Times New Roman" w:hAnsi="Times New Roman"/>
          <w:b/>
        </w:rPr>
        <w:tab/>
      </w:r>
      <w:r w:rsidRPr="005647E7">
        <w:rPr>
          <w:rFonts w:ascii="Times New Roman" w:hAnsi="Times New Roman"/>
        </w:rPr>
        <w:t xml:space="preserve">The terms </w:t>
      </w:r>
      <w:r w:rsidR="00EE61AA">
        <w:rPr>
          <w:rFonts w:ascii="Times New Roman" w:hAnsi="Times New Roman"/>
        </w:rPr>
        <w:t>“</w:t>
      </w:r>
      <w:r w:rsidRPr="005647E7">
        <w:rPr>
          <w:rFonts w:ascii="Times New Roman" w:hAnsi="Times New Roman"/>
        </w:rPr>
        <w:t>enemy</w:t>
      </w:r>
      <w:r w:rsidR="00EE61AA">
        <w:rPr>
          <w:rFonts w:ascii="Times New Roman" w:hAnsi="Times New Roman"/>
        </w:rPr>
        <w:t>”</w:t>
      </w:r>
      <w:r w:rsidRPr="005647E7">
        <w:rPr>
          <w:rFonts w:ascii="Times New Roman" w:hAnsi="Times New Roman"/>
        </w:rPr>
        <w:t xml:space="preserve">, </w:t>
      </w:r>
      <w:r w:rsidR="00EE61AA">
        <w:rPr>
          <w:rFonts w:ascii="Times New Roman" w:hAnsi="Times New Roman"/>
        </w:rPr>
        <w:t>“</w:t>
      </w:r>
      <w:r w:rsidRPr="005647E7">
        <w:rPr>
          <w:rFonts w:ascii="Times New Roman" w:hAnsi="Times New Roman"/>
        </w:rPr>
        <w:t>alien enemies</w:t>
      </w:r>
      <w:r w:rsidR="00EE61AA">
        <w:rPr>
          <w:rFonts w:ascii="Times New Roman" w:hAnsi="Times New Roman"/>
        </w:rPr>
        <w:t>”</w:t>
      </w:r>
      <w:r w:rsidRPr="005647E7">
        <w:rPr>
          <w:rFonts w:ascii="Times New Roman" w:hAnsi="Times New Roman"/>
        </w:rPr>
        <w:t xml:space="preserve"> and </w:t>
      </w:r>
      <w:r w:rsidR="00EE61AA">
        <w:rPr>
          <w:rFonts w:ascii="Times New Roman" w:hAnsi="Times New Roman"/>
        </w:rPr>
        <w:t>“</w:t>
      </w:r>
      <w:r w:rsidRPr="005647E7">
        <w:rPr>
          <w:rFonts w:ascii="Times New Roman" w:hAnsi="Times New Roman"/>
        </w:rPr>
        <w:t>persons having enemy associations or connexions</w:t>
      </w:r>
      <w:r w:rsidR="00EE61AA">
        <w:rPr>
          <w:rFonts w:ascii="Times New Roman" w:hAnsi="Times New Roman"/>
        </w:rPr>
        <w:t>”</w:t>
      </w:r>
      <w:r w:rsidRPr="005647E7">
        <w:rPr>
          <w:rFonts w:ascii="Times New Roman" w:hAnsi="Times New Roman"/>
        </w:rPr>
        <w:t xml:space="preserve"> used in the Principal Act in relation to any person, shall apply, during the operation of that Act, to any person to whom they would have applied during the continuance of the present war.</w:t>
      </w:r>
    </w:p>
    <w:sectPr w:rsidR="00745412" w:rsidRPr="005647E7" w:rsidSect="00950BC1">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95" w:rsidRDefault="00090395" w:rsidP="009E2A44">
      <w:pPr>
        <w:spacing w:after="0" w:line="240" w:lineRule="auto"/>
      </w:pPr>
      <w:r>
        <w:separator/>
      </w:r>
    </w:p>
  </w:endnote>
  <w:endnote w:type="continuationSeparator" w:id="0">
    <w:p w:rsidR="00090395" w:rsidRDefault="00090395" w:rsidP="009E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95" w:rsidRDefault="00090395" w:rsidP="009E2A44">
      <w:pPr>
        <w:spacing w:after="0" w:line="240" w:lineRule="auto"/>
      </w:pPr>
      <w:r>
        <w:separator/>
      </w:r>
    </w:p>
  </w:footnote>
  <w:footnote w:type="continuationSeparator" w:id="0">
    <w:p w:rsidR="00090395" w:rsidRDefault="00090395" w:rsidP="009E2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44" w:rsidRPr="009E2A44" w:rsidRDefault="009E2A44" w:rsidP="00F1293C">
    <w:pPr>
      <w:pStyle w:val="Header"/>
      <w:tabs>
        <w:tab w:val="clear" w:pos="9360"/>
        <w:tab w:val="right" w:pos="8910"/>
      </w:tabs>
      <w:rPr>
        <w:rFonts w:ascii="Times New Roman" w:hAnsi="Times New Roman"/>
        <w:sz w:val="20"/>
      </w:rPr>
    </w:pPr>
    <w:r w:rsidRPr="009E2A44">
      <w:rPr>
        <w:rFonts w:ascii="Times New Roman" w:hAnsi="Times New Roman"/>
        <w:sz w:val="20"/>
      </w:rPr>
      <w:t>No. 37.</w:t>
    </w:r>
    <w:r w:rsidRPr="009E2A44">
      <w:rPr>
        <w:rFonts w:ascii="Times New Roman" w:hAnsi="Times New Roman"/>
        <w:sz w:val="20"/>
      </w:rPr>
      <w:ptab w:relativeTo="margin" w:alignment="center" w:leader="none"/>
    </w:r>
    <w:r w:rsidRPr="009E2A44">
      <w:rPr>
        <w:rFonts w:ascii="Times New Roman" w:hAnsi="Times New Roman"/>
        <w:i/>
        <w:sz w:val="20"/>
      </w:rPr>
      <w:t>War Precautions.</w:t>
    </w:r>
    <w:r w:rsidRPr="009E2A44">
      <w:rPr>
        <w:rFonts w:ascii="Times New Roman" w:hAnsi="Times New Roman"/>
        <w:sz w:val="20"/>
      </w:rPr>
      <w:ptab w:relativeTo="margin" w:alignment="right" w:leader="none"/>
    </w:r>
    <w:r w:rsidRPr="009E2A44">
      <w:rPr>
        <w:rFonts w:ascii="Times New Roman" w:hAnsi="Times New Roman"/>
        <w:sz w:val="20"/>
      </w:rPr>
      <w:t>1918.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1062DC"/>
    <w:rsid w:val="00090395"/>
    <w:rsid w:val="000B71A2"/>
    <w:rsid w:val="001062DC"/>
    <w:rsid w:val="001121A4"/>
    <w:rsid w:val="00193851"/>
    <w:rsid w:val="001E132F"/>
    <w:rsid w:val="00212F1C"/>
    <w:rsid w:val="00216068"/>
    <w:rsid w:val="00275963"/>
    <w:rsid w:val="002B4949"/>
    <w:rsid w:val="00492589"/>
    <w:rsid w:val="005A5F1F"/>
    <w:rsid w:val="005C6BE3"/>
    <w:rsid w:val="00686142"/>
    <w:rsid w:val="006C2C07"/>
    <w:rsid w:val="006E5F18"/>
    <w:rsid w:val="00712A0C"/>
    <w:rsid w:val="00745412"/>
    <w:rsid w:val="00782095"/>
    <w:rsid w:val="00797D01"/>
    <w:rsid w:val="007F2800"/>
    <w:rsid w:val="007F54B8"/>
    <w:rsid w:val="0083661C"/>
    <w:rsid w:val="00857806"/>
    <w:rsid w:val="008D793C"/>
    <w:rsid w:val="008E1452"/>
    <w:rsid w:val="009440A3"/>
    <w:rsid w:val="00950BC1"/>
    <w:rsid w:val="00986B7E"/>
    <w:rsid w:val="009E2A44"/>
    <w:rsid w:val="00A14C86"/>
    <w:rsid w:val="00A40198"/>
    <w:rsid w:val="00A847D8"/>
    <w:rsid w:val="00AA5E50"/>
    <w:rsid w:val="00B333C2"/>
    <w:rsid w:val="00BB1A8C"/>
    <w:rsid w:val="00BC5E01"/>
    <w:rsid w:val="00CB3B64"/>
    <w:rsid w:val="00CD3DFD"/>
    <w:rsid w:val="00CE3ED6"/>
    <w:rsid w:val="00D50DBD"/>
    <w:rsid w:val="00DA28B2"/>
    <w:rsid w:val="00EA2918"/>
    <w:rsid w:val="00EE61AA"/>
    <w:rsid w:val="00F1293C"/>
    <w:rsid w:val="00F1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62D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062D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062D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062D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062D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062D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062D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062D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062D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062DC"/>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1062D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1062DC"/>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1062DC"/>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1062DC"/>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1062DC"/>
    <w:rPr>
      <w:rFonts w:ascii="Times New Roman" w:eastAsia="Times New Roman" w:hAnsi="Times New Roman" w:cs="Times New Roman"/>
      <w:b/>
      <w:bCs/>
      <w:i w:val="0"/>
      <w:iCs w:val="0"/>
      <w:smallCaps w:val="0"/>
      <w:sz w:val="48"/>
      <w:szCs w:val="48"/>
    </w:rPr>
  </w:style>
  <w:style w:type="character" w:customStyle="1" w:styleId="CharStyle13">
    <w:name w:val="CharStyle13"/>
    <w:basedOn w:val="DefaultParagraphFont"/>
    <w:rsid w:val="001062DC"/>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1062DC"/>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1062DC"/>
    <w:rPr>
      <w:rFonts w:ascii="Times New Roman" w:eastAsia="Times New Roman" w:hAnsi="Times New Roman" w:cs="Times New Roman"/>
      <w:b w:val="0"/>
      <w:bCs w:val="0"/>
      <w:i w:val="0"/>
      <w:iCs w:val="0"/>
      <w:smallCaps w:val="0"/>
      <w:sz w:val="18"/>
      <w:szCs w:val="18"/>
    </w:rPr>
  </w:style>
  <w:style w:type="character" w:customStyle="1" w:styleId="CharStyle19">
    <w:name w:val="CharStyle19"/>
    <w:basedOn w:val="DefaultParagraphFont"/>
    <w:rsid w:val="001062DC"/>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1062DC"/>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9E2A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A44"/>
  </w:style>
  <w:style w:type="paragraph" w:styleId="Footer">
    <w:name w:val="footer"/>
    <w:basedOn w:val="Normal"/>
    <w:link w:val="FooterChar"/>
    <w:uiPriority w:val="99"/>
    <w:semiHidden/>
    <w:unhideWhenUsed/>
    <w:rsid w:val="009E2A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2A44"/>
  </w:style>
  <w:style w:type="paragraph" w:styleId="BalloonText">
    <w:name w:val="Balloon Text"/>
    <w:basedOn w:val="Normal"/>
    <w:link w:val="BalloonTextChar"/>
    <w:uiPriority w:val="99"/>
    <w:semiHidden/>
    <w:unhideWhenUsed/>
    <w:rsid w:val="009E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2017-03-25T06:56:00Z</dcterms:created>
  <dcterms:modified xsi:type="dcterms:W3CDTF">2017-06-29T00:58:00Z</dcterms:modified>
</cp:coreProperties>
</file>