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93F" w:rsidRPr="008B493F" w:rsidRDefault="008B493F" w:rsidP="008D16C1">
      <w:pPr>
        <w:spacing w:after="0" w:line="240" w:lineRule="auto"/>
        <w:jc w:val="center"/>
        <w:rPr>
          <w:rFonts w:ascii="Times New Roman" w:eastAsia="Times New Roman" w:hAnsi="Times New Roman" w:cs="Times New Roman"/>
          <w:sz w:val="36"/>
          <w:szCs w:val="30"/>
        </w:rPr>
      </w:pPr>
      <w:r w:rsidRPr="0008260E">
        <w:rPr>
          <w:rFonts w:ascii="Times New Roman" w:eastAsia="Times New Roman" w:hAnsi="Times New Roman" w:cs="Times New Roman"/>
          <w:spacing w:val="10"/>
          <w:sz w:val="36"/>
        </w:rPr>
        <w:t>LAND TAX.</w:t>
      </w:r>
    </w:p>
    <w:p w:rsidR="0013507A" w:rsidRPr="008D16C1" w:rsidRDefault="0013507A" w:rsidP="008D16C1">
      <w:pPr>
        <w:pBdr>
          <w:top w:val="single" w:sz="4" w:space="1" w:color="auto"/>
        </w:pBdr>
        <w:spacing w:before="120" w:after="0" w:line="240" w:lineRule="auto"/>
        <w:ind w:left="4032" w:right="4032"/>
        <w:jc w:val="center"/>
        <w:rPr>
          <w:rFonts w:ascii="Times New Roman" w:eastAsia="Times New Roman" w:hAnsi="Times New Roman" w:cs="Times New Roman"/>
          <w:b/>
          <w:bCs/>
        </w:rPr>
      </w:pPr>
    </w:p>
    <w:p w:rsidR="008B493F" w:rsidRPr="008B493F" w:rsidRDefault="008B493F" w:rsidP="0013507A">
      <w:pPr>
        <w:spacing w:after="120" w:line="240" w:lineRule="auto"/>
        <w:jc w:val="center"/>
        <w:rPr>
          <w:rFonts w:ascii="Times New Roman" w:eastAsia="Times New Roman" w:hAnsi="Times New Roman" w:cs="Times New Roman"/>
          <w:sz w:val="28"/>
          <w:szCs w:val="24"/>
        </w:rPr>
      </w:pPr>
      <w:r w:rsidRPr="0008260E">
        <w:rPr>
          <w:rFonts w:ascii="Times New Roman" w:eastAsia="Times New Roman" w:hAnsi="Times New Roman" w:cs="Times New Roman"/>
          <w:b/>
          <w:bCs/>
          <w:sz w:val="28"/>
        </w:rPr>
        <w:t>No. 17 of 1922.</w:t>
      </w:r>
    </w:p>
    <w:p w:rsidR="008B493F" w:rsidRPr="008B493F" w:rsidRDefault="008B493F" w:rsidP="008D16C1">
      <w:pPr>
        <w:spacing w:after="120" w:line="240" w:lineRule="auto"/>
        <w:ind w:left="432" w:hanging="432"/>
        <w:jc w:val="both"/>
        <w:rPr>
          <w:rFonts w:ascii="Times New Roman" w:eastAsia="Times New Roman" w:hAnsi="Times New Roman" w:cs="Times New Roman"/>
          <w:sz w:val="26"/>
          <w:szCs w:val="24"/>
        </w:rPr>
      </w:pPr>
      <w:r w:rsidRPr="0008260E">
        <w:rPr>
          <w:rFonts w:ascii="Times New Roman" w:eastAsia="Times New Roman" w:hAnsi="Times New Roman" w:cs="Times New Roman"/>
          <w:sz w:val="26"/>
        </w:rPr>
        <w:t xml:space="preserve">An Act to amend the </w:t>
      </w:r>
      <w:r w:rsidRPr="0008260E">
        <w:rPr>
          <w:rFonts w:ascii="Times New Roman" w:eastAsia="Times New Roman" w:hAnsi="Times New Roman" w:cs="Times New Roman"/>
          <w:i/>
          <w:iCs/>
          <w:sz w:val="26"/>
        </w:rPr>
        <w:t xml:space="preserve">Land Tax Act </w:t>
      </w:r>
      <w:r w:rsidRPr="0008260E">
        <w:rPr>
          <w:rFonts w:ascii="Times New Roman" w:eastAsia="Times New Roman" w:hAnsi="Times New Roman" w:cs="Times New Roman"/>
          <w:sz w:val="26"/>
        </w:rPr>
        <w:t>1910</w:t>
      </w:r>
      <w:r w:rsidR="00E50078" w:rsidRPr="00E50078">
        <w:rPr>
          <w:rFonts w:ascii="Times New Roman" w:hAnsi="Times New Roman"/>
          <w:szCs w:val="36"/>
        </w:rPr>
        <w:t>–</w:t>
      </w:r>
      <w:r w:rsidRPr="0008260E">
        <w:rPr>
          <w:rFonts w:ascii="Times New Roman" w:eastAsia="Times New Roman" w:hAnsi="Times New Roman" w:cs="Times New Roman"/>
          <w:sz w:val="26"/>
        </w:rPr>
        <w:t xml:space="preserve">1918, and to repeal the </w:t>
      </w:r>
      <w:r w:rsidRPr="0008260E">
        <w:rPr>
          <w:rFonts w:ascii="Times New Roman" w:eastAsia="Times New Roman" w:hAnsi="Times New Roman" w:cs="Times New Roman"/>
          <w:i/>
          <w:iCs/>
          <w:sz w:val="26"/>
        </w:rPr>
        <w:t xml:space="preserve">Land Tax Act </w:t>
      </w:r>
      <w:r w:rsidRPr="0008260E">
        <w:rPr>
          <w:rFonts w:ascii="Times New Roman" w:eastAsia="Times New Roman" w:hAnsi="Times New Roman" w:cs="Times New Roman"/>
          <w:sz w:val="26"/>
        </w:rPr>
        <w:t xml:space="preserve">1918, the </w:t>
      </w:r>
      <w:r w:rsidRPr="0008260E">
        <w:rPr>
          <w:rFonts w:ascii="Times New Roman" w:eastAsia="Times New Roman" w:hAnsi="Times New Roman" w:cs="Times New Roman"/>
          <w:i/>
          <w:iCs/>
          <w:sz w:val="26"/>
        </w:rPr>
        <w:t xml:space="preserve">Land Tax Act </w:t>
      </w:r>
      <w:r w:rsidRPr="0008260E">
        <w:rPr>
          <w:rFonts w:ascii="Times New Roman" w:eastAsia="Times New Roman" w:hAnsi="Times New Roman" w:cs="Times New Roman"/>
          <w:sz w:val="26"/>
        </w:rPr>
        <w:t xml:space="preserve">1919, and the </w:t>
      </w:r>
      <w:r w:rsidRPr="0008260E">
        <w:rPr>
          <w:rFonts w:ascii="Times New Roman" w:eastAsia="Times New Roman" w:hAnsi="Times New Roman" w:cs="Times New Roman"/>
          <w:i/>
          <w:iCs/>
          <w:sz w:val="26"/>
        </w:rPr>
        <w:t xml:space="preserve">Land </w:t>
      </w:r>
      <w:r w:rsidRPr="0008260E">
        <w:rPr>
          <w:rFonts w:ascii="Times New Roman" w:eastAsia="Arial Unicode MS" w:hAnsi="Times New Roman" w:cs="Arial Unicode MS"/>
          <w:i/>
          <w:iCs/>
          <w:sz w:val="26"/>
        </w:rPr>
        <w:t>T</w:t>
      </w:r>
      <w:r w:rsidRPr="0008260E">
        <w:rPr>
          <w:rFonts w:ascii="Times New Roman" w:eastAsia="Times New Roman" w:hAnsi="Times New Roman" w:cs="Times New Roman"/>
          <w:i/>
          <w:iCs/>
          <w:sz w:val="26"/>
        </w:rPr>
        <w:t xml:space="preserve">ax Act </w:t>
      </w:r>
      <w:r w:rsidRPr="0008260E">
        <w:rPr>
          <w:rFonts w:ascii="Times New Roman" w:eastAsia="Times New Roman" w:hAnsi="Times New Roman" w:cs="Times New Roman"/>
          <w:sz w:val="26"/>
        </w:rPr>
        <w:t>1920.</w:t>
      </w:r>
    </w:p>
    <w:p w:rsidR="008B493F" w:rsidRPr="008B493F" w:rsidRDefault="008B493F" w:rsidP="008D16C1">
      <w:pPr>
        <w:spacing w:after="120" w:line="240" w:lineRule="auto"/>
        <w:jc w:val="right"/>
        <w:rPr>
          <w:rFonts w:ascii="Times New Roman" w:eastAsia="Times New Roman" w:hAnsi="Times New Roman" w:cs="Times New Roman"/>
          <w:sz w:val="26"/>
          <w:szCs w:val="24"/>
        </w:rPr>
      </w:pPr>
      <w:r w:rsidRPr="0008260E">
        <w:rPr>
          <w:rFonts w:ascii="Times New Roman" w:eastAsia="Times New Roman" w:hAnsi="Times New Roman" w:cs="Times New Roman"/>
          <w:sz w:val="26"/>
        </w:rPr>
        <w:t>[Assented to 5th October, 1922.]</w:t>
      </w:r>
    </w:p>
    <w:p w:rsidR="008B493F" w:rsidRPr="00F952E5" w:rsidRDefault="008B493F" w:rsidP="008D16C1">
      <w:pPr>
        <w:spacing w:after="120" w:line="240" w:lineRule="auto"/>
        <w:jc w:val="both"/>
        <w:rPr>
          <w:rFonts w:ascii="Times New Roman" w:eastAsia="Times New Roman" w:hAnsi="Times New Roman" w:cs="Times New Roman"/>
        </w:rPr>
      </w:pPr>
      <w:r w:rsidRPr="00F952E5">
        <w:rPr>
          <w:rFonts w:ascii="Times New Roman" w:eastAsia="Times New Roman" w:hAnsi="Times New Roman" w:cs="Times New Roman"/>
        </w:rPr>
        <w:t>BE it enacted by the King</w:t>
      </w:r>
      <w:r w:rsidR="004301AE" w:rsidRPr="00F952E5">
        <w:rPr>
          <w:rFonts w:ascii="Times New Roman" w:eastAsia="Times New Roman" w:hAnsi="Times New Roman" w:cs="Times New Roman"/>
        </w:rPr>
        <w:t>’</w:t>
      </w:r>
      <w:r w:rsidRPr="00F952E5">
        <w:rPr>
          <w:rFonts w:ascii="Times New Roman" w:eastAsia="Times New Roman" w:hAnsi="Times New Roman" w:cs="Times New Roman"/>
        </w:rPr>
        <w:t>s Most Excellent Majesty, the Senate, and the House of</w:t>
      </w:r>
      <w:r w:rsidRPr="00F952E5">
        <w:rPr>
          <w:rFonts w:ascii="Times New Roman" w:eastAsia="Times New Roman" w:hAnsi="Times New Roman" w:cs="Times New Roman"/>
          <w:b/>
          <w:bCs/>
        </w:rPr>
        <w:t xml:space="preserve"> </w:t>
      </w:r>
      <w:r w:rsidRPr="00F952E5">
        <w:rPr>
          <w:rFonts w:ascii="Times New Roman" w:eastAsia="Times New Roman" w:hAnsi="Times New Roman" w:cs="Times New Roman"/>
        </w:rPr>
        <w:t>Representatives of the Commonwealth of Australia, as follows:—</w:t>
      </w:r>
    </w:p>
    <w:p w:rsidR="008B493F" w:rsidRPr="008B493F" w:rsidRDefault="008B493F" w:rsidP="0008260E">
      <w:pPr>
        <w:spacing w:before="120" w:after="60" w:line="240" w:lineRule="auto"/>
        <w:jc w:val="both"/>
        <w:rPr>
          <w:rFonts w:ascii="Times New Roman" w:eastAsia="Times New Roman" w:hAnsi="Times New Roman" w:cs="Times New Roman"/>
          <w:sz w:val="20"/>
          <w:szCs w:val="12"/>
        </w:rPr>
      </w:pPr>
      <w:r w:rsidRPr="0008260E">
        <w:rPr>
          <w:rFonts w:ascii="Times New Roman" w:eastAsia="Times New Roman" w:hAnsi="Times New Roman" w:cs="Times New Roman"/>
          <w:b/>
          <w:bCs/>
          <w:sz w:val="20"/>
        </w:rPr>
        <w:t>Short title and citation.</w:t>
      </w:r>
    </w:p>
    <w:p w:rsidR="008B493F" w:rsidRPr="008B493F" w:rsidRDefault="008B493F" w:rsidP="00A17360">
      <w:pPr>
        <w:tabs>
          <w:tab w:val="left" w:pos="630"/>
          <w:tab w:val="left" w:pos="900"/>
        </w:tabs>
        <w:spacing w:after="0" w:line="240" w:lineRule="auto"/>
        <w:ind w:firstLine="432"/>
        <w:jc w:val="both"/>
        <w:rPr>
          <w:rFonts w:ascii="Times New Roman" w:eastAsia="Times New Roman" w:hAnsi="Times New Roman" w:cs="Times New Roman"/>
          <w:szCs w:val="18"/>
        </w:rPr>
      </w:pPr>
      <w:r w:rsidRPr="003E7689">
        <w:rPr>
          <w:rFonts w:ascii="Times New Roman" w:eastAsia="Times New Roman" w:hAnsi="Times New Roman" w:cs="Times New Roman"/>
          <w:b/>
          <w:bCs/>
          <w:spacing w:val="20"/>
        </w:rPr>
        <w:t>1.</w:t>
      </w:r>
      <w:r w:rsidR="00A17360">
        <w:rPr>
          <w:rFonts w:ascii="Times New Roman" w:eastAsia="Times New Roman" w:hAnsi="Times New Roman" w:cs="Times New Roman"/>
        </w:rPr>
        <w:t>—(1.)</w:t>
      </w:r>
      <w:r w:rsidR="00A17360">
        <w:rPr>
          <w:rFonts w:ascii="Times New Roman" w:eastAsia="Times New Roman" w:hAnsi="Times New Roman" w:cs="Times New Roman"/>
        </w:rPr>
        <w:tab/>
      </w:r>
      <w:r w:rsidRPr="003E7689">
        <w:rPr>
          <w:rFonts w:ascii="Times New Roman" w:eastAsia="Times New Roman" w:hAnsi="Times New Roman" w:cs="Times New Roman"/>
        </w:rPr>
        <w:t xml:space="preserve">This Act may be cited as the </w:t>
      </w:r>
      <w:r w:rsidRPr="003E7689">
        <w:rPr>
          <w:rFonts w:ascii="Times New Roman" w:eastAsia="Times New Roman" w:hAnsi="Times New Roman" w:cs="Times New Roman"/>
          <w:i/>
          <w:iCs/>
        </w:rPr>
        <w:t xml:space="preserve">Land Tax Act </w:t>
      </w:r>
      <w:r w:rsidRPr="003E7689">
        <w:rPr>
          <w:rFonts w:ascii="Times New Roman" w:eastAsia="Times New Roman" w:hAnsi="Times New Roman" w:cs="Times New Roman"/>
        </w:rPr>
        <w:t>1922.</w:t>
      </w:r>
    </w:p>
    <w:p w:rsidR="008B493F" w:rsidRPr="008B493F" w:rsidRDefault="00A17360" w:rsidP="00A17360">
      <w:pPr>
        <w:tabs>
          <w:tab w:val="left" w:pos="90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(2.)</w:t>
      </w:r>
      <w:r>
        <w:rPr>
          <w:rFonts w:ascii="Times New Roman" w:eastAsia="Times New Roman" w:hAnsi="Times New Roman" w:cs="Times New Roman"/>
        </w:rPr>
        <w:tab/>
      </w:r>
      <w:r w:rsidR="008B493F" w:rsidRPr="003E7689">
        <w:rPr>
          <w:rFonts w:ascii="Times New Roman" w:eastAsia="Times New Roman" w:hAnsi="Times New Roman" w:cs="Times New Roman"/>
        </w:rPr>
        <w:t xml:space="preserve">The </w:t>
      </w:r>
      <w:r w:rsidR="008B493F" w:rsidRPr="003E7689">
        <w:rPr>
          <w:rFonts w:ascii="Times New Roman" w:eastAsia="Times New Roman" w:hAnsi="Times New Roman" w:cs="Times New Roman"/>
          <w:i/>
          <w:iCs/>
        </w:rPr>
        <w:t xml:space="preserve">Land Tax Act </w:t>
      </w:r>
      <w:r w:rsidR="008B493F" w:rsidRPr="003E7689">
        <w:rPr>
          <w:rFonts w:ascii="Times New Roman" w:eastAsia="Times New Roman" w:hAnsi="Times New Roman" w:cs="Times New Roman"/>
        </w:rPr>
        <w:t>1910</w:t>
      </w:r>
      <w:r w:rsidR="00E50078" w:rsidRPr="00E50078">
        <w:rPr>
          <w:rFonts w:ascii="Times New Roman" w:hAnsi="Times New Roman"/>
          <w:szCs w:val="36"/>
        </w:rPr>
        <w:t>–</w:t>
      </w:r>
      <w:r w:rsidR="008B493F" w:rsidRPr="003E7689">
        <w:rPr>
          <w:rFonts w:ascii="Times New Roman" w:eastAsia="Times New Roman" w:hAnsi="Times New Roman" w:cs="Times New Roman"/>
        </w:rPr>
        <w:t>1918 is in this Act referred to as the Principal Act.</w:t>
      </w:r>
    </w:p>
    <w:p w:rsidR="008B493F" w:rsidRPr="008B493F" w:rsidRDefault="00A17360" w:rsidP="00A17360">
      <w:pPr>
        <w:tabs>
          <w:tab w:val="left" w:pos="90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(3.)</w:t>
      </w:r>
      <w:r>
        <w:rPr>
          <w:rFonts w:ascii="Times New Roman" w:eastAsia="Times New Roman" w:hAnsi="Times New Roman" w:cs="Times New Roman"/>
        </w:rPr>
        <w:tab/>
      </w:r>
      <w:r w:rsidR="008B493F" w:rsidRPr="003E7689">
        <w:rPr>
          <w:rFonts w:ascii="Times New Roman" w:eastAsia="Times New Roman" w:hAnsi="Times New Roman" w:cs="Times New Roman"/>
        </w:rPr>
        <w:t xml:space="preserve">The Principal Act, as amended by this Act, may be cited as the </w:t>
      </w:r>
      <w:r w:rsidR="008B493F" w:rsidRPr="003E7689">
        <w:rPr>
          <w:rFonts w:ascii="Times New Roman" w:eastAsia="Times New Roman" w:hAnsi="Times New Roman" w:cs="Times New Roman"/>
          <w:i/>
          <w:iCs/>
        </w:rPr>
        <w:t xml:space="preserve">Land Tax Act </w:t>
      </w:r>
      <w:r w:rsidR="008B493F" w:rsidRPr="003E7689">
        <w:rPr>
          <w:rFonts w:ascii="Times New Roman" w:eastAsia="Times New Roman" w:hAnsi="Times New Roman" w:cs="Times New Roman"/>
        </w:rPr>
        <w:t>1910</w:t>
      </w:r>
      <w:r w:rsidR="00E50078" w:rsidRPr="00E50078">
        <w:rPr>
          <w:rFonts w:ascii="Times New Roman" w:hAnsi="Times New Roman"/>
          <w:szCs w:val="36"/>
        </w:rPr>
        <w:t>–</w:t>
      </w:r>
      <w:r w:rsidR="008B493F" w:rsidRPr="003E7689">
        <w:rPr>
          <w:rFonts w:ascii="Times New Roman" w:eastAsia="Times New Roman" w:hAnsi="Times New Roman" w:cs="Times New Roman"/>
        </w:rPr>
        <w:t>1922.</w:t>
      </w:r>
    </w:p>
    <w:p w:rsidR="008B493F" w:rsidRPr="008B493F" w:rsidRDefault="008B493F" w:rsidP="0008260E">
      <w:pPr>
        <w:spacing w:before="120" w:after="60" w:line="240" w:lineRule="auto"/>
        <w:jc w:val="both"/>
        <w:rPr>
          <w:rFonts w:ascii="Times New Roman" w:eastAsia="Times New Roman" w:hAnsi="Times New Roman" w:cs="Times New Roman"/>
          <w:b/>
          <w:bCs/>
          <w:sz w:val="20"/>
        </w:rPr>
      </w:pPr>
      <w:r w:rsidRPr="0008260E">
        <w:rPr>
          <w:rFonts w:ascii="Times New Roman" w:eastAsia="Times New Roman" w:hAnsi="Times New Roman" w:cs="Times New Roman"/>
          <w:b/>
          <w:bCs/>
          <w:sz w:val="20"/>
        </w:rPr>
        <w:t>Abolition of additional tax.</w:t>
      </w:r>
    </w:p>
    <w:p w:rsidR="008B493F" w:rsidRPr="008B493F" w:rsidRDefault="008B493F" w:rsidP="0008260E">
      <w:pPr>
        <w:spacing w:after="0" w:line="240" w:lineRule="auto"/>
        <w:ind w:firstLine="432"/>
        <w:jc w:val="both"/>
        <w:rPr>
          <w:rFonts w:ascii="Times New Roman" w:eastAsia="Times New Roman" w:hAnsi="Times New Roman" w:cs="Times New Roman"/>
          <w:szCs w:val="18"/>
        </w:rPr>
      </w:pPr>
      <w:r w:rsidRPr="003E7689">
        <w:rPr>
          <w:rFonts w:ascii="Times New Roman" w:eastAsia="Times New Roman" w:hAnsi="Times New Roman" w:cs="Times New Roman"/>
          <w:b/>
          <w:bCs/>
        </w:rPr>
        <w:t>2.</w:t>
      </w:r>
      <w:r w:rsidR="0008260E">
        <w:rPr>
          <w:rFonts w:ascii="Times New Roman" w:eastAsia="Times New Roman" w:hAnsi="Times New Roman" w:cs="Times New Roman"/>
          <w:b/>
          <w:bCs/>
        </w:rPr>
        <w:tab/>
      </w:r>
      <w:r w:rsidRPr="003E7689">
        <w:rPr>
          <w:rFonts w:ascii="Times New Roman" w:eastAsia="Times New Roman" w:hAnsi="Times New Roman" w:cs="Times New Roman"/>
        </w:rPr>
        <w:t xml:space="preserve">Section four </w:t>
      </w:r>
      <w:r w:rsidR="00F952E5" w:rsidRPr="00F952E5">
        <w:rPr>
          <w:rFonts w:ascii="Times New Roman" w:eastAsia="Times New Roman" w:hAnsi="Times New Roman" w:cs="Times New Roman"/>
          <w:smallCaps/>
        </w:rPr>
        <w:t>a</w:t>
      </w:r>
      <w:r w:rsidRPr="003E7689">
        <w:rPr>
          <w:rFonts w:ascii="Times New Roman" w:eastAsia="Times New Roman" w:hAnsi="Times New Roman" w:cs="Times New Roman"/>
        </w:rPr>
        <w:t xml:space="preserve"> of the Principal Act shall not operate in respect of assessments made in respect of a financial year subsequent to that ending on the thirtieth day of June One thousand nine hundred and twenty-two.</w:t>
      </w:r>
    </w:p>
    <w:p w:rsidR="008B493F" w:rsidRPr="008B493F" w:rsidRDefault="008B493F" w:rsidP="0008260E">
      <w:pPr>
        <w:spacing w:before="120" w:after="60" w:line="240" w:lineRule="auto"/>
        <w:jc w:val="both"/>
        <w:rPr>
          <w:rFonts w:ascii="Times New Roman" w:eastAsia="Times New Roman" w:hAnsi="Times New Roman" w:cs="Times New Roman"/>
          <w:b/>
          <w:bCs/>
          <w:sz w:val="20"/>
        </w:rPr>
      </w:pPr>
      <w:r w:rsidRPr="0008260E">
        <w:rPr>
          <w:rFonts w:ascii="Times New Roman" w:eastAsia="Times New Roman" w:hAnsi="Times New Roman" w:cs="Times New Roman"/>
          <w:b/>
          <w:bCs/>
          <w:sz w:val="20"/>
        </w:rPr>
        <w:t>Repeal of Land Tax Act 1918, 1919, and 1920.</w:t>
      </w:r>
      <w:bookmarkStart w:id="0" w:name="_GoBack"/>
      <w:bookmarkEnd w:id="0"/>
    </w:p>
    <w:p w:rsidR="008B493F" w:rsidRPr="008B493F" w:rsidRDefault="008B493F" w:rsidP="0008260E">
      <w:pPr>
        <w:spacing w:after="0" w:line="240" w:lineRule="auto"/>
        <w:ind w:firstLine="432"/>
        <w:jc w:val="both"/>
        <w:rPr>
          <w:rFonts w:ascii="Times New Roman" w:eastAsia="Times New Roman" w:hAnsi="Times New Roman" w:cs="Times New Roman"/>
          <w:szCs w:val="18"/>
        </w:rPr>
      </w:pPr>
      <w:r w:rsidRPr="003E7689">
        <w:rPr>
          <w:rFonts w:ascii="Times New Roman" w:eastAsia="Times New Roman" w:hAnsi="Times New Roman" w:cs="Times New Roman"/>
          <w:b/>
          <w:bCs/>
        </w:rPr>
        <w:t>3.</w:t>
      </w:r>
      <w:r w:rsidR="0008260E">
        <w:rPr>
          <w:rFonts w:ascii="Times New Roman" w:eastAsia="Times New Roman" w:hAnsi="Times New Roman" w:cs="Times New Roman"/>
          <w:b/>
          <w:bCs/>
        </w:rPr>
        <w:tab/>
      </w:r>
      <w:r w:rsidRPr="003E7689">
        <w:rPr>
          <w:rFonts w:ascii="Times New Roman" w:eastAsia="Times New Roman" w:hAnsi="Times New Roman" w:cs="Times New Roman"/>
        </w:rPr>
        <w:t xml:space="preserve">The </w:t>
      </w:r>
      <w:r w:rsidRPr="003E7689">
        <w:rPr>
          <w:rFonts w:ascii="Times New Roman" w:eastAsia="Times New Roman" w:hAnsi="Times New Roman" w:cs="Times New Roman"/>
          <w:i/>
          <w:iCs/>
        </w:rPr>
        <w:t xml:space="preserve">Land Tax Act </w:t>
      </w:r>
      <w:r w:rsidRPr="003E7689">
        <w:rPr>
          <w:rFonts w:ascii="Times New Roman" w:eastAsia="Times New Roman" w:hAnsi="Times New Roman" w:cs="Times New Roman"/>
        </w:rPr>
        <w:t xml:space="preserve">1918, the </w:t>
      </w:r>
      <w:r w:rsidRPr="003E7689">
        <w:rPr>
          <w:rFonts w:ascii="Times New Roman" w:eastAsia="Times New Roman" w:hAnsi="Times New Roman" w:cs="Times New Roman"/>
          <w:i/>
          <w:iCs/>
        </w:rPr>
        <w:t xml:space="preserve">Land Tax Act </w:t>
      </w:r>
      <w:r w:rsidRPr="003E7689">
        <w:rPr>
          <w:rFonts w:ascii="Times New Roman" w:eastAsia="Times New Roman" w:hAnsi="Times New Roman" w:cs="Times New Roman"/>
        </w:rPr>
        <w:t xml:space="preserve">1919, and the </w:t>
      </w:r>
      <w:r w:rsidRPr="003E7689">
        <w:rPr>
          <w:rFonts w:ascii="Times New Roman" w:eastAsia="Times New Roman" w:hAnsi="Times New Roman" w:cs="Times New Roman"/>
          <w:i/>
          <w:iCs/>
        </w:rPr>
        <w:t xml:space="preserve">Land Tax Act </w:t>
      </w:r>
      <w:r w:rsidRPr="003E7689">
        <w:rPr>
          <w:rFonts w:ascii="Times New Roman" w:eastAsia="Times New Roman" w:hAnsi="Times New Roman" w:cs="Times New Roman"/>
        </w:rPr>
        <w:t>1920 are repealed:</w:t>
      </w:r>
    </w:p>
    <w:p w:rsidR="008B493F" w:rsidRDefault="008B493F" w:rsidP="00E50078">
      <w:pPr>
        <w:pStyle w:val="Style7"/>
        <w:ind w:firstLine="432"/>
        <w:jc w:val="both"/>
        <w:rPr>
          <w:sz w:val="22"/>
        </w:rPr>
      </w:pPr>
      <w:r w:rsidRPr="003E7689">
        <w:rPr>
          <w:sz w:val="22"/>
        </w:rPr>
        <w:t>Provided that nothing in this section shall affect any assessment made or to be made in respect of the financial year ending on the thirtieth day of June One thousand nine hundred and twenty-two or any prior financial year.</w:t>
      </w:r>
    </w:p>
    <w:p w:rsidR="007F607C" w:rsidRPr="003E7689" w:rsidRDefault="007F607C" w:rsidP="007F607C">
      <w:pPr>
        <w:pStyle w:val="Style7"/>
        <w:pBdr>
          <w:bottom w:val="single" w:sz="4" w:space="1" w:color="auto"/>
        </w:pBdr>
        <w:spacing w:before="240"/>
        <w:ind w:left="3600" w:right="3600"/>
        <w:jc w:val="center"/>
        <w:rPr>
          <w:sz w:val="22"/>
          <w:szCs w:val="18"/>
        </w:rPr>
      </w:pPr>
    </w:p>
    <w:sectPr w:rsidR="007F607C" w:rsidRPr="003E7689" w:rsidSect="00E50078">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93A" w:rsidRDefault="000B093A" w:rsidP="0013507A">
      <w:pPr>
        <w:spacing w:after="0" w:line="240" w:lineRule="auto"/>
      </w:pPr>
      <w:r>
        <w:separator/>
      </w:r>
    </w:p>
  </w:endnote>
  <w:endnote w:type="continuationSeparator" w:id="0">
    <w:p w:rsidR="000B093A" w:rsidRDefault="000B093A"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078" w:rsidRDefault="00E500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078" w:rsidRDefault="00E500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078" w:rsidRDefault="00E50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93A" w:rsidRDefault="000B093A" w:rsidP="0013507A">
      <w:pPr>
        <w:spacing w:after="0" w:line="240" w:lineRule="auto"/>
      </w:pPr>
      <w:r>
        <w:separator/>
      </w:r>
    </w:p>
  </w:footnote>
  <w:footnote w:type="continuationSeparator" w:id="0">
    <w:p w:rsidR="000B093A" w:rsidRDefault="000B093A" w:rsidP="0013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078" w:rsidRDefault="00E500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07A" w:rsidRPr="0013507A" w:rsidRDefault="0013507A">
    <w:pPr>
      <w:pStyle w:val="Header"/>
      <w:rPr>
        <w:rFonts w:ascii="Times New Roman" w:hAnsi="Times New Roman"/>
        <w:sz w:val="20"/>
      </w:rPr>
    </w:pPr>
    <w:r w:rsidRPr="0013507A">
      <w:rPr>
        <w:rFonts w:ascii="Times New Roman" w:eastAsia="Times New Roman" w:hAnsi="Times New Roman" w:cs="Times New Roman"/>
        <w:sz w:val="20"/>
      </w:rPr>
      <w:t>1922.</w:t>
    </w:r>
    <w:r w:rsidRPr="0013507A">
      <w:rPr>
        <w:rFonts w:ascii="Times New Roman" w:hAnsi="Times New Roman"/>
        <w:sz w:val="20"/>
      </w:rPr>
      <w:ptab w:relativeTo="margin" w:alignment="center" w:leader="none"/>
    </w:r>
    <w:r w:rsidRPr="0013507A">
      <w:rPr>
        <w:rFonts w:ascii="Times New Roman" w:eastAsia="Times New Roman" w:hAnsi="Times New Roman" w:cs="Times New Roman"/>
        <w:i/>
        <w:iCs/>
        <w:sz w:val="20"/>
      </w:rPr>
      <w:t>Land Tax.</w:t>
    </w:r>
    <w:r w:rsidRPr="0013507A">
      <w:rPr>
        <w:rFonts w:ascii="Times New Roman" w:hAnsi="Times New Roman"/>
        <w:sz w:val="20"/>
      </w:rPr>
      <w:ptab w:relativeTo="margin" w:alignment="right" w:leader="none"/>
    </w:r>
    <w:r w:rsidRPr="0013507A">
      <w:rPr>
        <w:rFonts w:ascii="Times New Roman" w:eastAsia="Times New Roman" w:hAnsi="Times New Roman" w:cs="Times New Roman"/>
        <w:sz w:val="20"/>
      </w:rPr>
      <w:t>No. 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078" w:rsidRDefault="00E500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8B493F"/>
    <w:rsid w:val="0008260E"/>
    <w:rsid w:val="000B093A"/>
    <w:rsid w:val="0013507A"/>
    <w:rsid w:val="003E7689"/>
    <w:rsid w:val="004301AE"/>
    <w:rsid w:val="004E2A1D"/>
    <w:rsid w:val="007F607C"/>
    <w:rsid w:val="00832B9F"/>
    <w:rsid w:val="008B493F"/>
    <w:rsid w:val="008D16C1"/>
    <w:rsid w:val="00A17360"/>
    <w:rsid w:val="00BF2D39"/>
    <w:rsid w:val="00C81405"/>
    <w:rsid w:val="00D35683"/>
    <w:rsid w:val="00E50078"/>
    <w:rsid w:val="00F952E5"/>
    <w:rsid w:val="00FA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B493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B493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B493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B493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B493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B493F"/>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8B493F"/>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8B493F"/>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8B493F"/>
    <w:rPr>
      <w:rFonts w:ascii="Times New Roman" w:eastAsia="Times New Roman" w:hAnsi="Times New Roman" w:cs="Times New Roman"/>
      <w:b w:val="0"/>
      <w:bCs w:val="0"/>
      <w:i/>
      <w:iCs/>
      <w:smallCaps w:val="0"/>
      <w:sz w:val="24"/>
      <w:szCs w:val="24"/>
    </w:rPr>
  </w:style>
  <w:style w:type="character" w:customStyle="1" w:styleId="CharStyle7">
    <w:name w:val="CharStyle7"/>
    <w:basedOn w:val="DefaultParagraphFont"/>
    <w:rsid w:val="008B493F"/>
    <w:rPr>
      <w:rFonts w:ascii="Times New Roman" w:eastAsia="Times New Roman" w:hAnsi="Times New Roman" w:cs="Times New Roman"/>
      <w:b w:val="0"/>
      <w:bCs w:val="0"/>
      <w:i w:val="0"/>
      <w:iCs w:val="0"/>
      <w:smallCaps w:val="0"/>
      <w:sz w:val="18"/>
      <w:szCs w:val="18"/>
    </w:rPr>
  </w:style>
  <w:style w:type="character" w:customStyle="1" w:styleId="CharStyle15">
    <w:name w:val="CharStyle15"/>
    <w:basedOn w:val="DefaultParagraphFont"/>
    <w:rsid w:val="008B493F"/>
    <w:rPr>
      <w:rFonts w:ascii="Times New Roman" w:eastAsia="Times New Roman" w:hAnsi="Times New Roman" w:cs="Times New Roman"/>
      <w:b/>
      <w:bCs/>
      <w:i w:val="0"/>
      <w:iCs w:val="0"/>
      <w:smallCaps w:val="0"/>
      <w:sz w:val="12"/>
      <w:szCs w:val="12"/>
    </w:rPr>
  </w:style>
  <w:style w:type="character" w:customStyle="1" w:styleId="CharStyle16">
    <w:name w:val="CharStyle16"/>
    <w:basedOn w:val="DefaultParagraphFont"/>
    <w:rsid w:val="008B493F"/>
    <w:rPr>
      <w:rFonts w:ascii="Times New Roman" w:eastAsia="Times New Roman" w:hAnsi="Times New Roman" w:cs="Times New Roman"/>
      <w:b w:val="0"/>
      <w:bCs w:val="0"/>
      <w:i w:val="0"/>
      <w:iCs w:val="0"/>
      <w:smallCaps w:val="0"/>
      <w:spacing w:val="10"/>
      <w:sz w:val="30"/>
      <w:szCs w:val="30"/>
    </w:rPr>
  </w:style>
  <w:style w:type="character" w:customStyle="1" w:styleId="CharStyle17">
    <w:name w:val="CharStyle17"/>
    <w:basedOn w:val="DefaultParagraphFont"/>
    <w:rsid w:val="008B493F"/>
    <w:rPr>
      <w:rFonts w:ascii="Times New Roman" w:eastAsia="Times New Roman" w:hAnsi="Times New Roman" w:cs="Times New Roman"/>
      <w:b/>
      <w:bCs/>
      <w:i w:val="0"/>
      <w:iCs w:val="0"/>
      <w:smallCaps w:val="0"/>
      <w:sz w:val="24"/>
      <w:szCs w:val="24"/>
    </w:rPr>
  </w:style>
  <w:style w:type="character" w:customStyle="1" w:styleId="CharStyle47">
    <w:name w:val="CharStyle47"/>
    <w:basedOn w:val="DefaultParagraphFont"/>
    <w:rsid w:val="008B493F"/>
    <w:rPr>
      <w:rFonts w:ascii="Arial Unicode MS" w:eastAsia="Arial Unicode MS" w:hAnsi="Arial Unicode MS" w:cs="Arial Unicode MS"/>
      <w:b w:val="0"/>
      <w:bCs w:val="0"/>
      <w:i/>
      <w:iCs/>
      <w:smallCaps w:val="0"/>
      <w:sz w:val="18"/>
      <w:szCs w:val="18"/>
    </w:rPr>
  </w:style>
  <w:style w:type="character" w:customStyle="1" w:styleId="CharStyle51">
    <w:name w:val="CharStyle51"/>
    <w:basedOn w:val="DefaultParagraphFont"/>
    <w:rsid w:val="008B493F"/>
    <w:rPr>
      <w:rFonts w:ascii="Times New Roman" w:eastAsia="Times New Roman" w:hAnsi="Times New Roman" w:cs="Times New Roman"/>
      <w:b/>
      <w:bCs/>
      <w:i w:val="0"/>
      <w:iCs w:val="0"/>
      <w:smallCaps w:val="0"/>
      <w:sz w:val="18"/>
      <w:szCs w:val="18"/>
    </w:rPr>
  </w:style>
  <w:style w:type="character" w:customStyle="1" w:styleId="CharStyle66">
    <w:name w:val="CharStyle66"/>
    <w:basedOn w:val="DefaultParagraphFont"/>
    <w:rsid w:val="008B493F"/>
    <w:rPr>
      <w:rFonts w:ascii="Times New Roman" w:eastAsia="Times New Roman" w:hAnsi="Times New Roman" w:cs="Times New Roman"/>
      <w:b w:val="0"/>
      <w:bCs w:val="0"/>
      <w:i w:val="0"/>
      <w:iCs w:val="0"/>
      <w:smallCaps w:val="0"/>
      <w:sz w:val="24"/>
      <w:szCs w:val="24"/>
    </w:rPr>
  </w:style>
  <w:style w:type="character" w:customStyle="1" w:styleId="CharStyle71">
    <w:name w:val="CharStyle71"/>
    <w:basedOn w:val="DefaultParagraphFont"/>
    <w:rsid w:val="008B493F"/>
    <w:rPr>
      <w:rFonts w:ascii="Times New Roman" w:eastAsia="Times New Roman" w:hAnsi="Times New Roman" w:cs="Times New Roman"/>
      <w:b w:val="0"/>
      <w:bCs w:val="0"/>
      <w:i/>
      <w:iCs/>
      <w:smallCaps w:val="0"/>
      <w:sz w:val="18"/>
      <w:szCs w:val="18"/>
    </w:rPr>
  </w:style>
  <w:style w:type="character" w:customStyle="1" w:styleId="CharStyle125">
    <w:name w:val="CharStyle125"/>
    <w:basedOn w:val="DefaultParagraphFont"/>
    <w:rsid w:val="008B493F"/>
    <w:rPr>
      <w:rFonts w:ascii="Times New Roman" w:eastAsia="Times New Roman" w:hAnsi="Times New Roman" w:cs="Times New Roman"/>
      <w:b w:val="0"/>
      <w:bCs w:val="0"/>
      <w:i w:val="0"/>
      <w:iCs w:val="0"/>
      <w:smallCaps w:val="0"/>
      <w:sz w:val="46"/>
      <w:szCs w:val="46"/>
    </w:rPr>
  </w:style>
  <w:style w:type="character" w:customStyle="1" w:styleId="CharStyle152">
    <w:name w:val="CharStyle152"/>
    <w:basedOn w:val="DefaultParagraphFont"/>
    <w:rsid w:val="008B493F"/>
    <w:rPr>
      <w:rFonts w:ascii="Times New Roman" w:eastAsia="Times New Roman" w:hAnsi="Times New Roman" w:cs="Times New Roman"/>
      <w:b/>
      <w:bCs/>
      <w:i w:val="0"/>
      <w:iCs w:val="0"/>
      <w:smallCaps w:val="0"/>
      <w:sz w:val="18"/>
      <w:szCs w:val="18"/>
    </w:rPr>
  </w:style>
  <w:style w:type="paragraph" w:styleId="Header">
    <w:name w:val="header"/>
    <w:basedOn w:val="Normal"/>
    <w:link w:val="HeaderChar"/>
    <w:uiPriority w:val="99"/>
    <w:semiHidden/>
    <w:unhideWhenUsed/>
    <w:rsid w:val="001350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507A"/>
  </w:style>
  <w:style w:type="paragraph" w:styleId="Footer">
    <w:name w:val="footer"/>
    <w:basedOn w:val="Normal"/>
    <w:link w:val="FooterChar"/>
    <w:uiPriority w:val="99"/>
    <w:semiHidden/>
    <w:unhideWhenUsed/>
    <w:rsid w:val="001350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507A"/>
  </w:style>
  <w:style w:type="paragraph" w:styleId="BalloonText">
    <w:name w:val="Balloon Text"/>
    <w:basedOn w:val="Normal"/>
    <w:link w:val="BalloonTextChar"/>
    <w:uiPriority w:val="99"/>
    <w:semiHidden/>
    <w:unhideWhenUsed/>
    <w:rsid w:val="00135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0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cp:revision>
  <dcterms:created xsi:type="dcterms:W3CDTF">2017-04-01T12:07:00Z</dcterms:created>
  <dcterms:modified xsi:type="dcterms:W3CDTF">2017-07-10T00:54:00Z</dcterms:modified>
</cp:coreProperties>
</file>