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D9" w:rsidRDefault="00E802B3" w:rsidP="0055442D">
      <w:pPr>
        <w:pStyle w:val="Style2"/>
        <w:widowControl/>
        <w:jc w:val="center"/>
        <w:rPr>
          <w:rStyle w:val="FontStyle15"/>
          <w:b w:val="0"/>
          <w:sz w:val="36"/>
          <w:szCs w:val="36"/>
          <w:lang w:val="en-US" w:eastAsia="en-US"/>
        </w:rPr>
      </w:pPr>
      <w:r w:rsidRPr="0055442D">
        <w:rPr>
          <w:rStyle w:val="FontStyle15"/>
          <w:b w:val="0"/>
          <w:sz w:val="36"/>
          <w:szCs w:val="36"/>
          <w:lang w:val="en-US" w:eastAsia="en-US"/>
        </w:rPr>
        <w:t>EVIDENCE.</w:t>
      </w:r>
    </w:p>
    <w:p w:rsidR="00FB6FCC" w:rsidRPr="00F0531B" w:rsidRDefault="00FB6FCC" w:rsidP="00461E78">
      <w:pPr>
        <w:pStyle w:val="Style2"/>
        <w:widowControl/>
        <w:pBdr>
          <w:bottom w:val="single" w:sz="4" w:space="1" w:color="auto"/>
        </w:pBdr>
        <w:ind w:left="4032" w:right="4032"/>
        <w:jc w:val="center"/>
        <w:rPr>
          <w:rStyle w:val="FontStyle13"/>
          <w:sz w:val="22"/>
          <w:szCs w:val="22"/>
          <w:lang w:val="en-US" w:eastAsia="en-US"/>
        </w:rPr>
      </w:pPr>
    </w:p>
    <w:p w:rsidR="00AD08B6" w:rsidRPr="00461E78" w:rsidRDefault="00E802B3" w:rsidP="00461E78">
      <w:pPr>
        <w:pStyle w:val="Style3"/>
        <w:widowControl/>
        <w:spacing w:before="240"/>
        <w:jc w:val="center"/>
        <w:rPr>
          <w:rStyle w:val="FontStyle13"/>
          <w:sz w:val="28"/>
          <w:szCs w:val="28"/>
          <w:lang w:val="en-US" w:eastAsia="en-US"/>
        </w:rPr>
      </w:pPr>
      <w:r w:rsidRPr="00461E78">
        <w:rPr>
          <w:rStyle w:val="FontStyle13"/>
          <w:sz w:val="28"/>
          <w:szCs w:val="28"/>
          <w:lang w:val="en-US" w:eastAsia="en-US"/>
        </w:rPr>
        <w:t>No. 43 of 1934.</w:t>
      </w:r>
    </w:p>
    <w:p w:rsidR="00AD08B6" w:rsidRPr="00AC3A96" w:rsidRDefault="00E802B3" w:rsidP="0025715B">
      <w:pPr>
        <w:pStyle w:val="Style4"/>
        <w:widowControl/>
        <w:spacing w:before="120"/>
        <w:jc w:val="center"/>
        <w:rPr>
          <w:rStyle w:val="FontStyle15"/>
          <w:b w:val="0"/>
          <w:sz w:val="26"/>
          <w:szCs w:val="26"/>
          <w:lang w:val="en-US" w:eastAsia="en-US"/>
        </w:rPr>
      </w:pPr>
      <w:r w:rsidRPr="00AC3A96">
        <w:rPr>
          <w:rStyle w:val="FontStyle15"/>
          <w:b w:val="0"/>
          <w:sz w:val="26"/>
          <w:szCs w:val="26"/>
          <w:lang w:val="en-US" w:eastAsia="en-US"/>
        </w:rPr>
        <w:t xml:space="preserve">An Act to amend the </w:t>
      </w:r>
      <w:r w:rsidRPr="00AC3A96">
        <w:rPr>
          <w:rStyle w:val="FontStyle14"/>
          <w:b w:val="0"/>
          <w:spacing w:val="0"/>
          <w:sz w:val="26"/>
          <w:szCs w:val="26"/>
          <w:lang w:val="en-US" w:eastAsia="en-US"/>
        </w:rPr>
        <w:t xml:space="preserve">Evidence Act </w:t>
      </w:r>
      <w:r w:rsidRPr="00AC3A96">
        <w:rPr>
          <w:rStyle w:val="FontStyle15"/>
          <w:b w:val="0"/>
          <w:sz w:val="26"/>
          <w:szCs w:val="26"/>
          <w:lang w:val="en-US" w:eastAsia="en-US"/>
        </w:rPr>
        <w:t>1905.</w:t>
      </w:r>
    </w:p>
    <w:p w:rsidR="00AD08B6" w:rsidRPr="00AC3A96" w:rsidRDefault="00AC3A96" w:rsidP="0025715B">
      <w:pPr>
        <w:pStyle w:val="Style5"/>
        <w:widowControl/>
        <w:spacing w:before="120" w:after="120"/>
        <w:jc w:val="right"/>
        <w:rPr>
          <w:rStyle w:val="FontStyle16"/>
          <w:b w:val="0"/>
          <w:sz w:val="26"/>
          <w:szCs w:val="26"/>
          <w:lang w:val="en-US" w:eastAsia="en-US"/>
        </w:rPr>
      </w:pPr>
      <w:r w:rsidRPr="00AC3A96">
        <w:rPr>
          <w:rStyle w:val="FontStyle16"/>
          <w:b w:val="0"/>
          <w:sz w:val="26"/>
          <w:szCs w:val="26"/>
          <w:lang w:val="en-US" w:eastAsia="en-US"/>
        </w:rPr>
        <w:t>[</w:t>
      </w:r>
      <w:r w:rsidR="00E802B3" w:rsidRPr="00AC3A96">
        <w:rPr>
          <w:rStyle w:val="FontStyle16"/>
          <w:b w:val="0"/>
          <w:sz w:val="26"/>
          <w:szCs w:val="26"/>
          <w:lang w:val="en-US" w:eastAsia="en-US"/>
        </w:rPr>
        <w:t>Assented to 4th August, 1934.]</w:t>
      </w:r>
    </w:p>
    <w:p w:rsidR="00AD08B6" w:rsidRPr="00F0531B" w:rsidRDefault="00DB07D9" w:rsidP="0025715B">
      <w:pPr>
        <w:pStyle w:val="Style6"/>
        <w:widowControl/>
        <w:spacing w:line="240" w:lineRule="auto"/>
        <w:jc w:val="both"/>
        <w:rPr>
          <w:rStyle w:val="FontStyle21"/>
          <w:b w:val="0"/>
          <w:sz w:val="22"/>
          <w:szCs w:val="22"/>
          <w:lang w:val="en-US" w:eastAsia="en-US"/>
        </w:rPr>
      </w:pPr>
      <w:r w:rsidRPr="00F0531B">
        <w:rPr>
          <w:rStyle w:val="FontStyle21"/>
          <w:b w:val="0"/>
          <w:sz w:val="22"/>
          <w:szCs w:val="22"/>
          <w:lang w:val="en-US" w:eastAsia="en-US"/>
        </w:rPr>
        <w:t>B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>E it enacted by the King</w:t>
      </w:r>
      <w:r w:rsidR="007C3998">
        <w:rPr>
          <w:rStyle w:val="FontStyle21"/>
          <w:b w:val="0"/>
          <w:sz w:val="22"/>
          <w:szCs w:val="22"/>
          <w:lang w:val="en-US" w:eastAsia="en-US"/>
        </w:rPr>
        <w:t>’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>s Most Excellent Majesty, the Senate, and the House of Representatives of the Commonwealth of Australia, as follows:—</w:t>
      </w:r>
    </w:p>
    <w:p w:rsidR="0025715B" w:rsidRPr="0025715B" w:rsidRDefault="0025715B" w:rsidP="0025715B">
      <w:pPr>
        <w:pStyle w:val="Style10"/>
        <w:widowControl/>
        <w:tabs>
          <w:tab w:val="left" w:pos="480"/>
        </w:tabs>
        <w:spacing w:before="120" w:after="60" w:line="240" w:lineRule="auto"/>
        <w:ind w:firstLine="0"/>
        <w:rPr>
          <w:rStyle w:val="FontStyle18"/>
          <w:sz w:val="20"/>
          <w:szCs w:val="20"/>
          <w:lang w:val="en-US" w:eastAsia="en-US"/>
        </w:rPr>
      </w:pPr>
      <w:r w:rsidRPr="0025715B">
        <w:rPr>
          <w:rStyle w:val="FontStyle18"/>
          <w:sz w:val="20"/>
          <w:szCs w:val="20"/>
          <w:lang w:val="en-US" w:eastAsia="en-US"/>
        </w:rPr>
        <w:t>Short</w:t>
      </w:r>
      <w:r w:rsidR="004A0E08">
        <w:rPr>
          <w:rStyle w:val="FontStyle18"/>
          <w:sz w:val="20"/>
          <w:szCs w:val="20"/>
          <w:lang w:val="en-US" w:eastAsia="en-US"/>
        </w:rPr>
        <w:t xml:space="preserve"> </w:t>
      </w:r>
      <w:r w:rsidRPr="0025715B">
        <w:rPr>
          <w:rStyle w:val="FontStyle18"/>
          <w:sz w:val="20"/>
          <w:szCs w:val="20"/>
          <w:lang w:val="en-US" w:eastAsia="en-US"/>
        </w:rPr>
        <w:t>and citation.</w:t>
      </w:r>
    </w:p>
    <w:p w:rsidR="00AD08B6" w:rsidRPr="00F0531B" w:rsidRDefault="00E802B3" w:rsidP="00A61A94">
      <w:pPr>
        <w:pStyle w:val="Style10"/>
        <w:widowControl/>
        <w:tabs>
          <w:tab w:val="left" w:pos="480"/>
        </w:tabs>
        <w:spacing w:line="240" w:lineRule="auto"/>
        <w:ind w:firstLine="432"/>
        <w:rPr>
          <w:rStyle w:val="FontStyle21"/>
          <w:b w:val="0"/>
          <w:sz w:val="22"/>
          <w:szCs w:val="22"/>
          <w:lang w:val="en-US" w:eastAsia="en-US"/>
        </w:rPr>
      </w:pPr>
      <w:r w:rsidRPr="00F0531B">
        <w:rPr>
          <w:rStyle w:val="FontStyle18"/>
          <w:sz w:val="22"/>
          <w:szCs w:val="22"/>
          <w:lang w:val="en-US" w:eastAsia="en-US"/>
        </w:rPr>
        <w:t>1.</w:t>
      </w:r>
      <w:r w:rsidRPr="00F0531B">
        <w:rPr>
          <w:rStyle w:val="FontStyle21"/>
          <w:b w:val="0"/>
          <w:sz w:val="22"/>
          <w:szCs w:val="22"/>
          <w:lang w:val="en-US" w:eastAsia="en-US"/>
        </w:rPr>
        <w:t>—(1.)</w:t>
      </w:r>
      <w:r w:rsidR="00AB4ABA">
        <w:rPr>
          <w:rStyle w:val="FontStyle21"/>
          <w:b w:val="0"/>
          <w:sz w:val="22"/>
          <w:szCs w:val="22"/>
          <w:lang w:val="en-US" w:eastAsia="en-US"/>
        </w:rPr>
        <w:tab/>
      </w:r>
      <w:r w:rsidRPr="00F0531B">
        <w:rPr>
          <w:rStyle w:val="FontStyle21"/>
          <w:b w:val="0"/>
          <w:sz w:val="22"/>
          <w:szCs w:val="22"/>
          <w:lang w:val="en-US" w:eastAsia="en-US"/>
        </w:rPr>
        <w:t xml:space="preserve">This Act may be cited as the </w:t>
      </w:r>
      <w:r w:rsidRPr="00F0531B">
        <w:rPr>
          <w:rStyle w:val="FontStyle20"/>
          <w:b w:val="0"/>
          <w:sz w:val="22"/>
          <w:szCs w:val="22"/>
          <w:lang w:val="en-US" w:eastAsia="en-US"/>
        </w:rPr>
        <w:t xml:space="preserve">Evidence Act </w:t>
      </w:r>
      <w:r w:rsidRPr="00F0531B">
        <w:rPr>
          <w:rStyle w:val="FontStyle21"/>
          <w:b w:val="0"/>
          <w:sz w:val="22"/>
          <w:szCs w:val="22"/>
          <w:lang w:val="en-US" w:eastAsia="en-US"/>
        </w:rPr>
        <w:t>1934.</w:t>
      </w:r>
    </w:p>
    <w:p w:rsidR="00AD08B6" w:rsidRPr="00F0531B" w:rsidRDefault="00E802B3" w:rsidP="00AB4ABA">
      <w:pPr>
        <w:pStyle w:val="Style10"/>
        <w:widowControl/>
        <w:tabs>
          <w:tab w:val="left" w:pos="900"/>
        </w:tabs>
        <w:spacing w:line="240" w:lineRule="auto"/>
        <w:ind w:firstLine="432"/>
        <w:rPr>
          <w:rStyle w:val="FontStyle21"/>
          <w:b w:val="0"/>
          <w:sz w:val="22"/>
          <w:szCs w:val="22"/>
          <w:lang w:val="en-US" w:eastAsia="en-US"/>
        </w:rPr>
      </w:pPr>
      <w:r w:rsidRPr="00F0531B">
        <w:rPr>
          <w:rStyle w:val="FontStyle21"/>
          <w:b w:val="0"/>
          <w:sz w:val="22"/>
          <w:szCs w:val="22"/>
          <w:lang w:val="en-US" w:eastAsia="en-US"/>
        </w:rPr>
        <w:t>(2.)</w:t>
      </w:r>
      <w:r w:rsidR="00AB4ABA">
        <w:rPr>
          <w:rStyle w:val="FontStyle21"/>
          <w:b w:val="0"/>
          <w:sz w:val="22"/>
          <w:szCs w:val="22"/>
          <w:lang w:val="en-US" w:eastAsia="en-US"/>
        </w:rPr>
        <w:tab/>
      </w:r>
      <w:r w:rsidRPr="00F0531B">
        <w:rPr>
          <w:rStyle w:val="FontStyle21"/>
          <w:b w:val="0"/>
          <w:sz w:val="22"/>
          <w:szCs w:val="22"/>
          <w:lang w:val="en-US" w:eastAsia="en-US"/>
        </w:rPr>
        <w:t xml:space="preserve">The </w:t>
      </w:r>
      <w:r w:rsidRPr="00A61A94">
        <w:rPr>
          <w:rStyle w:val="FontStyle21"/>
          <w:b w:val="0"/>
          <w:i/>
          <w:iCs/>
          <w:sz w:val="22"/>
          <w:szCs w:val="22"/>
        </w:rPr>
        <w:t>Evidence</w:t>
      </w:r>
      <w:r w:rsidRPr="00F0531B">
        <w:rPr>
          <w:rStyle w:val="FontStyle20"/>
          <w:b w:val="0"/>
          <w:sz w:val="22"/>
          <w:szCs w:val="22"/>
          <w:lang w:val="en-US" w:eastAsia="en-US"/>
        </w:rPr>
        <w:t xml:space="preserve"> Act </w:t>
      </w:r>
      <w:r w:rsidRPr="00F0531B">
        <w:rPr>
          <w:rStyle w:val="FontStyle21"/>
          <w:b w:val="0"/>
          <w:sz w:val="22"/>
          <w:szCs w:val="22"/>
          <w:lang w:val="en-US" w:eastAsia="en-US"/>
        </w:rPr>
        <w:t>1905</w:t>
      </w:r>
      <w:bookmarkStart w:id="0" w:name="_GoBack"/>
      <w:bookmarkEnd w:id="0"/>
      <w:r w:rsidRPr="00F0531B">
        <w:rPr>
          <w:rStyle w:val="FontStyle21"/>
          <w:b w:val="0"/>
          <w:sz w:val="22"/>
          <w:szCs w:val="22"/>
          <w:lang w:val="en-US" w:eastAsia="en-US"/>
        </w:rPr>
        <w:t xml:space="preserve"> is in this Act referred to as the Principal Act.</w:t>
      </w:r>
    </w:p>
    <w:p w:rsidR="00AD08B6" w:rsidRPr="00F0531B" w:rsidRDefault="00E802B3" w:rsidP="00AB4ABA">
      <w:pPr>
        <w:pStyle w:val="Style10"/>
        <w:widowControl/>
        <w:tabs>
          <w:tab w:val="left" w:pos="900"/>
        </w:tabs>
        <w:spacing w:line="240" w:lineRule="auto"/>
        <w:ind w:firstLine="432"/>
        <w:rPr>
          <w:rStyle w:val="FontStyle21"/>
          <w:b w:val="0"/>
          <w:sz w:val="22"/>
          <w:szCs w:val="22"/>
          <w:lang w:val="en-US" w:eastAsia="en-US"/>
        </w:rPr>
      </w:pPr>
      <w:r w:rsidRPr="00F0531B">
        <w:rPr>
          <w:rStyle w:val="FontStyle21"/>
          <w:b w:val="0"/>
          <w:sz w:val="22"/>
          <w:szCs w:val="22"/>
          <w:lang w:val="en-US" w:eastAsia="en-US"/>
        </w:rPr>
        <w:t>(3.)</w:t>
      </w:r>
      <w:r w:rsidR="00AB4ABA">
        <w:rPr>
          <w:rStyle w:val="FontStyle21"/>
          <w:b w:val="0"/>
          <w:sz w:val="22"/>
          <w:szCs w:val="22"/>
          <w:lang w:val="en-US" w:eastAsia="en-US"/>
        </w:rPr>
        <w:tab/>
      </w:r>
      <w:r w:rsidRPr="00F0531B">
        <w:rPr>
          <w:rStyle w:val="FontStyle21"/>
          <w:b w:val="0"/>
          <w:sz w:val="22"/>
          <w:szCs w:val="22"/>
          <w:lang w:val="en-US" w:eastAsia="en-US"/>
        </w:rPr>
        <w:t xml:space="preserve">The Principal Act, as amended by this Act, may be cited as the </w:t>
      </w:r>
      <w:r w:rsidRPr="00F0531B">
        <w:rPr>
          <w:rStyle w:val="FontStyle20"/>
          <w:b w:val="0"/>
          <w:sz w:val="22"/>
          <w:szCs w:val="22"/>
          <w:lang w:val="en-US" w:eastAsia="en-US"/>
        </w:rPr>
        <w:t xml:space="preserve">Evidence Act </w:t>
      </w:r>
      <w:r w:rsidRPr="00F0531B">
        <w:rPr>
          <w:rStyle w:val="FontStyle21"/>
          <w:b w:val="0"/>
          <w:sz w:val="22"/>
          <w:szCs w:val="22"/>
          <w:lang w:val="en-US" w:eastAsia="en-US"/>
        </w:rPr>
        <w:t>1905</w:t>
      </w:r>
      <w:r w:rsidR="00DB07D9" w:rsidRPr="00F0531B">
        <w:rPr>
          <w:rStyle w:val="FontStyle21"/>
          <w:rFonts w:eastAsia="Arial Unicode MS"/>
          <w:b w:val="0"/>
          <w:sz w:val="22"/>
          <w:szCs w:val="22"/>
          <w:lang w:val="en-US" w:eastAsia="en-US"/>
        </w:rPr>
        <w:t>–</w:t>
      </w:r>
      <w:r w:rsidRPr="00F0531B">
        <w:rPr>
          <w:rStyle w:val="FontStyle21"/>
          <w:b w:val="0"/>
          <w:sz w:val="22"/>
          <w:szCs w:val="22"/>
          <w:lang w:val="en-US" w:eastAsia="en-US"/>
        </w:rPr>
        <w:t>1934.</w:t>
      </w:r>
    </w:p>
    <w:p w:rsidR="00AD08B6" w:rsidRPr="00F0531B" w:rsidRDefault="00E802B3" w:rsidP="005D548F">
      <w:pPr>
        <w:pStyle w:val="Style10"/>
        <w:widowControl/>
        <w:tabs>
          <w:tab w:val="left" w:pos="480"/>
        </w:tabs>
        <w:spacing w:before="60" w:line="240" w:lineRule="auto"/>
        <w:ind w:firstLine="432"/>
        <w:rPr>
          <w:rStyle w:val="FontStyle21"/>
          <w:b w:val="0"/>
          <w:sz w:val="22"/>
          <w:szCs w:val="22"/>
          <w:lang w:val="en-US" w:eastAsia="en-US"/>
        </w:rPr>
      </w:pPr>
      <w:r w:rsidRPr="00F0531B">
        <w:rPr>
          <w:rStyle w:val="FontStyle18"/>
          <w:sz w:val="22"/>
          <w:szCs w:val="22"/>
          <w:lang w:val="en-US" w:eastAsia="en-US"/>
        </w:rPr>
        <w:t>2.</w:t>
      </w:r>
      <w:r w:rsidR="005D548F">
        <w:rPr>
          <w:rStyle w:val="FontStyle18"/>
          <w:sz w:val="22"/>
          <w:szCs w:val="22"/>
          <w:lang w:val="en-US" w:eastAsia="en-US"/>
        </w:rPr>
        <w:tab/>
      </w:r>
      <w:r w:rsidRPr="00F0531B">
        <w:rPr>
          <w:rStyle w:val="FontStyle21"/>
          <w:b w:val="0"/>
          <w:sz w:val="22"/>
          <w:szCs w:val="22"/>
          <w:lang w:val="en-US" w:eastAsia="en-US"/>
        </w:rPr>
        <w:t>After section ten of the Principal Act the following section is</w:t>
      </w:r>
      <w:r w:rsidR="005B1CAE">
        <w:rPr>
          <w:rStyle w:val="FontStyle21"/>
          <w:b w:val="0"/>
          <w:sz w:val="22"/>
          <w:szCs w:val="22"/>
          <w:lang w:val="en-US" w:eastAsia="en-US"/>
        </w:rPr>
        <w:t xml:space="preserve"> </w:t>
      </w:r>
      <w:r w:rsidRPr="00F0531B">
        <w:rPr>
          <w:rStyle w:val="FontStyle21"/>
          <w:b w:val="0"/>
          <w:sz w:val="22"/>
          <w:szCs w:val="22"/>
          <w:lang w:val="en-US" w:eastAsia="en-US"/>
        </w:rPr>
        <w:t>inserted</w:t>
      </w:r>
      <w:r w:rsidR="00DB07D9" w:rsidRPr="00F0531B">
        <w:rPr>
          <w:rStyle w:val="FontStyle21"/>
          <w:b w:val="0"/>
          <w:sz w:val="22"/>
          <w:szCs w:val="22"/>
          <w:lang w:val="en-US" w:eastAsia="en-US"/>
        </w:rPr>
        <w:t>:</w:t>
      </w:r>
      <w:r w:rsidR="00DB07D9" w:rsidRPr="00F0531B">
        <w:rPr>
          <w:rStyle w:val="FontStyle21"/>
          <w:rFonts w:eastAsia="Arial Unicode MS"/>
          <w:b w:val="0"/>
          <w:sz w:val="22"/>
          <w:szCs w:val="22"/>
          <w:lang w:val="en-US" w:eastAsia="en-US"/>
        </w:rPr>
        <w:t>—</w:t>
      </w:r>
    </w:p>
    <w:p w:rsidR="005D548F" w:rsidRPr="0025715B" w:rsidRDefault="005D548F" w:rsidP="005D548F">
      <w:pPr>
        <w:pStyle w:val="Style10"/>
        <w:widowControl/>
        <w:tabs>
          <w:tab w:val="left" w:pos="480"/>
        </w:tabs>
        <w:spacing w:before="120" w:after="60" w:line="240" w:lineRule="auto"/>
        <w:ind w:firstLine="0"/>
        <w:rPr>
          <w:rStyle w:val="FontStyle18"/>
          <w:sz w:val="20"/>
          <w:szCs w:val="20"/>
          <w:lang w:val="en-US" w:eastAsia="en-US"/>
        </w:rPr>
      </w:pPr>
      <w:r w:rsidRPr="0025715B">
        <w:rPr>
          <w:rStyle w:val="FontStyle18"/>
          <w:sz w:val="20"/>
          <w:szCs w:val="20"/>
          <w:lang w:val="en-US" w:eastAsia="en-US"/>
        </w:rPr>
        <w:t>Proof of statistics.</w:t>
      </w:r>
    </w:p>
    <w:p w:rsidR="00AD08B6" w:rsidRPr="00F0531B" w:rsidRDefault="007C3998" w:rsidP="005D548F">
      <w:pPr>
        <w:pStyle w:val="Style10"/>
        <w:widowControl/>
        <w:tabs>
          <w:tab w:val="left" w:pos="1620"/>
        </w:tabs>
        <w:spacing w:line="240" w:lineRule="auto"/>
        <w:ind w:firstLine="432"/>
        <w:rPr>
          <w:rStyle w:val="FontStyle21"/>
          <w:b w:val="0"/>
          <w:sz w:val="22"/>
          <w:szCs w:val="22"/>
          <w:lang w:val="en-US" w:eastAsia="en-US"/>
        </w:rPr>
      </w:pPr>
      <w:r>
        <w:rPr>
          <w:rStyle w:val="FontStyle21"/>
          <w:b w:val="0"/>
          <w:sz w:val="22"/>
          <w:szCs w:val="22"/>
          <w:lang w:val="en-US" w:eastAsia="en-US"/>
        </w:rPr>
        <w:t>“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>10</w:t>
      </w:r>
      <w:r w:rsidR="00E802B3" w:rsidRPr="00F0531B">
        <w:rPr>
          <w:rStyle w:val="FontStyle22"/>
          <w:b w:val="0"/>
          <w:sz w:val="22"/>
          <w:szCs w:val="22"/>
          <w:lang w:val="en-US" w:eastAsia="en-US"/>
        </w:rPr>
        <w:t>a.</w:t>
      </w:r>
      <w:r w:rsidR="00E802B3" w:rsidRPr="00837980">
        <w:rPr>
          <w:rStyle w:val="FontStyle19"/>
          <w:rFonts w:ascii="Times New Roman" w:hAnsi="Times New Roman" w:cs="Times New Roman"/>
          <w:sz w:val="22"/>
          <w:szCs w:val="22"/>
          <w:lang w:val="en-US" w:eastAsia="en-US"/>
        </w:rPr>
        <w:t>—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>(1.)</w:t>
      </w:r>
      <w:r w:rsidR="005D548F">
        <w:rPr>
          <w:rStyle w:val="FontStyle21"/>
          <w:b w:val="0"/>
          <w:sz w:val="22"/>
          <w:szCs w:val="22"/>
          <w:lang w:val="en-US" w:eastAsia="en-US"/>
        </w:rPr>
        <w:tab/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 xml:space="preserve">The mere production of a document purporting to be published by the Statistician and to contain statistics or abstracts thereof compiled and tabulated by the Statistician pursuant to the </w:t>
      </w:r>
      <w:r w:rsidR="00E802B3" w:rsidRPr="00F0531B">
        <w:rPr>
          <w:rStyle w:val="FontStyle20"/>
          <w:b w:val="0"/>
          <w:sz w:val="22"/>
          <w:szCs w:val="22"/>
          <w:lang w:val="en-US" w:eastAsia="en-US"/>
        </w:rPr>
        <w:t xml:space="preserve">Census and Statistics Act 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>1905</w:t>
      </w:r>
      <w:r w:rsidR="00DB07D9" w:rsidRPr="00F0531B">
        <w:rPr>
          <w:rStyle w:val="FontStyle21"/>
          <w:rFonts w:eastAsia="Arial Unicode MS"/>
          <w:b w:val="0"/>
          <w:sz w:val="22"/>
          <w:szCs w:val="22"/>
          <w:lang w:val="en-US" w:eastAsia="en-US"/>
        </w:rPr>
        <w:t>–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>1930 shall in all Courts be evidence that those statistics or abstracts were compiled and tabulated by the Statistician pursuant to that Act.</w:t>
      </w:r>
    </w:p>
    <w:p w:rsidR="00AD08B6" w:rsidRDefault="007C3998" w:rsidP="005D548F">
      <w:pPr>
        <w:pStyle w:val="Style10"/>
        <w:widowControl/>
        <w:tabs>
          <w:tab w:val="left" w:pos="1080"/>
        </w:tabs>
        <w:spacing w:line="240" w:lineRule="auto"/>
        <w:ind w:firstLine="432"/>
        <w:rPr>
          <w:rStyle w:val="FontStyle21"/>
          <w:b w:val="0"/>
          <w:sz w:val="22"/>
          <w:szCs w:val="22"/>
          <w:lang w:val="en-US" w:eastAsia="en-US"/>
        </w:rPr>
      </w:pPr>
      <w:r>
        <w:rPr>
          <w:rStyle w:val="FontStyle21"/>
          <w:b w:val="0"/>
          <w:sz w:val="22"/>
          <w:szCs w:val="22"/>
          <w:lang w:val="en-US" w:eastAsia="en-US"/>
        </w:rPr>
        <w:t>“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>(2.)</w:t>
      </w:r>
      <w:r w:rsidR="005D548F">
        <w:rPr>
          <w:rStyle w:val="FontStyle21"/>
          <w:b w:val="0"/>
          <w:sz w:val="22"/>
          <w:szCs w:val="22"/>
          <w:lang w:val="en-US" w:eastAsia="en-US"/>
        </w:rPr>
        <w:tab/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 xml:space="preserve">In this section </w:t>
      </w:r>
      <w:r>
        <w:rPr>
          <w:rStyle w:val="FontStyle21"/>
          <w:b w:val="0"/>
          <w:sz w:val="22"/>
          <w:szCs w:val="22"/>
          <w:lang w:val="en-US" w:eastAsia="en-US"/>
        </w:rPr>
        <w:t>‘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>the Statistician</w:t>
      </w:r>
      <w:r>
        <w:rPr>
          <w:rStyle w:val="FontStyle21"/>
          <w:b w:val="0"/>
          <w:sz w:val="22"/>
          <w:szCs w:val="22"/>
          <w:lang w:val="en-US" w:eastAsia="en-US"/>
        </w:rPr>
        <w:t>’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 xml:space="preserve"> means the Commonwealth Statistician appointed under section four of the </w:t>
      </w:r>
      <w:r w:rsidR="00E802B3" w:rsidRPr="00F0531B">
        <w:rPr>
          <w:rStyle w:val="FontStyle20"/>
          <w:b w:val="0"/>
          <w:sz w:val="22"/>
          <w:szCs w:val="22"/>
          <w:lang w:val="en-US" w:eastAsia="en-US"/>
        </w:rPr>
        <w:t xml:space="preserve">Census and Statistics Act 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>1905</w:t>
      </w:r>
      <w:r w:rsidR="00CD30BD" w:rsidRPr="00F0531B">
        <w:rPr>
          <w:rStyle w:val="FontStyle21"/>
          <w:rFonts w:eastAsia="Arial Unicode MS"/>
          <w:b w:val="0"/>
          <w:sz w:val="22"/>
          <w:szCs w:val="22"/>
          <w:lang w:val="en-US" w:eastAsia="en-US"/>
        </w:rPr>
        <w:t>–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>1930, and includes any person to whom the Statistician has, under section five of that Act, delegated the power to compile, tabulate and publish the statistics collected pursuant to that Act.</w:t>
      </w:r>
      <w:r>
        <w:rPr>
          <w:rStyle w:val="FontStyle21"/>
          <w:b w:val="0"/>
          <w:sz w:val="22"/>
          <w:szCs w:val="22"/>
          <w:lang w:val="en-US" w:eastAsia="en-US"/>
        </w:rPr>
        <w:t>”</w:t>
      </w:r>
      <w:r w:rsidR="00E802B3" w:rsidRPr="00F0531B">
        <w:rPr>
          <w:rStyle w:val="FontStyle21"/>
          <w:b w:val="0"/>
          <w:sz w:val="22"/>
          <w:szCs w:val="22"/>
          <w:lang w:val="en-US" w:eastAsia="en-US"/>
        </w:rPr>
        <w:t>.</w:t>
      </w:r>
    </w:p>
    <w:p w:rsidR="005B1CAE" w:rsidRPr="00247811" w:rsidRDefault="005B1CAE" w:rsidP="005B1CAE">
      <w:pPr>
        <w:pStyle w:val="Style9"/>
        <w:widowControl/>
        <w:pBdr>
          <w:bottom w:val="single" w:sz="4" w:space="1" w:color="auto"/>
        </w:pBdr>
        <w:spacing w:line="240" w:lineRule="auto"/>
        <w:ind w:left="3312" w:right="3312" w:firstLine="0"/>
        <w:jc w:val="center"/>
        <w:rPr>
          <w:rStyle w:val="FontStyle21"/>
          <w:b w:val="0"/>
          <w:sz w:val="14"/>
          <w:szCs w:val="14"/>
          <w:lang w:val="en-US" w:eastAsia="en-US"/>
        </w:rPr>
      </w:pPr>
    </w:p>
    <w:sectPr w:rsidR="005B1CAE" w:rsidRPr="00247811" w:rsidSect="00D465C7">
      <w:type w:val="continuous"/>
      <w:pgSz w:w="11907" w:h="16839" w:code="9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D5" w:rsidRDefault="00DA59D5">
      <w:r>
        <w:separator/>
      </w:r>
    </w:p>
  </w:endnote>
  <w:endnote w:type="continuationSeparator" w:id="0">
    <w:p w:rsidR="00DA59D5" w:rsidRDefault="00D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D5" w:rsidRDefault="00DA59D5">
      <w:r>
        <w:separator/>
      </w:r>
    </w:p>
  </w:footnote>
  <w:footnote w:type="continuationSeparator" w:id="0">
    <w:p w:rsidR="00DA59D5" w:rsidRDefault="00D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61F11"/>
    <w:rsid w:val="00133805"/>
    <w:rsid w:val="001749EF"/>
    <w:rsid w:val="001E7D0E"/>
    <w:rsid w:val="00247811"/>
    <w:rsid w:val="0025715B"/>
    <w:rsid w:val="00280441"/>
    <w:rsid w:val="00410B2C"/>
    <w:rsid w:val="00447089"/>
    <w:rsid w:val="00461E78"/>
    <w:rsid w:val="004A0E08"/>
    <w:rsid w:val="004E1042"/>
    <w:rsid w:val="004E23F7"/>
    <w:rsid w:val="005112C4"/>
    <w:rsid w:val="00517095"/>
    <w:rsid w:val="0055442D"/>
    <w:rsid w:val="00581999"/>
    <w:rsid w:val="005B1CAE"/>
    <w:rsid w:val="005D548F"/>
    <w:rsid w:val="00615AE8"/>
    <w:rsid w:val="006C1576"/>
    <w:rsid w:val="00787468"/>
    <w:rsid w:val="007C3998"/>
    <w:rsid w:val="00837980"/>
    <w:rsid w:val="00901C7F"/>
    <w:rsid w:val="009364E4"/>
    <w:rsid w:val="009F0240"/>
    <w:rsid w:val="00A61A94"/>
    <w:rsid w:val="00A61F11"/>
    <w:rsid w:val="00A66A19"/>
    <w:rsid w:val="00A865F2"/>
    <w:rsid w:val="00AA67D0"/>
    <w:rsid w:val="00AB4ABA"/>
    <w:rsid w:val="00AB56A4"/>
    <w:rsid w:val="00AC3A96"/>
    <w:rsid w:val="00AD08B6"/>
    <w:rsid w:val="00B60C59"/>
    <w:rsid w:val="00BA7DCA"/>
    <w:rsid w:val="00CB5A17"/>
    <w:rsid w:val="00CD30BD"/>
    <w:rsid w:val="00D465C7"/>
    <w:rsid w:val="00DA59D5"/>
    <w:rsid w:val="00DB07D9"/>
    <w:rsid w:val="00DF23EE"/>
    <w:rsid w:val="00E802B3"/>
    <w:rsid w:val="00E92E6B"/>
    <w:rsid w:val="00EE3A01"/>
    <w:rsid w:val="00F0531B"/>
    <w:rsid w:val="00F10822"/>
    <w:rsid w:val="00F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B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D08B6"/>
  </w:style>
  <w:style w:type="paragraph" w:customStyle="1" w:styleId="Style2">
    <w:name w:val="Style2"/>
    <w:basedOn w:val="Normal"/>
    <w:uiPriority w:val="99"/>
    <w:rsid w:val="00AD08B6"/>
  </w:style>
  <w:style w:type="paragraph" w:customStyle="1" w:styleId="Style3">
    <w:name w:val="Style3"/>
    <w:basedOn w:val="Normal"/>
    <w:uiPriority w:val="99"/>
    <w:rsid w:val="00AD08B6"/>
  </w:style>
  <w:style w:type="paragraph" w:customStyle="1" w:styleId="Style4">
    <w:name w:val="Style4"/>
    <w:basedOn w:val="Normal"/>
    <w:uiPriority w:val="99"/>
    <w:rsid w:val="00AD08B6"/>
  </w:style>
  <w:style w:type="paragraph" w:customStyle="1" w:styleId="Style5">
    <w:name w:val="Style5"/>
    <w:basedOn w:val="Normal"/>
    <w:uiPriority w:val="99"/>
    <w:rsid w:val="00AD08B6"/>
  </w:style>
  <w:style w:type="paragraph" w:customStyle="1" w:styleId="Style6">
    <w:name w:val="Style6"/>
    <w:basedOn w:val="Normal"/>
    <w:uiPriority w:val="99"/>
    <w:rsid w:val="00AD08B6"/>
    <w:pPr>
      <w:spacing w:line="221" w:lineRule="exact"/>
    </w:pPr>
  </w:style>
  <w:style w:type="paragraph" w:customStyle="1" w:styleId="Style7">
    <w:name w:val="Style7"/>
    <w:basedOn w:val="Normal"/>
    <w:uiPriority w:val="99"/>
    <w:rsid w:val="00AD08B6"/>
    <w:pPr>
      <w:spacing w:line="125" w:lineRule="exact"/>
      <w:jc w:val="both"/>
    </w:pPr>
  </w:style>
  <w:style w:type="paragraph" w:customStyle="1" w:styleId="Style8">
    <w:name w:val="Style8"/>
    <w:basedOn w:val="Normal"/>
    <w:uiPriority w:val="99"/>
    <w:rsid w:val="00AD08B6"/>
  </w:style>
  <w:style w:type="paragraph" w:customStyle="1" w:styleId="Style9">
    <w:name w:val="Style9"/>
    <w:basedOn w:val="Normal"/>
    <w:uiPriority w:val="99"/>
    <w:rsid w:val="00AD08B6"/>
    <w:pPr>
      <w:spacing w:line="216" w:lineRule="exact"/>
      <w:ind w:firstLine="288"/>
      <w:jc w:val="both"/>
    </w:pPr>
  </w:style>
  <w:style w:type="paragraph" w:customStyle="1" w:styleId="Style10">
    <w:name w:val="Style10"/>
    <w:basedOn w:val="Normal"/>
    <w:uiPriority w:val="99"/>
    <w:rsid w:val="00AD08B6"/>
    <w:pPr>
      <w:spacing w:line="226" w:lineRule="exact"/>
      <w:ind w:firstLine="298"/>
      <w:jc w:val="both"/>
    </w:pPr>
  </w:style>
  <w:style w:type="character" w:customStyle="1" w:styleId="FontStyle12">
    <w:name w:val="Font Style12"/>
    <w:basedOn w:val="DefaultParagraphFont"/>
    <w:uiPriority w:val="99"/>
    <w:rsid w:val="00AD08B6"/>
    <w:rPr>
      <w:rFonts w:ascii="Times New Roman" w:hAnsi="Times New Roman" w:cs="Times New Roman"/>
      <w:b/>
      <w:bCs/>
      <w:i/>
      <w:iCs/>
      <w:color w:val="000000"/>
      <w:spacing w:val="10"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AD08B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08B6"/>
    <w:rPr>
      <w:rFonts w:ascii="Times New Roman" w:hAnsi="Times New Roman" w:cs="Times New Roman"/>
      <w:b/>
      <w:bCs/>
      <w:i/>
      <w:iCs/>
      <w:color w:val="000000"/>
      <w:spacing w:val="2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08B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AD08B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AD08B6"/>
    <w:rPr>
      <w:rFonts w:ascii="Times New Roman" w:hAnsi="Times New Roman" w:cs="Times New Roman"/>
      <w:color w:val="000000"/>
      <w:sz w:val="56"/>
      <w:szCs w:val="56"/>
    </w:rPr>
  </w:style>
  <w:style w:type="character" w:customStyle="1" w:styleId="FontStyle18">
    <w:name w:val="Font Style18"/>
    <w:basedOn w:val="DefaultParagraphFont"/>
    <w:uiPriority w:val="99"/>
    <w:rsid w:val="00AD08B6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9">
    <w:name w:val="Font Style19"/>
    <w:basedOn w:val="DefaultParagraphFont"/>
    <w:uiPriority w:val="99"/>
    <w:rsid w:val="00AD08B6"/>
    <w:rPr>
      <w:rFonts w:ascii="Consolas" w:hAnsi="Consolas" w:cs="Consolas"/>
      <w:color w:val="000000"/>
      <w:sz w:val="32"/>
      <w:szCs w:val="32"/>
    </w:rPr>
  </w:style>
  <w:style w:type="character" w:customStyle="1" w:styleId="FontStyle20">
    <w:name w:val="Font Style20"/>
    <w:basedOn w:val="DefaultParagraphFont"/>
    <w:uiPriority w:val="99"/>
    <w:rsid w:val="00AD08B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AD08B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2">
    <w:name w:val="Font Style22"/>
    <w:basedOn w:val="DefaultParagraphFont"/>
    <w:uiPriority w:val="99"/>
    <w:rsid w:val="00AD08B6"/>
    <w:rPr>
      <w:rFonts w:ascii="Times New Roman" w:hAnsi="Times New Roman" w:cs="Times New Roman"/>
      <w:b/>
      <w:bCs/>
      <w:smallCaps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AD08B6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F11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F11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</dc:creator>
  <cp:lastModifiedBy>Harper, Michael</cp:lastModifiedBy>
  <cp:revision>34</cp:revision>
  <dcterms:created xsi:type="dcterms:W3CDTF">2004-01-01T02:34:00Z</dcterms:created>
  <dcterms:modified xsi:type="dcterms:W3CDTF">2017-09-13T03:20:00Z</dcterms:modified>
</cp:coreProperties>
</file>