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7AB" w:rsidRPr="00AF3077" w:rsidRDefault="00E107AB" w:rsidP="002F368C">
      <w:pPr>
        <w:pStyle w:val="Heading10"/>
        <w:pBdr>
          <w:bottom w:val="single" w:sz="4" w:space="1" w:color="auto"/>
        </w:pBdr>
        <w:shd w:val="clear" w:color="auto" w:fill="auto"/>
        <w:spacing w:before="4000" w:line="240" w:lineRule="auto"/>
        <w:ind w:left="3119" w:right="3215"/>
        <w:rPr>
          <w:rFonts w:ascii="Times New Roman" w:hAnsi="Times New Roman" w:cs="Times New Roman"/>
          <w:sz w:val="2"/>
          <w:szCs w:val="36"/>
        </w:rPr>
      </w:pPr>
      <w:bookmarkStart w:id="0" w:name="bookmark0"/>
    </w:p>
    <w:p w:rsidR="00365372" w:rsidRPr="00440F87" w:rsidRDefault="00EC4F18" w:rsidP="002F368C">
      <w:pPr>
        <w:pStyle w:val="Heading10"/>
        <w:shd w:val="clear" w:color="auto" w:fill="auto"/>
        <w:spacing w:before="120" w:line="240" w:lineRule="auto"/>
        <w:rPr>
          <w:rFonts w:ascii="Times New Roman" w:hAnsi="Times New Roman" w:cs="Times New Roman"/>
          <w:sz w:val="36"/>
          <w:szCs w:val="36"/>
        </w:rPr>
      </w:pPr>
      <w:r w:rsidRPr="00440F87">
        <w:rPr>
          <w:rFonts w:ascii="Times New Roman" w:hAnsi="Times New Roman" w:cs="Times New Roman"/>
          <w:sz w:val="36"/>
          <w:szCs w:val="36"/>
        </w:rPr>
        <w:t>NATIONALITY.</w:t>
      </w:r>
      <w:bookmarkEnd w:id="0"/>
    </w:p>
    <w:p w:rsidR="00E107AB" w:rsidRPr="00440F87" w:rsidRDefault="00E107AB" w:rsidP="002F368C">
      <w:pPr>
        <w:pStyle w:val="Heading10"/>
        <w:pBdr>
          <w:bottom w:val="single" w:sz="4" w:space="1" w:color="auto"/>
        </w:pBdr>
        <w:shd w:val="clear" w:color="auto" w:fill="auto"/>
        <w:spacing w:line="240" w:lineRule="auto"/>
        <w:ind w:left="3686" w:right="3642" w:firstLine="1"/>
        <w:rPr>
          <w:rFonts w:ascii="Times New Roman" w:hAnsi="Times New Roman" w:cs="Times New Roman"/>
          <w:sz w:val="36"/>
          <w:szCs w:val="36"/>
        </w:rPr>
      </w:pPr>
    </w:p>
    <w:p w:rsidR="00365372" w:rsidRPr="00440F87" w:rsidRDefault="00EC4F18" w:rsidP="002F368C">
      <w:pPr>
        <w:pStyle w:val="Heading20"/>
        <w:shd w:val="clear" w:color="auto" w:fill="auto"/>
        <w:spacing w:before="120" w:line="240" w:lineRule="auto"/>
        <w:rPr>
          <w:sz w:val="28"/>
          <w:szCs w:val="28"/>
        </w:rPr>
      </w:pPr>
      <w:bookmarkStart w:id="1" w:name="bookmark1"/>
      <w:r w:rsidRPr="00440F87">
        <w:rPr>
          <w:sz w:val="28"/>
          <w:szCs w:val="28"/>
        </w:rPr>
        <w:t>No. 62 of 1936.</w:t>
      </w:r>
      <w:bookmarkEnd w:id="1"/>
    </w:p>
    <w:p w:rsidR="00365372" w:rsidRPr="00440F87" w:rsidRDefault="00EC4F18" w:rsidP="002F368C">
      <w:pPr>
        <w:pStyle w:val="Heading30"/>
        <w:shd w:val="clear" w:color="auto" w:fill="auto"/>
        <w:spacing w:before="240" w:line="240" w:lineRule="auto"/>
        <w:rPr>
          <w:b w:val="0"/>
          <w:sz w:val="26"/>
          <w:szCs w:val="26"/>
        </w:rPr>
      </w:pPr>
      <w:bookmarkStart w:id="2" w:name="bookmark2"/>
      <w:r w:rsidRPr="00440F87">
        <w:rPr>
          <w:b w:val="0"/>
          <w:sz w:val="26"/>
          <w:szCs w:val="26"/>
        </w:rPr>
        <w:t xml:space="preserve">An Act to amend the </w:t>
      </w:r>
      <w:r w:rsidRPr="00440F87">
        <w:rPr>
          <w:rStyle w:val="Heading3Italic"/>
          <w:bCs/>
          <w:spacing w:val="0"/>
          <w:sz w:val="26"/>
          <w:szCs w:val="26"/>
        </w:rPr>
        <w:t>Nationality Act</w:t>
      </w:r>
      <w:r w:rsidRPr="00440F87">
        <w:rPr>
          <w:b w:val="0"/>
          <w:sz w:val="26"/>
          <w:szCs w:val="26"/>
        </w:rPr>
        <w:t xml:space="preserve"> 1920-1930.</w:t>
      </w:r>
      <w:bookmarkEnd w:id="2"/>
    </w:p>
    <w:p w:rsidR="00365372" w:rsidRPr="00440F87" w:rsidRDefault="00EC4F18" w:rsidP="002F368C">
      <w:pPr>
        <w:pStyle w:val="Heading40"/>
        <w:shd w:val="clear" w:color="auto" w:fill="auto"/>
        <w:spacing w:before="120" w:after="120" w:line="240" w:lineRule="auto"/>
        <w:rPr>
          <w:b w:val="0"/>
          <w:sz w:val="26"/>
          <w:szCs w:val="26"/>
        </w:rPr>
      </w:pPr>
      <w:bookmarkStart w:id="3" w:name="bookmark3"/>
      <w:r w:rsidRPr="00440F87">
        <w:rPr>
          <w:b w:val="0"/>
          <w:sz w:val="26"/>
          <w:szCs w:val="26"/>
        </w:rPr>
        <w:t xml:space="preserve">[Assented to </w:t>
      </w:r>
      <w:r w:rsidR="009F391C">
        <w:rPr>
          <w:b w:val="0"/>
          <w:sz w:val="26"/>
          <w:szCs w:val="26"/>
        </w:rPr>
        <w:t>1</w:t>
      </w:r>
      <w:r w:rsidRPr="00440F87">
        <w:rPr>
          <w:b w:val="0"/>
          <w:sz w:val="26"/>
          <w:szCs w:val="26"/>
        </w:rPr>
        <w:t>st December, 1936.]</w:t>
      </w:r>
      <w:bookmarkEnd w:id="3"/>
    </w:p>
    <w:p w:rsidR="00365372" w:rsidRPr="00C23C1F" w:rsidRDefault="00EC4F18" w:rsidP="00CD5593">
      <w:pPr>
        <w:pStyle w:val="Bodytext20"/>
        <w:shd w:val="clear" w:color="auto" w:fill="auto"/>
        <w:spacing w:line="240" w:lineRule="auto"/>
        <w:rPr>
          <w:sz w:val="22"/>
          <w:szCs w:val="22"/>
        </w:rPr>
      </w:pPr>
      <w:r w:rsidRPr="00C23C1F">
        <w:rPr>
          <w:sz w:val="22"/>
          <w:szCs w:val="22"/>
        </w:rPr>
        <w:t>BE it enacted by the King’s Most Excellent Majesty, the Senate, and the House of Representatives of the Common</w:t>
      </w:r>
      <w:r w:rsidR="009F391C" w:rsidRPr="00C23C1F">
        <w:rPr>
          <w:sz w:val="22"/>
          <w:szCs w:val="22"/>
        </w:rPr>
        <w:t>wealth of Australia, as follows</w:t>
      </w:r>
      <w:r w:rsidRPr="00C23C1F">
        <w:rPr>
          <w:sz w:val="22"/>
          <w:szCs w:val="22"/>
        </w:rPr>
        <w:t>:—</w:t>
      </w:r>
    </w:p>
    <w:p w:rsidR="00365372" w:rsidRPr="00440F87" w:rsidRDefault="00EC4F18" w:rsidP="00CD5593">
      <w:pPr>
        <w:pStyle w:val="Bodytext30"/>
        <w:shd w:val="clear" w:color="auto" w:fill="auto"/>
        <w:spacing w:before="120" w:after="60" w:line="240" w:lineRule="auto"/>
        <w:rPr>
          <w:b/>
          <w:sz w:val="20"/>
          <w:szCs w:val="20"/>
        </w:rPr>
      </w:pPr>
      <w:r w:rsidRPr="00440F87">
        <w:rPr>
          <w:b/>
          <w:sz w:val="20"/>
          <w:szCs w:val="20"/>
        </w:rPr>
        <w:t>Short title and citation.</w:t>
      </w:r>
    </w:p>
    <w:p w:rsidR="00365372" w:rsidRPr="00440F87" w:rsidRDefault="00E107AB" w:rsidP="009F391C">
      <w:pPr>
        <w:pStyle w:val="BodyText1"/>
        <w:shd w:val="clear" w:color="auto" w:fill="auto"/>
        <w:tabs>
          <w:tab w:val="left" w:pos="1260"/>
        </w:tabs>
        <w:spacing w:line="240" w:lineRule="auto"/>
        <w:ind w:firstLine="432"/>
        <w:rPr>
          <w:sz w:val="22"/>
          <w:szCs w:val="22"/>
        </w:rPr>
      </w:pPr>
      <w:r w:rsidRPr="00440F87">
        <w:rPr>
          <w:b/>
          <w:sz w:val="22"/>
          <w:szCs w:val="22"/>
        </w:rPr>
        <w:t>1.</w:t>
      </w:r>
      <w:r w:rsidR="00EC4F18" w:rsidRPr="00440F87">
        <w:rPr>
          <w:sz w:val="22"/>
          <w:szCs w:val="22"/>
        </w:rPr>
        <w:t>—(1.)</w:t>
      </w:r>
      <w:r w:rsidR="009F391C">
        <w:rPr>
          <w:sz w:val="22"/>
          <w:szCs w:val="22"/>
        </w:rPr>
        <w:tab/>
      </w:r>
      <w:r w:rsidR="00EC4F18" w:rsidRPr="00440F87">
        <w:rPr>
          <w:sz w:val="22"/>
          <w:szCs w:val="22"/>
        </w:rPr>
        <w:t xml:space="preserve">This Act may be cited as the </w:t>
      </w:r>
      <w:r w:rsidR="00EC4F18" w:rsidRPr="00440F87">
        <w:rPr>
          <w:rStyle w:val="BodytextItalic"/>
          <w:sz w:val="22"/>
          <w:szCs w:val="22"/>
        </w:rPr>
        <w:t>Nationality Act</w:t>
      </w:r>
      <w:r w:rsidR="00EC4F18" w:rsidRPr="00440F87">
        <w:rPr>
          <w:sz w:val="22"/>
          <w:szCs w:val="22"/>
        </w:rPr>
        <w:t xml:space="preserve"> 1936.</w:t>
      </w:r>
    </w:p>
    <w:p w:rsidR="00365372" w:rsidRPr="00440F87" w:rsidRDefault="00EC4F18" w:rsidP="009F391C">
      <w:pPr>
        <w:pStyle w:val="BodyText1"/>
        <w:shd w:val="clear" w:color="auto" w:fill="auto"/>
        <w:tabs>
          <w:tab w:val="left" w:pos="900"/>
        </w:tabs>
        <w:spacing w:line="240" w:lineRule="auto"/>
        <w:ind w:firstLine="432"/>
        <w:rPr>
          <w:sz w:val="22"/>
          <w:szCs w:val="22"/>
        </w:rPr>
      </w:pPr>
      <w:r w:rsidRPr="00440F87">
        <w:rPr>
          <w:sz w:val="22"/>
          <w:szCs w:val="22"/>
        </w:rPr>
        <w:t>(2.)</w:t>
      </w:r>
      <w:r w:rsidR="009F391C">
        <w:rPr>
          <w:sz w:val="22"/>
          <w:szCs w:val="22"/>
        </w:rPr>
        <w:tab/>
      </w:r>
      <w:r w:rsidRPr="00440F87">
        <w:rPr>
          <w:sz w:val="22"/>
          <w:szCs w:val="22"/>
        </w:rPr>
        <w:t xml:space="preserve">The </w:t>
      </w:r>
      <w:r w:rsidRPr="00440F87">
        <w:rPr>
          <w:rStyle w:val="BodytextItalic"/>
          <w:sz w:val="22"/>
          <w:szCs w:val="22"/>
        </w:rPr>
        <w:t>Nationality Act</w:t>
      </w:r>
      <w:r w:rsidR="00C23C1F">
        <w:rPr>
          <w:sz w:val="22"/>
          <w:szCs w:val="22"/>
        </w:rPr>
        <w:t xml:space="preserve"> 1920-1930</w:t>
      </w:r>
      <w:r w:rsidR="00455A05" w:rsidRPr="00440F87">
        <w:rPr>
          <w:sz w:val="22"/>
          <w:szCs w:val="22"/>
        </w:rPr>
        <w:t xml:space="preserve"> </w:t>
      </w:r>
      <w:r w:rsidRPr="00440F87">
        <w:rPr>
          <w:sz w:val="22"/>
          <w:szCs w:val="22"/>
        </w:rPr>
        <w:t>is in this Act referred to as the Principal Act.</w:t>
      </w:r>
    </w:p>
    <w:p w:rsidR="00365372" w:rsidRPr="00440F87" w:rsidRDefault="00EC4F18" w:rsidP="009F391C">
      <w:pPr>
        <w:pStyle w:val="BodyText1"/>
        <w:shd w:val="clear" w:color="auto" w:fill="auto"/>
        <w:tabs>
          <w:tab w:val="left" w:pos="900"/>
        </w:tabs>
        <w:spacing w:line="240" w:lineRule="auto"/>
        <w:ind w:firstLine="432"/>
        <w:rPr>
          <w:sz w:val="22"/>
          <w:szCs w:val="22"/>
        </w:rPr>
      </w:pPr>
      <w:r w:rsidRPr="00440F87">
        <w:rPr>
          <w:sz w:val="22"/>
          <w:szCs w:val="22"/>
        </w:rPr>
        <w:t>(3.)</w:t>
      </w:r>
      <w:r w:rsidR="009F391C">
        <w:rPr>
          <w:sz w:val="22"/>
          <w:szCs w:val="22"/>
        </w:rPr>
        <w:tab/>
      </w:r>
      <w:r w:rsidRPr="00440F87">
        <w:rPr>
          <w:sz w:val="22"/>
          <w:szCs w:val="22"/>
        </w:rPr>
        <w:t xml:space="preserve">The Principal Act, as amended by this Act, may be cited as the </w:t>
      </w:r>
      <w:r w:rsidRPr="00440F87">
        <w:rPr>
          <w:rStyle w:val="BodytextItalic"/>
          <w:sz w:val="22"/>
          <w:szCs w:val="22"/>
        </w:rPr>
        <w:t>Nationality Act</w:t>
      </w:r>
      <w:r w:rsidRPr="00440F87">
        <w:rPr>
          <w:sz w:val="22"/>
          <w:szCs w:val="22"/>
        </w:rPr>
        <w:t xml:space="preserve"> 1920-1936.</w:t>
      </w:r>
    </w:p>
    <w:p w:rsidR="00455A05" w:rsidRPr="00440F87" w:rsidRDefault="00455A05" w:rsidP="00CD5593">
      <w:pPr>
        <w:pStyle w:val="Bodytext30"/>
        <w:shd w:val="clear" w:color="auto" w:fill="auto"/>
        <w:spacing w:before="120" w:after="60" w:line="240" w:lineRule="auto"/>
        <w:rPr>
          <w:b/>
          <w:sz w:val="20"/>
          <w:szCs w:val="20"/>
        </w:rPr>
      </w:pPr>
      <w:r w:rsidRPr="00440F87">
        <w:rPr>
          <w:b/>
          <w:sz w:val="20"/>
          <w:szCs w:val="20"/>
        </w:rPr>
        <w:t>Commencement.</w:t>
      </w:r>
      <w:bookmarkStart w:id="4" w:name="_GoBack"/>
      <w:bookmarkEnd w:id="4"/>
    </w:p>
    <w:p w:rsidR="00365372" w:rsidRPr="00440F87" w:rsidRDefault="00455A05" w:rsidP="009F391C">
      <w:pPr>
        <w:pStyle w:val="BodyText1"/>
        <w:shd w:val="clear" w:color="auto" w:fill="auto"/>
        <w:tabs>
          <w:tab w:val="left" w:pos="720"/>
        </w:tabs>
        <w:spacing w:line="240" w:lineRule="auto"/>
        <w:ind w:firstLine="432"/>
        <w:rPr>
          <w:sz w:val="22"/>
          <w:szCs w:val="22"/>
        </w:rPr>
      </w:pPr>
      <w:r w:rsidRPr="00440F87">
        <w:rPr>
          <w:b/>
          <w:sz w:val="22"/>
          <w:szCs w:val="22"/>
        </w:rPr>
        <w:t>2.</w:t>
      </w:r>
      <w:r w:rsidR="009F391C">
        <w:rPr>
          <w:sz w:val="22"/>
          <w:szCs w:val="22"/>
        </w:rPr>
        <w:tab/>
      </w:r>
      <w:r w:rsidR="00EC4F18" w:rsidRPr="00440F87">
        <w:rPr>
          <w:sz w:val="22"/>
          <w:szCs w:val="22"/>
        </w:rPr>
        <w:t>This Act shall commence on a date to be fixed by Proclamation.</w:t>
      </w:r>
    </w:p>
    <w:p w:rsidR="00455A05" w:rsidRPr="00440F87" w:rsidRDefault="00455A05" w:rsidP="00CD5593">
      <w:pPr>
        <w:pStyle w:val="Bodytext30"/>
        <w:shd w:val="clear" w:color="auto" w:fill="auto"/>
        <w:spacing w:before="120" w:after="60" w:line="240" w:lineRule="auto"/>
        <w:rPr>
          <w:b/>
          <w:sz w:val="20"/>
          <w:szCs w:val="20"/>
        </w:rPr>
      </w:pPr>
      <w:r w:rsidRPr="00440F87">
        <w:rPr>
          <w:b/>
          <w:sz w:val="20"/>
          <w:szCs w:val="20"/>
        </w:rPr>
        <w:t>Amendment of sections specified in Schedule.</w:t>
      </w:r>
    </w:p>
    <w:p w:rsidR="00365372" w:rsidRPr="00440F87" w:rsidRDefault="00455A05" w:rsidP="009F391C">
      <w:pPr>
        <w:pStyle w:val="BodyText1"/>
        <w:shd w:val="clear" w:color="auto" w:fill="auto"/>
        <w:tabs>
          <w:tab w:val="left" w:pos="720"/>
        </w:tabs>
        <w:spacing w:line="240" w:lineRule="auto"/>
        <w:ind w:firstLine="432"/>
        <w:rPr>
          <w:sz w:val="22"/>
          <w:szCs w:val="22"/>
        </w:rPr>
      </w:pPr>
      <w:r w:rsidRPr="00440F87">
        <w:rPr>
          <w:b/>
          <w:sz w:val="22"/>
          <w:szCs w:val="22"/>
        </w:rPr>
        <w:t>3.</w:t>
      </w:r>
      <w:r w:rsidR="009F391C">
        <w:rPr>
          <w:sz w:val="22"/>
          <w:szCs w:val="22"/>
        </w:rPr>
        <w:tab/>
      </w:r>
      <w:r w:rsidR="00EC4F18" w:rsidRPr="00440F87">
        <w:rPr>
          <w:sz w:val="22"/>
          <w:szCs w:val="22"/>
        </w:rPr>
        <w:t>The Principal Act is amended as set out in the Schedule to this Act.</w:t>
      </w:r>
    </w:p>
    <w:p w:rsidR="00E107AB" w:rsidRPr="00440F87" w:rsidRDefault="00E107AB" w:rsidP="00CD5593">
      <w:pPr>
        <w:pStyle w:val="Bodytext30"/>
        <w:shd w:val="clear" w:color="auto" w:fill="auto"/>
        <w:spacing w:before="120" w:after="60" w:line="240" w:lineRule="auto"/>
        <w:rPr>
          <w:b/>
          <w:sz w:val="20"/>
          <w:szCs w:val="20"/>
        </w:rPr>
      </w:pPr>
      <w:r w:rsidRPr="00440F87">
        <w:rPr>
          <w:b/>
          <w:sz w:val="20"/>
          <w:szCs w:val="20"/>
        </w:rPr>
        <w:t>Definitions.</w:t>
      </w:r>
    </w:p>
    <w:p w:rsidR="00365372" w:rsidRPr="00440F87" w:rsidRDefault="00455A05" w:rsidP="009F391C">
      <w:pPr>
        <w:pStyle w:val="BodyText1"/>
        <w:shd w:val="clear" w:color="auto" w:fill="auto"/>
        <w:tabs>
          <w:tab w:val="left" w:pos="720"/>
        </w:tabs>
        <w:spacing w:line="240" w:lineRule="auto"/>
        <w:ind w:firstLine="432"/>
        <w:rPr>
          <w:sz w:val="22"/>
          <w:szCs w:val="22"/>
        </w:rPr>
      </w:pPr>
      <w:r w:rsidRPr="00440F87">
        <w:rPr>
          <w:b/>
          <w:sz w:val="22"/>
          <w:szCs w:val="22"/>
        </w:rPr>
        <w:t>4.</w:t>
      </w:r>
      <w:r w:rsidR="009F391C">
        <w:rPr>
          <w:sz w:val="22"/>
          <w:szCs w:val="22"/>
        </w:rPr>
        <w:tab/>
      </w:r>
      <w:r w:rsidR="00EC4F18" w:rsidRPr="00440F87">
        <w:rPr>
          <w:sz w:val="22"/>
          <w:szCs w:val="22"/>
        </w:rPr>
        <w:t>Section five of the Principal Act is amended by omitting the definition of “The Minister”</w:t>
      </w:r>
      <w:r w:rsidRPr="00440F87">
        <w:rPr>
          <w:sz w:val="22"/>
          <w:szCs w:val="22"/>
        </w:rPr>
        <w:t>.</w:t>
      </w:r>
    </w:p>
    <w:p w:rsidR="002E4351" w:rsidRPr="00440F87" w:rsidRDefault="002E4351" w:rsidP="00CD5593">
      <w:pPr>
        <w:jc w:val="both"/>
        <w:rPr>
          <w:rFonts w:ascii="Times New Roman" w:eastAsia="Times New Roman" w:hAnsi="Times New Roman" w:cs="Times New Roman"/>
          <w:sz w:val="20"/>
          <w:szCs w:val="20"/>
          <w:lang w:val="fr-FR"/>
        </w:rPr>
      </w:pPr>
      <w:r w:rsidRPr="00440F87">
        <w:rPr>
          <w:rFonts w:ascii="Times New Roman" w:hAnsi="Times New Roman" w:cs="Times New Roman"/>
          <w:lang w:val="fr-FR"/>
        </w:rPr>
        <w:br w:type="page"/>
      </w:r>
    </w:p>
    <w:p w:rsidR="00DE52CA" w:rsidRPr="00440F87" w:rsidRDefault="00DE52CA" w:rsidP="00CD5593">
      <w:pPr>
        <w:pStyle w:val="BodyText1"/>
        <w:shd w:val="clear" w:color="auto" w:fill="auto"/>
        <w:spacing w:before="120" w:after="60" w:line="240" w:lineRule="auto"/>
        <w:ind w:firstLine="0"/>
        <w:rPr>
          <w:b/>
        </w:rPr>
      </w:pPr>
      <w:r w:rsidRPr="00440F87">
        <w:rPr>
          <w:b/>
        </w:rPr>
        <w:lastRenderedPageBreak/>
        <w:t>Adoption of Part II. of British Act.</w:t>
      </w:r>
    </w:p>
    <w:p w:rsidR="00365372" w:rsidRPr="00440F87" w:rsidRDefault="00DE52CA" w:rsidP="009F391C">
      <w:pPr>
        <w:pStyle w:val="BodyText1"/>
        <w:shd w:val="clear" w:color="auto" w:fill="auto"/>
        <w:tabs>
          <w:tab w:val="left" w:pos="720"/>
        </w:tabs>
        <w:spacing w:line="240" w:lineRule="auto"/>
        <w:ind w:firstLine="432"/>
        <w:rPr>
          <w:sz w:val="22"/>
          <w:szCs w:val="22"/>
        </w:rPr>
      </w:pPr>
      <w:r w:rsidRPr="00440F87">
        <w:rPr>
          <w:b/>
          <w:sz w:val="22"/>
          <w:szCs w:val="22"/>
        </w:rPr>
        <w:t>5.</w:t>
      </w:r>
      <w:r w:rsidR="009F391C">
        <w:rPr>
          <w:sz w:val="22"/>
          <w:szCs w:val="22"/>
        </w:rPr>
        <w:tab/>
      </w:r>
      <w:r w:rsidR="00EC4F18" w:rsidRPr="00440F87">
        <w:rPr>
          <w:sz w:val="22"/>
          <w:szCs w:val="22"/>
        </w:rPr>
        <w:t>Section seventeen of the Principal Act is amended</w:t>
      </w:r>
      <w:r w:rsidR="00EC4F18" w:rsidRPr="00440F87">
        <w:rPr>
          <w:rStyle w:val="BodytextBookAntiqua"/>
          <w:rFonts w:ascii="Times New Roman" w:hAnsi="Times New Roman" w:cs="Times New Roman"/>
          <w:sz w:val="22"/>
          <w:szCs w:val="22"/>
        </w:rPr>
        <w:t>—</w:t>
      </w:r>
    </w:p>
    <w:p w:rsidR="00365372" w:rsidRPr="00440F87" w:rsidRDefault="00DE52CA" w:rsidP="00CD5593">
      <w:pPr>
        <w:pStyle w:val="BodyText1"/>
        <w:shd w:val="clear" w:color="auto" w:fill="auto"/>
        <w:spacing w:after="60" w:line="240" w:lineRule="auto"/>
        <w:ind w:left="1066" w:hanging="562"/>
        <w:rPr>
          <w:sz w:val="22"/>
          <w:szCs w:val="22"/>
        </w:rPr>
      </w:pPr>
      <w:r w:rsidRPr="00440F87">
        <w:rPr>
          <w:sz w:val="22"/>
          <w:szCs w:val="22"/>
        </w:rPr>
        <w:t>(</w:t>
      </w:r>
      <w:r w:rsidRPr="00440F87">
        <w:rPr>
          <w:i/>
          <w:sz w:val="22"/>
          <w:szCs w:val="22"/>
        </w:rPr>
        <w:t>a</w:t>
      </w:r>
      <w:r w:rsidRPr="00440F87">
        <w:rPr>
          <w:sz w:val="22"/>
          <w:szCs w:val="22"/>
        </w:rPr>
        <w:t xml:space="preserve">) </w:t>
      </w:r>
      <w:r w:rsidR="00EC4F18" w:rsidRPr="00440F87">
        <w:rPr>
          <w:sz w:val="22"/>
          <w:szCs w:val="22"/>
        </w:rPr>
        <w:t>by omitting fr</w:t>
      </w:r>
      <w:r w:rsidR="009F391C">
        <w:rPr>
          <w:sz w:val="22"/>
          <w:szCs w:val="22"/>
        </w:rPr>
        <w:t>om sub-section (2.) the words “Any power which, under</w:t>
      </w:r>
      <w:r w:rsidR="00EC4F18" w:rsidRPr="00440F87">
        <w:rPr>
          <w:sz w:val="22"/>
          <w:szCs w:val="22"/>
        </w:rPr>
        <w:t>” and inser</w:t>
      </w:r>
      <w:r w:rsidR="009F391C">
        <w:rPr>
          <w:sz w:val="22"/>
          <w:szCs w:val="22"/>
        </w:rPr>
        <w:t>ting in their stead the words “</w:t>
      </w:r>
      <w:r w:rsidR="00EC4F18" w:rsidRPr="00440F87">
        <w:rPr>
          <w:sz w:val="22"/>
          <w:szCs w:val="22"/>
        </w:rPr>
        <w:t>The power which, under sub-section (4.) of section seven of</w:t>
      </w:r>
      <w:r w:rsidR="009F391C">
        <w:rPr>
          <w:sz w:val="22"/>
          <w:szCs w:val="22"/>
        </w:rPr>
        <w:t>”</w:t>
      </w:r>
      <w:r w:rsidR="00EC4F18" w:rsidRPr="00440F87">
        <w:rPr>
          <w:sz w:val="22"/>
          <w:szCs w:val="22"/>
        </w:rPr>
        <w:t xml:space="preserve"> and</w:t>
      </w:r>
      <w:r w:rsidR="009F391C">
        <w:rPr>
          <w:sz w:val="22"/>
          <w:szCs w:val="22"/>
        </w:rPr>
        <w:t>;</w:t>
      </w:r>
    </w:p>
    <w:p w:rsidR="00365372" w:rsidRPr="00440F87" w:rsidRDefault="00DE52CA" w:rsidP="00CD5593">
      <w:pPr>
        <w:pStyle w:val="BodyText1"/>
        <w:shd w:val="clear" w:color="auto" w:fill="auto"/>
        <w:tabs>
          <w:tab w:val="left" w:pos="1682"/>
        </w:tabs>
        <w:spacing w:line="240" w:lineRule="auto"/>
        <w:ind w:left="1077" w:hanging="567"/>
        <w:rPr>
          <w:sz w:val="22"/>
          <w:szCs w:val="22"/>
        </w:rPr>
      </w:pPr>
      <w:r w:rsidRPr="00440F87">
        <w:rPr>
          <w:sz w:val="22"/>
          <w:szCs w:val="22"/>
        </w:rPr>
        <w:t>(</w:t>
      </w:r>
      <w:r w:rsidRPr="00440F87">
        <w:rPr>
          <w:i/>
          <w:sz w:val="22"/>
          <w:szCs w:val="22"/>
        </w:rPr>
        <w:t>b</w:t>
      </w:r>
      <w:r w:rsidRPr="00440F87">
        <w:rPr>
          <w:sz w:val="22"/>
          <w:szCs w:val="22"/>
        </w:rPr>
        <w:t xml:space="preserve">) </w:t>
      </w:r>
      <w:r w:rsidR="00EC4F18" w:rsidRPr="00440F87">
        <w:rPr>
          <w:sz w:val="22"/>
          <w:szCs w:val="22"/>
        </w:rPr>
        <w:t>by adding at the end th</w:t>
      </w:r>
      <w:r w:rsidR="009F391C">
        <w:rPr>
          <w:sz w:val="22"/>
          <w:szCs w:val="22"/>
        </w:rPr>
        <w:t>ereof the following sub-section</w:t>
      </w:r>
      <w:r w:rsidR="00EC4F18" w:rsidRPr="00440F87">
        <w:rPr>
          <w:sz w:val="22"/>
          <w:szCs w:val="22"/>
        </w:rPr>
        <w:t>:—</w:t>
      </w:r>
    </w:p>
    <w:p w:rsidR="00365372" w:rsidRPr="00440F87" w:rsidRDefault="00EC4F18" w:rsidP="00CD5593">
      <w:pPr>
        <w:pStyle w:val="BodyText1"/>
        <w:shd w:val="clear" w:color="auto" w:fill="auto"/>
        <w:spacing w:line="240" w:lineRule="auto"/>
        <w:ind w:left="1134" w:firstLine="283"/>
        <w:rPr>
          <w:sz w:val="22"/>
          <w:szCs w:val="22"/>
        </w:rPr>
      </w:pPr>
      <w:r w:rsidRPr="00440F87">
        <w:rPr>
          <w:sz w:val="22"/>
          <w:szCs w:val="22"/>
        </w:rPr>
        <w:t>“(3.) Any other power which, under Part II. of the British Act, is exercisable by the Secretary of State, shall be vested in and exercisable by the Minister.”.</w:t>
      </w:r>
    </w:p>
    <w:p w:rsidR="00365372" w:rsidRPr="00440F87" w:rsidRDefault="00DE52CA" w:rsidP="009F391C">
      <w:pPr>
        <w:pStyle w:val="BodyText1"/>
        <w:shd w:val="clear" w:color="auto" w:fill="auto"/>
        <w:tabs>
          <w:tab w:val="left" w:pos="720"/>
        </w:tabs>
        <w:spacing w:line="240" w:lineRule="auto"/>
        <w:ind w:firstLine="432"/>
        <w:rPr>
          <w:sz w:val="22"/>
          <w:szCs w:val="22"/>
        </w:rPr>
      </w:pPr>
      <w:r w:rsidRPr="00440F87">
        <w:rPr>
          <w:b/>
          <w:sz w:val="22"/>
          <w:szCs w:val="22"/>
        </w:rPr>
        <w:t>6.</w:t>
      </w:r>
      <w:r w:rsidR="009F391C">
        <w:rPr>
          <w:sz w:val="22"/>
          <w:szCs w:val="22"/>
        </w:rPr>
        <w:tab/>
      </w:r>
      <w:r w:rsidR="00EC4F18" w:rsidRPr="00440F87">
        <w:rPr>
          <w:sz w:val="22"/>
          <w:szCs w:val="22"/>
        </w:rPr>
        <w:t>Section eighteen of the Principal Act is repealed and the followin</w:t>
      </w:r>
      <w:r w:rsidR="009F391C">
        <w:rPr>
          <w:sz w:val="22"/>
          <w:szCs w:val="22"/>
        </w:rPr>
        <w:t>g section inserted in its stead</w:t>
      </w:r>
      <w:r w:rsidR="00EC4F18" w:rsidRPr="00440F87">
        <w:rPr>
          <w:sz w:val="22"/>
          <w:szCs w:val="22"/>
        </w:rPr>
        <w:t>:—</w:t>
      </w:r>
    </w:p>
    <w:p w:rsidR="00DE52CA" w:rsidRPr="009F391C" w:rsidRDefault="00DE52CA" w:rsidP="009F391C">
      <w:pPr>
        <w:pStyle w:val="BodyText1"/>
        <w:shd w:val="clear" w:color="auto" w:fill="auto"/>
        <w:spacing w:before="120" w:after="60" w:line="240" w:lineRule="auto"/>
        <w:ind w:firstLine="0"/>
        <w:rPr>
          <w:b/>
          <w:color w:val="auto"/>
        </w:rPr>
      </w:pPr>
      <w:r w:rsidRPr="009F391C">
        <w:rPr>
          <w:b/>
          <w:color w:val="auto"/>
        </w:rPr>
        <w:t>National status of married women</w:t>
      </w:r>
    </w:p>
    <w:p w:rsidR="00365372" w:rsidRPr="00440F87" w:rsidRDefault="00EC4F18" w:rsidP="009F391C">
      <w:pPr>
        <w:pStyle w:val="BodyText1"/>
        <w:shd w:val="clear" w:color="auto" w:fill="auto"/>
        <w:tabs>
          <w:tab w:val="left" w:pos="1530"/>
        </w:tabs>
        <w:spacing w:line="240" w:lineRule="auto"/>
        <w:ind w:firstLine="432"/>
        <w:rPr>
          <w:sz w:val="22"/>
          <w:szCs w:val="22"/>
        </w:rPr>
      </w:pPr>
      <w:r w:rsidRPr="00440F87">
        <w:rPr>
          <w:sz w:val="22"/>
          <w:szCs w:val="22"/>
        </w:rPr>
        <w:t>“18.—(1.)</w:t>
      </w:r>
      <w:r w:rsidR="009F391C">
        <w:rPr>
          <w:sz w:val="22"/>
          <w:szCs w:val="22"/>
        </w:rPr>
        <w:tab/>
      </w:r>
      <w:r w:rsidRPr="00440F87">
        <w:rPr>
          <w:sz w:val="22"/>
          <w:szCs w:val="22"/>
        </w:rPr>
        <w:t>Subject to the provisions of this section, the wife of a British subject shall .be deemed to be a British subject, and the wife of an alien shall be deemed to be an alien.</w:t>
      </w:r>
    </w:p>
    <w:p w:rsidR="00365372" w:rsidRPr="00440F87" w:rsidRDefault="009F391C" w:rsidP="009F391C">
      <w:pPr>
        <w:pStyle w:val="BodyText1"/>
        <w:shd w:val="clear" w:color="auto" w:fill="auto"/>
        <w:tabs>
          <w:tab w:val="left" w:pos="1080"/>
        </w:tabs>
        <w:spacing w:line="240" w:lineRule="auto"/>
        <w:ind w:firstLine="432"/>
        <w:rPr>
          <w:sz w:val="22"/>
          <w:szCs w:val="22"/>
        </w:rPr>
      </w:pPr>
      <w:r>
        <w:rPr>
          <w:sz w:val="22"/>
          <w:szCs w:val="22"/>
        </w:rPr>
        <w:t>“</w:t>
      </w:r>
      <w:r w:rsidR="00EC4F18" w:rsidRPr="00440F87">
        <w:rPr>
          <w:sz w:val="22"/>
          <w:szCs w:val="22"/>
        </w:rPr>
        <w:t>(2.)</w:t>
      </w:r>
      <w:r>
        <w:rPr>
          <w:sz w:val="22"/>
          <w:szCs w:val="22"/>
        </w:rPr>
        <w:tab/>
      </w:r>
      <w:r w:rsidR="00EC4F18" w:rsidRPr="00440F87">
        <w:rPr>
          <w:sz w:val="22"/>
          <w:szCs w:val="22"/>
        </w:rPr>
        <w:t>Where a woman has (whether before or after the commencement of this Act) married an alien, and was immediately before her marriage a British subject, she shall not, by reason only of her marriage, be deemed to have ceased to be a British subject unless, by reason of her marriage, she acquired the nationality of her husband.</w:t>
      </w:r>
    </w:p>
    <w:p w:rsidR="00365372" w:rsidRPr="00440F87" w:rsidRDefault="009F391C" w:rsidP="009F391C">
      <w:pPr>
        <w:pStyle w:val="BodyText1"/>
        <w:shd w:val="clear" w:color="auto" w:fill="auto"/>
        <w:tabs>
          <w:tab w:val="left" w:pos="1080"/>
        </w:tabs>
        <w:spacing w:line="240" w:lineRule="auto"/>
        <w:ind w:firstLine="432"/>
        <w:rPr>
          <w:sz w:val="22"/>
          <w:szCs w:val="22"/>
        </w:rPr>
      </w:pPr>
      <w:r>
        <w:rPr>
          <w:sz w:val="22"/>
          <w:szCs w:val="22"/>
        </w:rPr>
        <w:t>“</w:t>
      </w:r>
      <w:r w:rsidR="00EC4F18" w:rsidRPr="00440F87">
        <w:rPr>
          <w:sz w:val="22"/>
          <w:szCs w:val="22"/>
        </w:rPr>
        <w:t>(3.)</w:t>
      </w:r>
      <w:r>
        <w:rPr>
          <w:sz w:val="22"/>
          <w:szCs w:val="22"/>
        </w:rPr>
        <w:tab/>
      </w:r>
      <w:r w:rsidR="00EC4F18" w:rsidRPr="00440F87">
        <w:rPr>
          <w:sz w:val="22"/>
          <w:szCs w:val="22"/>
        </w:rPr>
        <w:t>Where a man has, during the continuance of his marriage, ceased (whether before or after the commencement of this Act) to be a British subject, his wife shall not, by reason only of that fact, be deemed to have ceased to be a British subject unless, by reason of the acquisition by her husband of a new nationality, she also acquired that nationality.</w:t>
      </w:r>
    </w:p>
    <w:p w:rsidR="00365372" w:rsidRPr="00440F87" w:rsidRDefault="009F391C" w:rsidP="0076324D">
      <w:pPr>
        <w:pStyle w:val="BodyText1"/>
        <w:shd w:val="clear" w:color="auto" w:fill="auto"/>
        <w:tabs>
          <w:tab w:val="left" w:pos="1080"/>
        </w:tabs>
        <w:spacing w:line="240" w:lineRule="auto"/>
        <w:ind w:firstLine="432"/>
        <w:rPr>
          <w:sz w:val="22"/>
          <w:szCs w:val="22"/>
        </w:rPr>
      </w:pPr>
      <w:r>
        <w:rPr>
          <w:sz w:val="22"/>
          <w:szCs w:val="22"/>
        </w:rPr>
        <w:t>“</w:t>
      </w:r>
      <w:r w:rsidR="00EC4F18" w:rsidRPr="00440F87">
        <w:rPr>
          <w:sz w:val="22"/>
          <w:szCs w:val="22"/>
        </w:rPr>
        <w:t>(4.)</w:t>
      </w:r>
      <w:r w:rsidR="0076324D">
        <w:rPr>
          <w:sz w:val="22"/>
          <w:szCs w:val="22"/>
        </w:rPr>
        <w:tab/>
      </w:r>
      <w:r w:rsidR="00EC4F18" w:rsidRPr="00440F87">
        <w:rPr>
          <w:sz w:val="22"/>
          <w:szCs w:val="22"/>
        </w:rPr>
        <w:t>Where a man ceases, during the continuance of his marriage, to be a British subject and, by reason of his acquisition of a new nationality, his wife also acquires that nationality, she may, whether her marriage is still continuing or not, within one year from the date on which she so acquired such nationality, or within such further time as the Minister in special circumstances allows, make a declaration that she desires to retain British nationality, and there</w:t>
      </w:r>
      <w:r w:rsidR="00DE52CA" w:rsidRPr="00440F87">
        <w:rPr>
          <w:sz w:val="22"/>
          <w:szCs w:val="22"/>
        </w:rPr>
        <w:t>-</w:t>
      </w:r>
      <w:r w:rsidR="00EC4F18" w:rsidRPr="00440F87">
        <w:rPr>
          <w:sz w:val="22"/>
          <w:szCs w:val="22"/>
        </w:rPr>
        <w:t>upon she shall be deemed to have remained a British subject.</w:t>
      </w:r>
    </w:p>
    <w:p w:rsidR="00365372" w:rsidRPr="00440F87" w:rsidRDefault="009F391C" w:rsidP="0076324D">
      <w:pPr>
        <w:pStyle w:val="BodyText1"/>
        <w:shd w:val="clear" w:color="auto" w:fill="auto"/>
        <w:tabs>
          <w:tab w:val="left" w:pos="1080"/>
        </w:tabs>
        <w:spacing w:line="240" w:lineRule="auto"/>
        <w:ind w:firstLine="432"/>
        <w:rPr>
          <w:sz w:val="22"/>
          <w:szCs w:val="22"/>
        </w:rPr>
      </w:pPr>
      <w:r>
        <w:rPr>
          <w:sz w:val="22"/>
          <w:szCs w:val="22"/>
        </w:rPr>
        <w:t>“</w:t>
      </w:r>
      <w:r w:rsidR="00EC4F18" w:rsidRPr="00440F87">
        <w:rPr>
          <w:sz w:val="22"/>
          <w:szCs w:val="22"/>
        </w:rPr>
        <w:t>(5.)</w:t>
      </w:r>
      <w:r w:rsidR="0076324D">
        <w:rPr>
          <w:sz w:val="22"/>
          <w:szCs w:val="22"/>
        </w:rPr>
        <w:tab/>
      </w:r>
      <w:r w:rsidR="00EC4F18" w:rsidRPr="00440F87">
        <w:rPr>
          <w:sz w:val="22"/>
          <w:szCs w:val="22"/>
        </w:rPr>
        <w:t>Where, after the thirty-first day of March, One thousand nine hundred and thirty-seven, a certificate of naturalization is granted to an alien, his wife, if she is not already a British subject, shall not be deemed to be a British subject, unless, within one year from the date of such certificate, or within such further time as the Minister in special circumstances allows, she makes a declaration that she desires to acquire British nationality.</w:t>
      </w:r>
    </w:p>
    <w:p w:rsidR="00365372" w:rsidRPr="00440F87" w:rsidRDefault="009F391C" w:rsidP="0076324D">
      <w:pPr>
        <w:pStyle w:val="BodyText1"/>
        <w:shd w:val="clear" w:color="auto" w:fill="auto"/>
        <w:tabs>
          <w:tab w:val="left" w:pos="1080"/>
        </w:tabs>
        <w:spacing w:line="240" w:lineRule="auto"/>
        <w:ind w:firstLine="432"/>
        <w:rPr>
          <w:sz w:val="22"/>
          <w:szCs w:val="22"/>
        </w:rPr>
      </w:pPr>
      <w:r>
        <w:rPr>
          <w:sz w:val="22"/>
          <w:szCs w:val="22"/>
        </w:rPr>
        <w:t>“</w:t>
      </w:r>
      <w:r w:rsidR="00EC4F18" w:rsidRPr="00440F87">
        <w:rPr>
          <w:sz w:val="22"/>
          <w:szCs w:val="22"/>
        </w:rPr>
        <w:t>(6.)</w:t>
      </w:r>
      <w:r w:rsidR="0076324D">
        <w:rPr>
          <w:sz w:val="22"/>
          <w:szCs w:val="22"/>
        </w:rPr>
        <w:tab/>
      </w:r>
      <w:r w:rsidR="00EC4F18" w:rsidRPr="00440F87">
        <w:rPr>
          <w:sz w:val="22"/>
          <w:szCs w:val="22"/>
        </w:rPr>
        <w:t>Where an alien is a subject of a state at war with His Majesty, it shall be lawful for his wife, if she was a natural-born British subject, to make a declaration that she desires to resume British nationality, and thereupon the Minister, if he is satisfied that it is desirable that she be permitted to do so, may grant her a certificate of naturalization.”.</w:t>
      </w:r>
      <w:r w:rsidR="00EC4F18" w:rsidRPr="00440F87">
        <w:rPr>
          <w:sz w:val="22"/>
          <w:szCs w:val="22"/>
        </w:rPr>
        <w:br w:type="page"/>
      </w:r>
    </w:p>
    <w:p w:rsidR="00365372" w:rsidRPr="00440F87" w:rsidRDefault="001C3435" w:rsidP="0076324D">
      <w:pPr>
        <w:pStyle w:val="BodyText1"/>
        <w:shd w:val="clear" w:color="auto" w:fill="auto"/>
        <w:tabs>
          <w:tab w:val="left" w:pos="810"/>
        </w:tabs>
        <w:spacing w:line="240" w:lineRule="auto"/>
        <w:ind w:firstLine="432"/>
        <w:rPr>
          <w:sz w:val="22"/>
          <w:szCs w:val="22"/>
        </w:rPr>
      </w:pPr>
      <w:r w:rsidRPr="00440F87">
        <w:rPr>
          <w:b/>
          <w:sz w:val="22"/>
          <w:szCs w:val="22"/>
        </w:rPr>
        <w:lastRenderedPageBreak/>
        <w:t>7.</w:t>
      </w:r>
      <w:r w:rsidR="0076324D">
        <w:rPr>
          <w:sz w:val="22"/>
          <w:szCs w:val="22"/>
        </w:rPr>
        <w:tab/>
      </w:r>
      <w:r w:rsidR="00EC4F18" w:rsidRPr="00440F87">
        <w:rPr>
          <w:sz w:val="22"/>
          <w:szCs w:val="22"/>
        </w:rPr>
        <w:t>After section eighteen of the Principal Act th</w:t>
      </w:r>
      <w:r w:rsidR="0076324D">
        <w:rPr>
          <w:sz w:val="22"/>
          <w:szCs w:val="22"/>
        </w:rPr>
        <w:t>e following section is inserted</w:t>
      </w:r>
      <w:r w:rsidR="00EC4F18" w:rsidRPr="00440F87">
        <w:rPr>
          <w:sz w:val="22"/>
          <w:szCs w:val="22"/>
        </w:rPr>
        <w:t>:—</w:t>
      </w:r>
    </w:p>
    <w:p w:rsidR="001C3435" w:rsidRPr="00440F87" w:rsidRDefault="001C3435" w:rsidP="00CD5593">
      <w:pPr>
        <w:pStyle w:val="BodyText1"/>
        <w:shd w:val="clear" w:color="auto" w:fill="auto"/>
        <w:spacing w:before="120" w:after="60" w:line="240" w:lineRule="auto"/>
        <w:ind w:firstLine="0"/>
        <w:rPr>
          <w:b/>
        </w:rPr>
      </w:pPr>
      <w:r w:rsidRPr="00440F87">
        <w:rPr>
          <w:b/>
        </w:rPr>
        <w:t>Special provisions as to married women who by reason of their marriage to aliens have acquired the nationality of their husbands.</w:t>
      </w:r>
    </w:p>
    <w:p w:rsidR="00365372" w:rsidRPr="00440F87" w:rsidRDefault="00EC4F18" w:rsidP="0076324D">
      <w:pPr>
        <w:pStyle w:val="BodyText1"/>
        <w:shd w:val="clear" w:color="auto" w:fill="auto"/>
        <w:tabs>
          <w:tab w:val="left" w:pos="1350"/>
          <w:tab w:val="left" w:pos="1710"/>
        </w:tabs>
        <w:spacing w:line="240" w:lineRule="auto"/>
        <w:ind w:firstLine="432"/>
        <w:rPr>
          <w:sz w:val="22"/>
          <w:szCs w:val="22"/>
        </w:rPr>
      </w:pPr>
      <w:r w:rsidRPr="00440F87">
        <w:rPr>
          <w:rStyle w:val="BodytextSmallCaps"/>
          <w:sz w:val="22"/>
          <w:szCs w:val="22"/>
        </w:rPr>
        <w:t>“18a.—(</w:t>
      </w:r>
      <w:r w:rsidRPr="00440F87">
        <w:rPr>
          <w:sz w:val="22"/>
          <w:szCs w:val="22"/>
        </w:rPr>
        <w:t>1.)</w:t>
      </w:r>
      <w:r w:rsidR="0076324D">
        <w:rPr>
          <w:sz w:val="22"/>
          <w:szCs w:val="22"/>
        </w:rPr>
        <w:tab/>
      </w:r>
      <w:r w:rsidRPr="00440F87">
        <w:rPr>
          <w:sz w:val="22"/>
          <w:szCs w:val="22"/>
        </w:rPr>
        <w:t>This section shall apply to every woman who at the time of her marriage to an alien, whether before or after the commencement of this section, was a British subject and who, by reason of her marriage, has acquired the nationality of her husband.</w:t>
      </w:r>
    </w:p>
    <w:p w:rsidR="00365372" w:rsidRPr="00440F87" w:rsidRDefault="00EC4F18" w:rsidP="0076324D">
      <w:pPr>
        <w:pStyle w:val="BodyText1"/>
        <w:shd w:val="clear" w:color="auto" w:fill="auto"/>
        <w:tabs>
          <w:tab w:val="left" w:pos="990"/>
        </w:tabs>
        <w:spacing w:line="240" w:lineRule="auto"/>
        <w:ind w:firstLine="432"/>
        <w:rPr>
          <w:sz w:val="22"/>
          <w:szCs w:val="22"/>
        </w:rPr>
      </w:pPr>
      <w:r w:rsidRPr="00440F87">
        <w:rPr>
          <w:sz w:val="22"/>
          <w:szCs w:val="22"/>
        </w:rPr>
        <w:t>“(2.)</w:t>
      </w:r>
      <w:r w:rsidR="0076324D">
        <w:rPr>
          <w:sz w:val="22"/>
          <w:szCs w:val="22"/>
        </w:rPr>
        <w:tab/>
      </w:r>
      <w:r w:rsidRPr="00440F87">
        <w:rPr>
          <w:sz w:val="22"/>
          <w:szCs w:val="22"/>
        </w:rPr>
        <w:t>Any woman to whom this section applies, whether her marriage is still continuing or not, may—</w:t>
      </w:r>
    </w:p>
    <w:p w:rsidR="00365372" w:rsidRPr="00440F87" w:rsidRDefault="001C3435" w:rsidP="00CD5593">
      <w:pPr>
        <w:pStyle w:val="BodyText1"/>
        <w:shd w:val="clear" w:color="auto" w:fill="auto"/>
        <w:tabs>
          <w:tab w:val="left" w:pos="677"/>
        </w:tabs>
        <w:spacing w:line="240" w:lineRule="auto"/>
        <w:ind w:left="998" w:hanging="567"/>
        <w:rPr>
          <w:sz w:val="22"/>
          <w:szCs w:val="22"/>
        </w:rPr>
      </w:pPr>
      <w:r w:rsidRPr="00440F87">
        <w:rPr>
          <w:sz w:val="22"/>
          <w:szCs w:val="22"/>
        </w:rPr>
        <w:t>(</w:t>
      </w:r>
      <w:r w:rsidRPr="00440F87">
        <w:rPr>
          <w:i/>
          <w:sz w:val="22"/>
          <w:szCs w:val="22"/>
        </w:rPr>
        <w:t>a</w:t>
      </w:r>
      <w:r w:rsidRPr="00440F87">
        <w:rPr>
          <w:sz w:val="22"/>
          <w:szCs w:val="22"/>
        </w:rPr>
        <w:t xml:space="preserve">) </w:t>
      </w:r>
      <w:r w:rsidR="00EC4F18" w:rsidRPr="00440F87">
        <w:rPr>
          <w:sz w:val="22"/>
          <w:szCs w:val="22"/>
        </w:rPr>
        <w:t>in the case of a woman married to an alien before the commencement of this section, at any time within twelve months after the commencement of this section,</w:t>
      </w:r>
    </w:p>
    <w:p w:rsidR="001C3435" w:rsidRPr="00440F87" w:rsidRDefault="001C3435" w:rsidP="00CD5593">
      <w:pPr>
        <w:pStyle w:val="BodyText1"/>
        <w:shd w:val="clear" w:color="auto" w:fill="auto"/>
        <w:tabs>
          <w:tab w:val="left" w:pos="667"/>
        </w:tabs>
        <w:spacing w:line="240" w:lineRule="auto"/>
        <w:ind w:left="998" w:hanging="567"/>
        <w:rPr>
          <w:sz w:val="22"/>
          <w:szCs w:val="22"/>
        </w:rPr>
      </w:pPr>
      <w:r w:rsidRPr="00440F87">
        <w:rPr>
          <w:sz w:val="22"/>
          <w:szCs w:val="22"/>
        </w:rPr>
        <w:t>(</w:t>
      </w:r>
      <w:r w:rsidRPr="00440F87">
        <w:rPr>
          <w:i/>
          <w:sz w:val="22"/>
          <w:szCs w:val="22"/>
        </w:rPr>
        <w:t>b</w:t>
      </w:r>
      <w:r w:rsidRPr="00440F87">
        <w:rPr>
          <w:sz w:val="22"/>
          <w:szCs w:val="22"/>
        </w:rPr>
        <w:t xml:space="preserve">) </w:t>
      </w:r>
      <w:r w:rsidR="00EC4F18" w:rsidRPr="00440F87">
        <w:rPr>
          <w:sz w:val="22"/>
          <w:szCs w:val="22"/>
        </w:rPr>
        <w:t>in the case of a woman married to an alien after the commencement of this section, within twelve months after the date of her marriage, or</w:t>
      </w:r>
    </w:p>
    <w:p w:rsidR="001C3435" w:rsidRPr="00440F87" w:rsidRDefault="001C3435" w:rsidP="0076324D">
      <w:pPr>
        <w:pStyle w:val="BodyText1"/>
        <w:shd w:val="clear" w:color="auto" w:fill="auto"/>
        <w:tabs>
          <w:tab w:val="left" w:pos="667"/>
        </w:tabs>
        <w:spacing w:line="240" w:lineRule="auto"/>
        <w:ind w:left="431" w:firstLine="0"/>
        <w:rPr>
          <w:sz w:val="22"/>
          <w:szCs w:val="22"/>
        </w:rPr>
      </w:pPr>
      <w:r w:rsidRPr="00440F87">
        <w:rPr>
          <w:sz w:val="22"/>
          <w:szCs w:val="22"/>
        </w:rPr>
        <w:t>(</w:t>
      </w:r>
      <w:r w:rsidRPr="00440F87">
        <w:rPr>
          <w:i/>
          <w:sz w:val="22"/>
          <w:szCs w:val="22"/>
        </w:rPr>
        <w:t>c</w:t>
      </w:r>
      <w:r w:rsidRPr="00440F87">
        <w:rPr>
          <w:sz w:val="22"/>
          <w:szCs w:val="22"/>
        </w:rPr>
        <w:t xml:space="preserve">) </w:t>
      </w:r>
      <w:r w:rsidR="00EC4F18" w:rsidRPr="00440F87">
        <w:rPr>
          <w:sz w:val="22"/>
          <w:szCs w:val="22"/>
        </w:rPr>
        <w:t>in either case, at such later time as the Minister in special circumstances allows,</w:t>
      </w:r>
    </w:p>
    <w:p w:rsidR="00365372" w:rsidRPr="00440F87" w:rsidRDefault="00EC4F18" w:rsidP="0076324D">
      <w:pPr>
        <w:pStyle w:val="BodyText1"/>
        <w:shd w:val="clear" w:color="auto" w:fill="auto"/>
        <w:spacing w:before="120" w:line="240" w:lineRule="auto"/>
        <w:ind w:firstLine="0"/>
        <w:rPr>
          <w:sz w:val="22"/>
          <w:szCs w:val="22"/>
        </w:rPr>
      </w:pPr>
      <w:r w:rsidRPr="00440F87">
        <w:rPr>
          <w:sz w:val="22"/>
          <w:szCs w:val="22"/>
        </w:rPr>
        <w:t>make a declaration in the prescribed form and manner that she desires to retain while in Australia or any Territory the rights of a British subject, and thereupon she shall, within Australia or any Territory, be entitled to all political and other rights, powers, and privileges, and be subject to all obligations, duties and liabilities, to which a natural-born British subject is entitled or subject.”.</w:t>
      </w:r>
    </w:p>
    <w:p w:rsidR="00CF678F" w:rsidRPr="00440F87" w:rsidRDefault="00CF678F" w:rsidP="00CD5593">
      <w:pPr>
        <w:pStyle w:val="BodyText1"/>
        <w:shd w:val="clear" w:color="auto" w:fill="auto"/>
        <w:spacing w:before="120" w:after="60" w:line="240" w:lineRule="auto"/>
        <w:ind w:firstLine="0"/>
        <w:rPr>
          <w:b/>
        </w:rPr>
      </w:pPr>
      <w:r w:rsidRPr="00440F87">
        <w:rPr>
          <w:b/>
        </w:rPr>
        <w:t>Amendment of certificates</w:t>
      </w:r>
    </w:p>
    <w:p w:rsidR="00365372" w:rsidRPr="00440F87" w:rsidRDefault="00CF678F" w:rsidP="0076324D">
      <w:pPr>
        <w:pStyle w:val="BodyText1"/>
        <w:shd w:val="clear" w:color="auto" w:fill="auto"/>
        <w:tabs>
          <w:tab w:val="left" w:pos="810"/>
        </w:tabs>
        <w:spacing w:line="240" w:lineRule="auto"/>
        <w:ind w:firstLine="432"/>
        <w:rPr>
          <w:sz w:val="22"/>
          <w:szCs w:val="22"/>
        </w:rPr>
      </w:pPr>
      <w:r w:rsidRPr="00440F87">
        <w:rPr>
          <w:b/>
          <w:sz w:val="22"/>
          <w:szCs w:val="22"/>
        </w:rPr>
        <w:t>8.</w:t>
      </w:r>
      <w:r w:rsidR="0076324D">
        <w:rPr>
          <w:sz w:val="22"/>
          <w:szCs w:val="22"/>
        </w:rPr>
        <w:tab/>
      </w:r>
      <w:r w:rsidR="00EC4F18" w:rsidRPr="00440F87">
        <w:rPr>
          <w:sz w:val="22"/>
          <w:szCs w:val="22"/>
        </w:rPr>
        <w:t>Section thirty-four of the Principal Act is amended by inserting in sub-section (1.) after the word “issue</w:t>
      </w:r>
      <w:r w:rsidR="00EC4F18" w:rsidRPr="0076324D">
        <w:rPr>
          <w:sz w:val="22"/>
          <w:szCs w:val="22"/>
        </w:rPr>
        <w:t>d</w:t>
      </w:r>
      <w:r w:rsidR="0076324D" w:rsidRPr="0076324D">
        <w:rPr>
          <w:rStyle w:val="BodytextItalic"/>
          <w:i w:val="0"/>
          <w:sz w:val="22"/>
          <w:szCs w:val="22"/>
        </w:rPr>
        <w:t>”</w:t>
      </w:r>
      <w:r w:rsidR="00EC4F18" w:rsidRPr="0076324D">
        <w:rPr>
          <w:sz w:val="22"/>
          <w:szCs w:val="22"/>
        </w:rPr>
        <w:t xml:space="preserve"> t</w:t>
      </w:r>
      <w:r w:rsidR="00EC4F18" w:rsidRPr="00440F87">
        <w:rPr>
          <w:sz w:val="22"/>
          <w:szCs w:val="22"/>
        </w:rPr>
        <w:t>he words “under this Act or”.</w:t>
      </w:r>
    </w:p>
    <w:p w:rsidR="00F765B8" w:rsidRPr="00440F87" w:rsidRDefault="00F765B8" w:rsidP="002F368C">
      <w:pPr>
        <w:pStyle w:val="BodyText1"/>
        <w:pBdr>
          <w:bottom w:val="double" w:sz="4" w:space="1" w:color="auto"/>
        </w:pBdr>
        <w:shd w:val="clear" w:color="auto" w:fill="auto"/>
        <w:spacing w:before="120" w:line="240" w:lineRule="auto"/>
        <w:ind w:left="3402" w:right="3359" w:firstLine="0"/>
        <w:jc w:val="center"/>
        <w:rPr>
          <w:sz w:val="22"/>
          <w:szCs w:val="22"/>
        </w:rPr>
      </w:pPr>
    </w:p>
    <w:p w:rsidR="00365372" w:rsidRPr="00440F87" w:rsidRDefault="00EC4F18" w:rsidP="0076324D">
      <w:pPr>
        <w:pStyle w:val="BodyText1"/>
        <w:shd w:val="clear" w:color="auto" w:fill="auto"/>
        <w:spacing w:before="240" w:line="240" w:lineRule="auto"/>
        <w:ind w:firstLine="0"/>
        <w:jc w:val="center"/>
        <w:rPr>
          <w:sz w:val="28"/>
          <w:szCs w:val="28"/>
        </w:rPr>
      </w:pPr>
      <w:r w:rsidRPr="00440F87">
        <w:rPr>
          <w:sz w:val="28"/>
          <w:szCs w:val="28"/>
        </w:rPr>
        <w:t>THE SCHEDULE.</w:t>
      </w:r>
    </w:p>
    <w:p w:rsidR="00F765B8" w:rsidRPr="00440F87" w:rsidRDefault="00F765B8" w:rsidP="002F368C">
      <w:pPr>
        <w:pStyle w:val="BodyText1"/>
        <w:pBdr>
          <w:bottom w:val="single" w:sz="4" w:space="1" w:color="auto"/>
        </w:pBdr>
        <w:shd w:val="clear" w:color="auto" w:fill="auto"/>
        <w:spacing w:line="240" w:lineRule="auto"/>
        <w:ind w:left="3686" w:right="3642" w:firstLine="0"/>
        <w:jc w:val="center"/>
        <w:rPr>
          <w:sz w:val="22"/>
          <w:szCs w:val="22"/>
        </w:rPr>
      </w:pPr>
    </w:p>
    <w:p w:rsidR="00365372" w:rsidRPr="00440F87" w:rsidRDefault="00EC4F18" w:rsidP="002F368C">
      <w:pPr>
        <w:pStyle w:val="Tablecaption0"/>
        <w:shd w:val="clear" w:color="auto" w:fill="auto"/>
        <w:spacing w:before="120" w:after="120" w:line="240" w:lineRule="auto"/>
        <w:jc w:val="center"/>
        <w:rPr>
          <w:sz w:val="22"/>
          <w:szCs w:val="22"/>
        </w:rPr>
      </w:pPr>
      <w:r w:rsidRPr="00440F87">
        <w:rPr>
          <w:sz w:val="22"/>
          <w:szCs w:val="22"/>
        </w:rPr>
        <w:t>AMENDMENTS TO THE PRINCIPAL ACT.</w:t>
      </w:r>
    </w:p>
    <w:tbl>
      <w:tblPr>
        <w:tblOverlap w:val="never"/>
        <w:tblW w:w="5000" w:type="pct"/>
        <w:tblCellMar>
          <w:left w:w="10" w:type="dxa"/>
          <w:right w:w="10" w:type="dxa"/>
        </w:tblCellMar>
        <w:tblLook w:val="0000" w:firstRow="0" w:lastRow="0" w:firstColumn="0" w:lastColumn="0" w:noHBand="0" w:noVBand="0"/>
      </w:tblPr>
      <w:tblGrid>
        <w:gridCol w:w="1016"/>
        <w:gridCol w:w="7466"/>
      </w:tblGrid>
      <w:tr w:rsidR="00365372" w:rsidRPr="00440F87" w:rsidTr="00E17C43">
        <w:trPr>
          <w:trHeight w:val="600"/>
        </w:trPr>
        <w:tc>
          <w:tcPr>
            <w:tcW w:w="599" w:type="pct"/>
            <w:tcBorders>
              <w:top w:val="single" w:sz="4" w:space="0" w:color="auto"/>
            </w:tcBorders>
            <w:shd w:val="clear" w:color="auto" w:fill="FFFFFF"/>
            <w:vAlign w:val="center"/>
          </w:tcPr>
          <w:p w:rsidR="00365372" w:rsidRPr="00440F87" w:rsidRDefault="00EC4F18" w:rsidP="002F368C">
            <w:pPr>
              <w:pStyle w:val="BodyText1"/>
              <w:shd w:val="clear" w:color="auto" w:fill="auto"/>
              <w:spacing w:line="240" w:lineRule="auto"/>
              <w:ind w:firstLine="0"/>
              <w:jc w:val="center"/>
              <w:rPr>
                <w:bCs/>
                <w:sz w:val="22"/>
                <w:szCs w:val="22"/>
              </w:rPr>
            </w:pPr>
            <w:r w:rsidRPr="00440F87">
              <w:rPr>
                <w:rStyle w:val="Bodytext65pt"/>
                <w:bCs/>
                <w:sz w:val="22"/>
                <w:szCs w:val="22"/>
              </w:rPr>
              <w:t>Section.</w:t>
            </w:r>
          </w:p>
        </w:tc>
        <w:tc>
          <w:tcPr>
            <w:tcW w:w="4401" w:type="pct"/>
            <w:tcBorders>
              <w:top w:val="single" w:sz="4" w:space="0" w:color="auto"/>
              <w:left w:val="single" w:sz="4" w:space="0" w:color="auto"/>
            </w:tcBorders>
            <w:shd w:val="clear" w:color="auto" w:fill="FFFFFF"/>
            <w:vAlign w:val="center"/>
          </w:tcPr>
          <w:p w:rsidR="00365372" w:rsidRPr="00440F87" w:rsidRDefault="00EC4F18" w:rsidP="002F368C">
            <w:pPr>
              <w:pStyle w:val="BodyText1"/>
              <w:shd w:val="clear" w:color="auto" w:fill="auto"/>
              <w:spacing w:line="240" w:lineRule="auto"/>
              <w:ind w:firstLine="0"/>
              <w:jc w:val="center"/>
              <w:rPr>
                <w:bCs/>
                <w:sz w:val="22"/>
                <w:szCs w:val="22"/>
              </w:rPr>
            </w:pPr>
            <w:r w:rsidRPr="00440F87">
              <w:rPr>
                <w:rStyle w:val="Bodytext75pt"/>
                <w:bCs/>
                <w:sz w:val="22"/>
                <w:szCs w:val="22"/>
              </w:rPr>
              <w:t>Amendment.</w:t>
            </w:r>
          </w:p>
        </w:tc>
      </w:tr>
      <w:tr w:rsidR="00F765B8" w:rsidRPr="00440F87" w:rsidTr="00E17C43">
        <w:trPr>
          <w:trHeight w:val="285"/>
        </w:trPr>
        <w:tc>
          <w:tcPr>
            <w:tcW w:w="599" w:type="pct"/>
            <w:tcBorders>
              <w:top w:val="single" w:sz="4" w:space="0" w:color="auto"/>
            </w:tcBorders>
            <w:shd w:val="clear" w:color="auto" w:fill="FFFFFF"/>
          </w:tcPr>
          <w:p w:rsidR="00F765B8" w:rsidRPr="00440F87" w:rsidRDefault="00F765B8" w:rsidP="0076324D">
            <w:pPr>
              <w:pStyle w:val="BodyText1"/>
              <w:shd w:val="clear" w:color="auto" w:fill="auto"/>
              <w:spacing w:before="120" w:line="240" w:lineRule="auto"/>
              <w:ind w:right="144" w:firstLine="0"/>
              <w:jc w:val="center"/>
              <w:rPr>
                <w:sz w:val="22"/>
                <w:szCs w:val="22"/>
              </w:rPr>
            </w:pPr>
            <w:r w:rsidRPr="00440F87">
              <w:rPr>
                <w:rStyle w:val="Bodytext75pt"/>
                <w:sz w:val="22"/>
                <w:szCs w:val="22"/>
              </w:rPr>
              <w:t>7</w:t>
            </w:r>
          </w:p>
        </w:tc>
        <w:tc>
          <w:tcPr>
            <w:tcW w:w="4401" w:type="pct"/>
            <w:tcBorders>
              <w:top w:val="single" w:sz="4" w:space="0" w:color="auto"/>
              <w:left w:val="single" w:sz="4" w:space="0" w:color="auto"/>
            </w:tcBorders>
            <w:shd w:val="clear" w:color="auto" w:fill="FFFFFF"/>
          </w:tcPr>
          <w:p w:rsidR="00F765B8" w:rsidRPr="00440F87" w:rsidRDefault="00F765B8" w:rsidP="0076324D">
            <w:pPr>
              <w:pStyle w:val="BodyText1"/>
              <w:shd w:val="clear" w:color="auto" w:fill="auto"/>
              <w:spacing w:before="120" w:line="240" w:lineRule="auto"/>
              <w:ind w:left="131" w:firstLine="0"/>
              <w:jc w:val="left"/>
              <w:rPr>
                <w:sz w:val="22"/>
                <w:szCs w:val="22"/>
              </w:rPr>
            </w:pPr>
            <w:r w:rsidRPr="00440F87">
              <w:rPr>
                <w:rStyle w:val="Bodytext75pt"/>
                <w:sz w:val="22"/>
                <w:szCs w:val="22"/>
              </w:rPr>
              <w:t>Omit “Governor-General” (wherever occurring), insert “Minister”</w:t>
            </w:r>
            <w:r w:rsidR="009C4F27" w:rsidRPr="00440F87">
              <w:rPr>
                <w:rStyle w:val="Bodytext75pt"/>
                <w:sz w:val="22"/>
                <w:szCs w:val="22"/>
              </w:rPr>
              <w:t>.</w:t>
            </w:r>
          </w:p>
        </w:tc>
      </w:tr>
      <w:tr w:rsidR="00F765B8" w:rsidRPr="00440F87" w:rsidTr="00E17C43">
        <w:trPr>
          <w:trHeight w:val="168"/>
        </w:trPr>
        <w:tc>
          <w:tcPr>
            <w:tcW w:w="599" w:type="pct"/>
            <w:shd w:val="clear" w:color="auto" w:fill="FFFFFF"/>
          </w:tcPr>
          <w:p w:rsidR="00F765B8" w:rsidRPr="00440F87" w:rsidRDefault="00F765B8" w:rsidP="0076324D">
            <w:pPr>
              <w:pStyle w:val="BodyText1"/>
              <w:shd w:val="clear" w:color="auto" w:fill="auto"/>
              <w:spacing w:line="240" w:lineRule="auto"/>
              <w:ind w:right="144" w:firstLine="0"/>
              <w:jc w:val="center"/>
              <w:rPr>
                <w:sz w:val="22"/>
                <w:szCs w:val="22"/>
              </w:rPr>
            </w:pPr>
            <w:r w:rsidRPr="00440F87">
              <w:rPr>
                <w:rStyle w:val="Bodytext75pt"/>
                <w:sz w:val="22"/>
                <w:szCs w:val="22"/>
              </w:rPr>
              <w:t>8</w:t>
            </w:r>
          </w:p>
        </w:tc>
        <w:tc>
          <w:tcPr>
            <w:tcW w:w="4401" w:type="pct"/>
            <w:tcBorders>
              <w:left w:val="single" w:sz="4" w:space="0" w:color="auto"/>
            </w:tcBorders>
            <w:shd w:val="clear" w:color="auto" w:fill="FFFFFF"/>
          </w:tcPr>
          <w:p w:rsidR="00F765B8" w:rsidRPr="00440F87" w:rsidRDefault="0076324D" w:rsidP="002F368C">
            <w:pPr>
              <w:pStyle w:val="BodyText1"/>
              <w:shd w:val="clear" w:color="auto" w:fill="auto"/>
              <w:spacing w:line="240" w:lineRule="auto"/>
              <w:ind w:left="131" w:firstLine="0"/>
              <w:jc w:val="left"/>
              <w:rPr>
                <w:sz w:val="22"/>
                <w:szCs w:val="22"/>
              </w:rPr>
            </w:pPr>
            <w:r>
              <w:rPr>
                <w:rStyle w:val="Bodytext75pt"/>
                <w:sz w:val="22"/>
                <w:szCs w:val="22"/>
              </w:rPr>
              <w:t>Omit “Governor-General</w:t>
            </w:r>
            <w:r w:rsidR="00F765B8" w:rsidRPr="00440F87">
              <w:rPr>
                <w:rStyle w:val="Bodytext75pt"/>
                <w:sz w:val="22"/>
                <w:szCs w:val="22"/>
              </w:rPr>
              <w:t>” (wherever occurring), insert “Minister”</w:t>
            </w:r>
            <w:r w:rsidR="009C4F27" w:rsidRPr="00440F87">
              <w:rPr>
                <w:rStyle w:val="Bodytext75pt"/>
                <w:sz w:val="22"/>
                <w:szCs w:val="22"/>
              </w:rPr>
              <w:t>.</w:t>
            </w:r>
          </w:p>
        </w:tc>
      </w:tr>
      <w:tr w:rsidR="00F765B8" w:rsidRPr="00440F87" w:rsidTr="00E17C43">
        <w:trPr>
          <w:trHeight w:val="130"/>
        </w:trPr>
        <w:tc>
          <w:tcPr>
            <w:tcW w:w="599" w:type="pct"/>
            <w:shd w:val="clear" w:color="auto" w:fill="FFFFFF"/>
          </w:tcPr>
          <w:p w:rsidR="00F765B8" w:rsidRPr="00440F87" w:rsidRDefault="00F765B8" w:rsidP="0076324D">
            <w:pPr>
              <w:pStyle w:val="BodyText1"/>
              <w:shd w:val="clear" w:color="auto" w:fill="auto"/>
              <w:spacing w:line="240" w:lineRule="auto"/>
              <w:ind w:right="144" w:firstLine="0"/>
              <w:jc w:val="center"/>
              <w:rPr>
                <w:sz w:val="22"/>
                <w:szCs w:val="22"/>
              </w:rPr>
            </w:pPr>
            <w:r w:rsidRPr="00440F87">
              <w:rPr>
                <w:rStyle w:val="Bodytext75pt"/>
                <w:sz w:val="22"/>
                <w:szCs w:val="22"/>
              </w:rPr>
              <w:t>9</w:t>
            </w:r>
          </w:p>
        </w:tc>
        <w:tc>
          <w:tcPr>
            <w:tcW w:w="4401" w:type="pct"/>
            <w:tcBorders>
              <w:left w:val="single" w:sz="4" w:space="0" w:color="auto"/>
            </w:tcBorders>
            <w:shd w:val="clear" w:color="auto" w:fill="FFFFFF"/>
          </w:tcPr>
          <w:p w:rsidR="00F765B8" w:rsidRPr="00440F87" w:rsidRDefault="00F765B8" w:rsidP="002F368C">
            <w:pPr>
              <w:pStyle w:val="BodyText1"/>
              <w:shd w:val="clear" w:color="auto" w:fill="auto"/>
              <w:spacing w:line="240" w:lineRule="auto"/>
              <w:ind w:left="131" w:firstLine="0"/>
              <w:jc w:val="left"/>
              <w:rPr>
                <w:sz w:val="22"/>
                <w:szCs w:val="22"/>
              </w:rPr>
            </w:pPr>
            <w:r w:rsidRPr="00440F87">
              <w:rPr>
                <w:rStyle w:val="Bodytext75pt"/>
                <w:sz w:val="22"/>
                <w:szCs w:val="22"/>
              </w:rPr>
              <w:t>Omit “Governor General”, insert “Minister”.</w:t>
            </w:r>
          </w:p>
        </w:tc>
      </w:tr>
      <w:tr w:rsidR="00F765B8" w:rsidRPr="00440F87" w:rsidTr="00E17C43">
        <w:trPr>
          <w:trHeight w:val="187"/>
        </w:trPr>
        <w:tc>
          <w:tcPr>
            <w:tcW w:w="599" w:type="pct"/>
            <w:shd w:val="clear" w:color="auto" w:fill="FFFFFF"/>
          </w:tcPr>
          <w:p w:rsidR="00F765B8" w:rsidRPr="00440F87" w:rsidRDefault="00F765B8" w:rsidP="0076324D">
            <w:pPr>
              <w:pStyle w:val="BodyText1"/>
              <w:shd w:val="clear" w:color="auto" w:fill="auto"/>
              <w:spacing w:line="240" w:lineRule="auto"/>
              <w:ind w:right="144" w:firstLine="0"/>
              <w:jc w:val="center"/>
              <w:rPr>
                <w:sz w:val="22"/>
                <w:szCs w:val="22"/>
              </w:rPr>
            </w:pPr>
            <w:r w:rsidRPr="00440F87">
              <w:rPr>
                <w:rStyle w:val="Bodytext75pt"/>
                <w:sz w:val="22"/>
                <w:szCs w:val="22"/>
              </w:rPr>
              <w:t>10</w:t>
            </w:r>
          </w:p>
        </w:tc>
        <w:tc>
          <w:tcPr>
            <w:tcW w:w="4401" w:type="pct"/>
            <w:tcBorders>
              <w:left w:val="single" w:sz="4" w:space="0" w:color="auto"/>
            </w:tcBorders>
            <w:shd w:val="clear" w:color="auto" w:fill="FFFFFF"/>
          </w:tcPr>
          <w:p w:rsidR="00F765B8" w:rsidRPr="00440F87" w:rsidRDefault="00F765B8" w:rsidP="002F368C">
            <w:pPr>
              <w:pStyle w:val="BodyText1"/>
              <w:shd w:val="clear" w:color="auto" w:fill="auto"/>
              <w:spacing w:line="240" w:lineRule="auto"/>
              <w:ind w:left="131" w:firstLine="0"/>
              <w:jc w:val="left"/>
              <w:rPr>
                <w:sz w:val="22"/>
                <w:szCs w:val="22"/>
              </w:rPr>
            </w:pPr>
            <w:r w:rsidRPr="00440F87">
              <w:rPr>
                <w:rStyle w:val="Bodytext75pt"/>
                <w:sz w:val="22"/>
                <w:szCs w:val="22"/>
              </w:rPr>
              <w:t>Omit “Governor General” (wherever occurring), insert “Minister ”,</w:t>
            </w:r>
          </w:p>
        </w:tc>
      </w:tr>
      <w:tr w:rsidR="00F765B8" w:rsidRPr="00440F87" w:rsidTr="00E17C43">
        <w:trPr>
          <w:trHeight w:val="154"/>
        </w:trPr>
        <w:tc>
          <w:tcPr>
            <w:tcW w:w="599" w:type="pct"/>
            <w:shd w:val="clear" w:color="auto" w:fill="FFFFFF"/>
          </w:tcPr>
          <w:p w:rsidR="00F765B8" w:rsidRPr="00440F87" w:rsidRDefault="00F765B8" w:rsidP="0076324D">
            <w:pPr>
              <w:pStyle w:val="BodyText1"/>
              <w:shd w:val="clear" w:color="auto" w:fill="auto"/>
              <w:spacing w:line="240" w:lineRule="auto"/>
              <w:ind w:right="144" w:firstLine="0"/>
              <w:jc w:val="center"/>
              <w:rPr>
                <w:sz w:val="22"/>
                <w:szCs w:val="22"/>
              </w:rPr>
            </w:pPr>
            <w:r w:rsidRPr="00440F87">
              <w:rPr>
                <w:rStyle w:val="Bodytext75pt"/>
                <w:sz w:val="22"/>
                <w:szCs w:val="22"/>
              </w:rPr>
              <w:t>11</w:t>
            </w:r>
          </w:p>
        </w:tc>
        <w:tc>
          <w:tcPr>
            <w:tcW w:w="4401" w:type="pct"/>
            <w:tcBorders>
              <w:left w:val="single" w:sz="4" w:space="0" w:color="auto"/>
            </w:tcBorders>
            <w:shd w:val="clear" w:color="auto" w:fill="FFFFFF"/>
          </w:tcPr>
          <w:p w:rsidR="00F765B8" w:rsidRPr="00440F87" w:rsidRDefault="00F765B8" w:rsidP="002F368C">
            <w:pPr>
              <w:pStyle w:val="BodyText1"/>
              <w:shd w:val="clear" w:color="auto" w:fill="auto"/>
              <w:spacing w:line="240" w:lineRule="auto"/>
              <w:ind w:left="131" w:firstLine="0"/>
              <w:jc w:val="left"/>
              <w:rPr>
                <w:sz w:val="22"/>
                <w:szCs w:val="22"/>
              </w:rPr>
            </w:pPr>
            <w:r w:rsidRPr="00440F87">
              <w:rPr>
                <w:rStyle w:val="Bodytext75pt0"/>
                <w:i w:val="0"/>
                <w:sz w:val="22"/>
                <w:szCs w:val="22"/>
              </w:rPr>
              <w:t>Omit</w:t>
            </w:r>
            <w:r w:rsidR="005F7581" w:rsidRPr="00440F87">
              <w:rPr>
                <w:rStyle w:val="Bodytext75pt0"/>
                <w:i w:val="0"/>
                <w:sz w:val="22"/>
                <w:szCs w:val="22"/>
              </w:rPr>
              <w:t xml:space="preserve"> </w:t>
            </w:r>
            <w:r w:rsidR="005F7581" w:rsidRPr="00440F87">
              <w:rPr>
                <w:rStyle w:val="Bodytext75pt"/>
                <w:sz w:val="22"/>
                <w:szCs w:val="22"/>
              </w:rPr>
              <w:t>“Governor General”</w:t>
            </w:r>
            <w:r w:rsidRPr="00440F87">
              <w:rPr>
                <w:rStyle w:val="Bodytext75pt"/>
                <w:sz w:val="22"/>
                <w:szCs w:val="22"/>
              </w:rPr>
              <w:t>, insert “ Minister</w:t>
            </w:r>
            <w:r w:rsidR="005F7581" w:rsidRPr="00440F87">
              <w:rPr>
                <w:rStyle w:val="Bodytext75pt"/>
                <w:sz w:val="22"/>
                <w:szCs w:val="22"/>
              </w:rPr>
              <w:t>”</w:t>
            </w:r>
          </w:p>
        </w:tc>
      </w:tr>
      <w:tr w:rsidR="002F368C" w:rsidRPr="00440F87" w:rsidTr="00B12832">
        <w:trPr>
          <w:trHeight w:val="506"/>
        </w:trPr>
        <w:tc>
          <w:tcPr>
            <w:tcW w:w="599" w:type="pct"/>
            <w:shd w:val="clear" w:color="auto" w:fill="FFFFFF"/>
          </w:tcPr>
          <w:p w:rsidR="002F368C" w:rsidRPr="00440F87" w:rsidRDefault="002F368C" w:rsidP="0076324D">
            <w:pPr>
              <w:pStyle w:val="BodyText1"/>
              <w:shd w:val="clear" w:color="auto" w:fill="auto"/>
              <w:spacing w:line="240" w:lineRule="auto"/>
              <w:ind w:right="144" w:firstLine="0"/>
              <w:jc w:val="center"/>
              <w:rPr>
                <w:sz w:val="22"/>
                <w:szCs w:val="22"/>
              </w:rPr>
            </w:pPr>
            <w:r w:rsidRPr="00440F87">
              <w:rPr>
                <w:rStyle w:val="Bodytext75pt"/>
                <w:sz w:val="22"/>
                <w:szCs w:val="22"/>
              </w:rPr>
              <w:t>12</w:t>
            </w:r>
          </w:p>
        </w:tc>
        <w:tc>
          <w:tcPr>
            <w:tcW w:w="4401" w:type="pct"/>
            <w:tcBorders>
              <w:left w:val="single" w:sz="4" w:space="0" w:color="auto"/>
            </w:tcBorders>
            <w:shd w:val="clear" w:color="auto" w:fill="FFFFFF"/>
          </w:tcPr>
          <w:p w:rsidR="002F368C" w:rsidRPr="00440F87" w:rsidRDefault="002F368C" w:rsidP="002F368C">
            <w:pPr>
              <w:pStyle w:val="BodyText1"/>
              <w:shd w:val="clear" w:color="auto" w:fill="auto"/>
              <w:spacing w:line="240" w:lineRule="auto"/>
              <w:ind w:left="576" w:hanging="432"/>
              <w:jc w:val="left"/>
              <w:rPr>
                <w:sz w:val="22"/>
                <w:szCs w:val="22"/>
              </w:rPr>
            </w:pPr>
            <w:r w:rsidRPr="00440F87">
              <w:rPr>
                <w:rStyle w:val="Bodytext75pt0"/>
                <w:i w:val="0"/>
                <w:sz w:val="22"/>
                <w:szCs w:val="22"/>
              </w:rPr>
              <w:t>Omit</w:t>
            </w:r>
            <w:r w:rsidRPr="00440F87">
              <w:rPr>
                <w:rStyle w:val="Bodytext75pt"/>
                <w:sz w:val="22"/>
                <w:szCs w:val="22"/>
              </w:rPr>
              <w:t xml:space="preserve"> “Governor General” (wherever occurring in sub-sections (1.), (2.), (3.), (4.), (7) and (8.) ), insert “Minister”.</w:t>
            </w:r>
          </w:p>
        </w:tc>
      </w:tr>
      <w:tr w:rsidR="00F765B8" w:rsidRPr="00440F87" w:rsidTr="00E17C43">
        <w:trPr>
          <w:trHeight w:val="158"/>
        </w:trPr>
        <w:tc>
          <w:tcPr>
            <w:tcW w:w="599" w:type="pct"/>
            <w:shd w:val="clear" w:color="auto" w:fill="FFFFFF"/>
          </w:tcPr>
          <w:p w:rsidR="00F765B8" w:rsidRPr="00440F87" w:rsidRDefault="00F765B8" w:rsidP="0076324D">
            <w:pPr>
              <w:pStyle w:val="BodyText1"/>
              <w:shd w:val="clear" w:color="auto" w:fill="auto"/>
              <w:spacing w:line="240" w:lineRule="auto"/>
              <w:ind w:right="144" w:firstLine="0"/>
              <w:jc w:val="center"/>
              <w:rPr>
                <w:sz w:val="22"/>
                <w:szCs w:val="22"/>
              </w:rPr>
            </w:pPr>
            <w:r w:rsidRPr="00440F87">
              <w:rPr>
                <w:rStyle w:val="Bodytext75pt"/>
                <w:sz w:val="22"/>
                <w:szCs w:val="22"/>
              </w:rPr>
              <w:t>13</w:t>
            </w:r>
          </w:p>
        </w:tc>
        <w:tc>
          <w:tcPr>
            <w:tcW w:w="4401" w:type="pct"/>
            <w:tcBorders>
              <w:left w:val="single" w:sz="4" w:space="0" w:color="auto"/>
            </w:tcBorders>
            <w:shd w:val="clear" w:color="auto" w:fill="FFFFFF"/>
          </w:tcPr>
          <w:p w:rsidR="00F765B8" w:rsidRPr="00440F87" w:rsidRDefault="00F765B8" w:rsidP="002F368C">
            <w:pPr>
              <w:pStyle w:val="BodyText1"/>
              <w:shd w:val="clear" w:color="auto" w:fill="auto"/>
              <w:spacing w:line="240" w:lineRule="auto"/>
              <w:ind w:left="131" w:firstLine="0"/>
              <w:jc w:val="left"/>
              <w:rPr>
                <w:sz w:val="22"/>
                <w:szCs w:val="22"/>
              </w:rPr>
            </w:pPr>
            <w:r w:rsidRPr="00440F87">
              <w:rPr>
                <w:rStyle w:val="Bodytext75pt"/>
                <w:sz w:val="22"/>
                <w:szCs w:val="22"/>
              </w:rPr>
              <w:t>Omit</w:t>
            </w:r>
            <w:r w:rsidR="005F7581" w:rsidRPr="00440F87">
              <w:rPr>
                <w:rStyle w:val="Bodytext75pt"/>
                <w:sz w:val="22"/>
                <w:szCs w:val="22"/>
              </w:rPr>
              <w:t xml:space="preserve"> “Governor General” </w:t>
            </w:r>
            <w:r w:rsidRPr="00440F87">
              <w:rPr>
                <w:rStyle w:val="Bodytext75pt"/>
                <w:sz w:val="22"/>
                <w:szCs w:val="22"/>
              </w:rPr>
              <w:t>(wherever occurring), insert “Minister</w:t>
            </w:r>
            <w:r w:rsidR="005F7581" w:rsidRPr="00440F87">
              <w:rPr>
                <w:rStyle w:val="Bodytext75pt"/>
                <w:sz w:val="22"/>
                <w:szCs w:val="22"/>
              </w:rPr>
              <w:t>”</w:t>
            </w:r>
          </w:p>
        </w:tc>
      </w:tr>
      <w:tr w:rsidR="00F765B8" w:rsidRPr="00440F87" w:rsidTr="00E17C43">
        <w:trPr>
          <w:trHeight w:val="158"/>
        </w:trPr>
        <w:tc>
          <w:tcPr>
            <w:tcW w:w="599" w:type="pct"/>
            <w:shd w:val="clear" w:color="auto" w:fill="FFFFFF"/>
          </w:tcPr>
          <w:p w:rsidR="00F765B8" w:rsidRPr="00440F87" w:rsidRDefault="00F765B8" w:rsidP="0076324D">
            <w:pPr>
              <w:pStyle w:val="BodyText1"/>
              <w:shd w:val="clear" w:color="auto" w:fill="auto"/>
              <w:spacing w:line="240" w:lineRule="auto"/>
              <w:ind w:right="144" w:firstLine="0"/>
              <w:jc w:val="center"/>
              <w:rPr>
                <w:sz w:val="22"/>
                <w:szCs w:val="22"/>
              </w:rPr>
            </w:pPr>
            <w:r w:rsidRPr="00440F87">
              <w:rPr>
                <w:rStyle w:val="Bodytext75pt"/>
                <w:sz w:val="22"/>
                <w:szCs w:val="22"/>
              </w:rPr>
              <w:t>18</w:t>
            </w:r>
          </w:p>
        </w:tc>
        <w:tc>
          <w:tcPr>
            <w:tcW w:w="4401" w:type="pct"/>
            <w:tcBorders>
              <w:left w:val="single" w:sz="4" w:space="0" w:color="auto"/>
            </w:tcBorders>
            <w:shd w:val="clear" w:color="auto" w:fill="FFFFFF"/>
          </w:tcPr>
          <w:p w:rsidR="00F765B8" w:rsidRPr="00440F87" w:rsidRDefault="00F765B8" w:rsidP="002F368C">
            <w:pPr>
              <w:pStyle w:val="BodyText1"/>
              <w:shd w:val="clear" w:color="auto" w:fill="auto"/>
              <w:spacing w:line="240" w:lineRule="auto"/>
              <w:ind w:left="131" w:firstLine="0"/>
              <w:jc w:val="left"/>
              <w:rPr>
                <w:sz w:val="22"/>
                <w:szCs w:val="22"/>
              </w:rPr>
            </w:pPr>
            <w:r w:rsidRPr="00440F87">
              <w:rPr>
                <w:rStyle w:val="Bodytext75pt"/>
                <w:sz w:val="22"/>
                <w:szCs w:val="22"/>
              </w:rPr>
              <w:t>Omit</w:t>
            </w:r>
            <w:r w:rsidR="005F7581" w:rsidRPr="00440F87">
              <w:rPr>
                <w:rStyle w:val="Bodytext75pt"/>
                <w:sz w:val="22"/>
                <w:szCs w:val="22"/>
              </w:rPr>
              <w:t xml:space="preserve"> “Governor General”</w:t>
            </w:r>
            <w:r w:rsidRPr="00440F87">
              <w:rPr>
                <w:rStyle w:val="Bodytext75pt"/>
                <w:sz w:val="22"/>
                <w:szCs w:val="22"/>
              </w:rPr>
              <w:t>, insert “Minister</w:t>
            </w:r>
            <w:r w:rsidR="005F7581" w:rsidRPr="00440F87">
              <w:rPr>
                <w:rStyle w:val="Bodytext75pt"/>
                <w:sz w:val="22"/>
                <w:szCs w:val="22"/>
              </w:rPr>
              <w:t>”.</w:t>
            </w:r>
          </w:p>
        </w:tc>
      </w:tr>
      <w:tr w:rsidR="00F765B8" w:rsidRPr="00440F87" w:rsidTr="00E17C43">
        <w:trPr>
          <w:trHeight w:val="158"/>
        </w:trPr>
        <w:tc>
          <w:tcPr>
            <w:tcW w:w="599" w:type="pct"/>
            <w:shd w:val="clear" w:color="auto" w:fill="FFFFFF"/>
          </w:tcPr>
          <w:p w:rsidR="00F765B8" w:rsidRPr="00440F87" w:rsidRDefault="00F765B8" w:rsidP="0076324D">
            <w:pPr>
              <w:pStyle w:val="BodyText1"/>
              <w:shd w:val="clear" w:color="auto" w:fill="auto"/>
              <w:spacing w:line="240" w:lineRule="auto"/>
              <w:ind w:right="144" w:firstLine="0"/>
              <w:jc w:val="center"/>
              <w:rPr>
                <w:sz w:val="22"/>
                <w:szCs w:val="22"/>
              </w:rPr>
            </w:pPr>
            <w:r w:rsidRPr="00440F87">
              <w:rPr>
                <w:rStyle w:val="Bodytext75pt"/>
                <w:sz w:val="22"/>
                <w:szCs w:val="22"/>
              </w:rPr>
              <w:t>27</w:t>
            </w:r>
          </w:p>
        </w:tc>
        <w:tc>
          <w:tcPr>
            <w:tcW w:w="4401" w:type="pct"/>
            <w:tcBorders>
              <w:left w:val="single" w:sz="4" w:space="0" w:color="auto"/>
            </w:tcBorders>
            <w:shd w:val="clear" w:color="auto" w:fill="FFFFFF"/>
          </w:tcPr>
          <w:p w:rsidR="00F765B8" w:rsidRPr="00440F87" w:rsidRDefault="00F765B8" w:rsidP="002F368C">
            <w:pPr>
              <w:pStyle w:val="BodyText1"/>
              <w:shd w:val="clear" w:color="auto" w:fill="auto"/>
              <w:spacing w:line="240" w:lineRule="auto"/>
              <w:ind w:left="131" w:firstLine="0"/>
              <w:jc w:val="left"/>
              <w:rPr>
                <w:sz w:val="22"/>
                <w:szCs w:val="22"/>
              </w:rPr>
            </w:pPr>
            <w:r w:rsidRPr="00440F87">
              <w:rPr>
                <w:rStyle w:val="Bodytext75pt"/>
                <w:sz w:val="22"/>
                <w:szCs w:val="22"/>
              </w:rPr>
              <w:t xml:space="preserve">Omit </w:t>
            </w:r>
            <w:r w:rsidR="005F7581" w:rsidRPr="00440F87">
              <w:rPr>
                <w:rStyle w:val="Bodytext75pt"/>
                <w:sz w:val="22"/>
                <w:szCs w:val="22"/>
              </w:rPr>
              <w:t>“Governor General”</w:t>
            </w:r>
            <w:r w:rsidRPr="00440F87">
              <w:rPr>
                <w:rStyle w:val="Bodytext75pt"/>
                <w:sz w:val="22"/>
                <w:szCs w:val="22"/>
              </w:rPr>
              <w:t>, insert “Minister</w:t>
            </w:r>
            <w:r w:rsidR="005F7581" w:rsidRPr="00440F87">
              <w:rPr>
                <w:rStyle w:val="Bodytext75pt"/>
                <w:sz w:val="22"/>
                <w:szCs w:val="22"/>
              </w:rPr>
              <w:t>”</w:t>
            </w:r>
            <w:r w:rsidRPr="00440F87">
              <w:rPr>
                <w:rStyle w:val="Bodytext75pt"/>
                <w:sz w:val="22"/>
                <w:szCs w:val="22"/>
              </w:rPr>
              <w:t>.</w:t>
            </w:r>
          </w:p>
        </w:tc>
      </w:tr>
      <w:tr w:rsidR="00F765B8" w:rsidRPr="00440F87" w:rsidTr="00E17C43">
        <w:trPr>
          <w:trHeight w:val="158"/>
        </w:trPr>
        <w:tc>
          <w:tcPr>
            <w:tcW w:w="599" w:type="pct"/>
            <w:shd w:val="clear" w:color="auto" w:fill="FFFFFF"/>
          </w:tcPr>
          <w:p w:rsidR="00F765B8" w:rsidRPr="00440F87" w:rsidRDefault="00F765B8" w:rsidP="0076324D">
            <w:pPr>
              <w:pStyle w:val="BodyText1"/>
              <w:shd w:val="clear" w:color="auto" w:fill="auto"/>
              <w:spacing w:line="240" w:lineRule="auto"/>
              <w:ind w:right="144" w:firstLine="0"/>
              <w:jc w:val="center"/>
              <w:rPr>
                <w:sz w:val="22"/>
                <w:szCs w:val="22"/>
              </w:rPr>
            </w:pPr>
            <w:r w:rsidRPr="00440F87">
              <w:rPr>
                <w:rStyle w:val="Bodytext75pt"/>
                <w:sz w:val="22"/>
                <w:szCs w:val="22"/>
              </w:rPr>
              <w:t>28</w:t>
            </w:r>
          </w:p>
        </w:tc>
        <w:tc>
          <w:tcPr>
            <w:tcW w:w="4401" w:type="pct"/>
            <w:tcBorders>
              <w:left w:val="single" w:sz="4" w:space="0" w:color="auto"/>
            </w:tcBorders>
            <w:shd w:val="clear" w:color="auto" w:fill="FFFFFF"/>
          </w:tcPr>
          <w:p w:rsidR="00F765B8" w:rsidRPr="00440F87" w:rsidRDefault="00F765B8" w:rsidP="002F368C">
            <w:pPr>
              <w:pStyle w:val="BodyText1"/>
              <w:shd w:val="clear" w:color="auto" w:fill="auto"/>
              <w:spacing w:line="240" w:lineRule="auto"/>
              <w:ind w:left="131" w:firstLine="0"/>
              <w:jc w:val="left"/>
              <w:rPr>
                <w:sz w:val="22"/>
                <w:szCs w:val="22"/>
              </w:rPr>
            </w:pPr>
            <w:r w:rsidRPr="00440F87">
              <w:rPr>
                <w:rStyle w:val="Bodytext75pt"/>
                <w:sz w:val="22"/>
                <w:szCs w:val="22"/>
              </w:rPr>
              <w:t>Omit</w:t>
            </w:r>
            <w:r w:rsidR="005F7581" w:rsidRPr="00440F87">
              <w:rPr>
                <w:rStyle w:val="Bodytext75pt"/>
                <w:sz w:val="22"/>
                <w:szCs w:val="22"/>
              </w:rPr>
              <w:t xml:space="preserve"> “Governor General”</w:t>
            </w:r>
            <w:r w:rsidRPr="00440F87">
              <w:rPr>
                <w:rStyle w:val="Bodytext75pt"/>
                <w:sz w:val="22"/>
                <w:szCs w:val="22"/>
              </w:rPr>
              <w:t>, insert “Minister</w:t>
            </w:r>
            <w:r w:rsidR="005F7581" w:rsidRPr="00440F87">
              <w:rPr>
                <w:rStyle w:val="Bodytext75pt"/>
                <w:sz w:val="22"/>
                <w:szCs w:val="22"/>
              </w:rPr>
              <w:t>”.</w:t>
            </w:r>
          </w:p>
        </w:tc>
      </w:tr>
      <w:tr w:rsidR="00F765B8" w:rsidRPr="00440F87" w:rsidTr="00E17C43">
        <w:trPr>
          <w:trHeight w:val="163"/>
        </w:trPr>
        <w:tc>
          <w:tcPr>
            <w:tcW w:w="599" w:type="pct"/>
            <w:shd w:val="clear" w:color="auto" w:fill="FFFFFF"/>
          </w:tcPr>
          <w:p w:rsidR="00F765B8" w:rsidRPr="00440F87" w:rsidRDefault="00F765B8" w:rsidP="0076324D">
            <w:pPr>
              <w:pStyle w:val="BodyText1"/>
              <w:shd w:val="clear" w:color="auto" w:fill="auto"/>
              <w:spacing w:line="240" w:lineRule="auto"/>
              <w:ind w:right="144" w:firstLine="0"/>
              <w:jc w:val="center"/>
              <w:rPr>
                <w:sz w:val="22"/>
                <w:szCs w:val="22"/>
              </w:rPr>
            </w:pPr>
            <w:r w:rsidRPr="00440F87">
              <w:rPr>
                <w:rStyle w:val="Bodytext75pt"/>
                <w:sz w:val="22"/>
                <w:szCs w:val="22"/>
              </w:rPr>
              <w:t>29</w:t>
            </w:r>
          </w:p>
        </w:tc>
        <w:tc>
          <w:tcPr>
            <w:tcW w:w="4401" w:type="pct"/>
            <w:tcBorders>
              <w:left w:val="single" w:sz="4" w:space="0" w:color="auto"/>
            </w:tcBorders>
            <w:shd w:val="clear" w:color="auto" w:fill="FFFFFF"/>
          </w:tcPr>
          <w:p w:rsidR="00F765B8" w:rsidRPr="00440F87" w:rsidRDefault="00F765B8" w:rsidP="002F368C">
            <w:pPr>
              <w:pStyle w:val="BodyText1"/>
              <w:shd w:val="clear" w:color="auto" w:fill="auto"/>
              <w:spacing w:line="240" w:lineRule="auto"/>
              <w:ind w:left="131" w:firstLine="0"/>
              <w:jc w:val="left"/>
              <w:rPr>
                <w:sz w:val="22"/>
                <w:szCs w:val="22"/>
              </w:rPr>
            </w:pPr>
            <w:r w:rsidRPr="00440F87">
              <w:rPr>
                <w:rStyle w:val="Bodytext75pt"/>
                <w:sz w:val="22"/>
                <w:szCs w:val="22"/>
              </w:rPr>
              <w:t>Omit</w:t>
            </w:r>
            <w:r w:rsidR="009C4F27" w:rsidRPr="00440F87">
              <w:rPr>
                <w:rStyle w:val="Bodytext75pt"/>
                <w:sz w:val="22"/>
                <w:szCs w:val="22"/>
              </w:rPr>
              <w:t xml:space="preserve"> “Governor General” </w:t>
            </w:r>
            <w:r w:rsidRPr="00440F87">
              <w:rPr>
                <w:rStyle w:val="Bodytext75pt"/>
                <w:sz w:val="22"/>
                <w:szCs w:val="22"/>
              </w:rPr>
              <w:t>(first occurring), insert “Minister</w:t>
            </w:r>
            <w:r w:rsidR="009C4F27" w:rsidRPr="00440F87">
              <w:rPr>
                <w:rStyle w:val="Bodytext75pt"/>
                <w:sz w:val="22"/>
                <w:szCs w:val="22"/>
              </w:rPr>
              <w:t>”</w:t>
            </w:r>
            <w:r w:rsidRPr="00440F87">
              <w:rPr>
                <w:rStyle w:val="Bodytext75pt"/>
                <w:sz w:val="22"/>
                <w:szCs w:val="22"/>
              </w:rPr>
              <w:t>.</w:t>
            </w:r>
          </w:p>
        </w:tc>
      </w:tr>
      <w:tr w:rsidR="00F765B8" w:rsidRPr="00440F87" w:rsidTr="00E17C43">
        <w:trPr>
          <w:trHeight w:val="379"/>
        </w:trPr>
        <w:tc>
          <w:tcPr>
            <w:tcW w:w="599" w:type="pct"/>
            <w:tcBorders>
              <w:bottom w:val="single" w:sz="4" w:space="0" w:color="auto"/>
            </w:tcBorders>
            <w:shd w:val="clear" w:color="auto" w:fill="FFFFFF"/>
          </w:tcPr>
          <w:p w:rsidR="00F765B8" w:rsidRPr="00440F87" w:rsidRDefault="00F765B8" w:rsidP="0076324D">
            <w:pPr>
              <w:pStyle w:val="BodyText1"/>
              <w:shd w:val="clear" w:color="auto" w:fill="auto"/>
              <w:spacing w:line="240" w:lineRule="auto"/>
              <w:ind w:right="144" w:firstLine="0"/>
              <w:jc w:val="center"/>
              <w:rPr>
                <w:sz w:val="22"/>
                <w:szCs w:val="22"/>
              </w:rPr>
            </w:pPr>
            <w:r w:rsidRPr="00440F87">
              <w:rPr>
                <w:rStyle w:val="Bodytext75pt"/>
                <w:sz w:val="22"/>
                <w:szCs w:val="22"/>
              </w:rPr>
              <w:t>34</w:t>
            </w:r>
          </w:p>
        </w:tc>
        <w:tc>
          <w:tcPr>
            <w:tcW w:w="4401" w:type="pct"/>
            <w:tcBorders>
              <w:left w:val="single" w:sz="4" w:space="0" w:color="auto"/>
              <w:bottom w:val="single" w:sz="4" w:space="0" w:color="auto"/>
            </w:tcBorders>
            <w:shd w:val="clear" w:color="auto" w:fill="FFFFFF"/>
          </w:tcPr>
          <w:p w:rsidR="00F765B8" w:rsidRPr="00440F87" w:rsidRDefault="00F765B8" w:rsidP="002F368C">
            <w:pPr>
              <w:pStyle w:val="BodyText1"/>
              <w:shd w:val="clear" w:color="auto" w:fill="auto"/>
              <w:spacing w:line="240" w:lineRule="auto"/>
              <w:ind w:left="131" w:firstLine="0"/>
              <w:jc w:val="left"/>
              <w:rPr>
                <w:sz w:val="22"/>
                <w:szCs w:val="22"/>
              </w:rPr>
            </w:pPr>
            <w:r w:rsidRPr="00440F87">
              <w:rPr>
                <w:rStyle w:val="Bodytext75pt"/>
                <w:sz w:val="22"/>
                <w:szCs w:val="22"/>
              </w:rPr>
              <w:t xml:space="preserve">Omit </w:t>
            </w:r>
            <w:r w:rsidR="009C4F27" w:rsidRPr="00440F87">
              <w:rPr>
                <w:rStyle w:val="Bodytext75pt"/>
                <w:sz w:val="22"/>
                <w:szCs w:val="22"/>
              </w:rPr>
              <w:t>“Governor General”</w:t>
            </w:r>
            <w:r w:rsidR="0076324D">
              <w:rPr>
                <w:rStyle w:val="Bodytext75pt"/>
                <w:sz w:val="22"/>
                <w:szCs w:val="22"/>
              </w:rPr>
              <w:t>, insert “</w:t>
            </w:r>
            <w:r w:rsidRPr="00440F87">
              <w:rPr>
                <w:rStyle w:val="Bodytext75pt"/>
                <w:sz w:val="22"/>
                <w:szCs w:val="22"/>
              </w:rPr>
              <w:t>Minister</w:t>
            </w:r>
            <w:r w:rsidR="009C4F27" w:rsidRPr="00440F87">
              <w:rPr>
                <w:rStyle w:val="Bodytext75pt"/>
                <w:sz w:val="22"/>
                <w:szCs w:val="22"/>
              </w:rPr>
              <w:t>”.</w:t>
            </w:r>
          </w:p>
        </w:tc>
      </w:tr>
    </w:tbl>
    <w:p w:rsidR="00365372" w:rsidRPr="00440F87" w:rsidRDefault="00365372" w:rsidP="002F368C">
      <w:pPr>
        <w:rPr>
          <w:rFonts w:ascii="Times New Roman" w:hAnsi="Times New Roman" w:cs="Times New Roman"/>
          <w:sz w:val="22"/>
          <w:szCs w:val="22"/>
        </w:rPr>
      </w:pPr>
    </w:p>
    <w:sectPr w:rsidR="00365372" w:rsidRPr="00440F87" w:rsidSect="00E20BF6">
      <w:headerReference w:type="even" r:id="rId8"/>
      <w:headerReference w:type="default" r:id="rId9"/>
      <w:pgSz w:w="11909" w:h="16834" w:code="9"/>
      <w:pgMar w:top="1440" w:right="1440" w:bottom="1440" w:left="1440" w:header="720" w:footer="3" w:gutter="567"/>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115" w:rsidRDefault="000D0115" w:rsidP="00365372">
      <w:r>
        <w:separator/>
      </w:r>
    </w:p>
  </w:endnote>
  <w:endnote w:type="continuationSeparator" w:id="0">
    <w:p w:rsidR="000D0115" w:rsidRDefault="000D0115" w:rsidP="00365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115" w:rsidRDefault="000D0115">
      <w:r>
        <w:separator/>
      </w:r>
    </w:p>
  </w:footnote>
  <w:footnote w:type="continuationSeparator" w:id="0">
    <w:p w:rsidR="000D0115" w:rsidRDefault="000D01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8D2" w:rsidRPr="003E145E" w:rsidRDefault="00EA552E" w:rsidP="008D59E1">
    <w:pPr>
      <w:pStyle w:val="Header"/>
      <w:tabs>
        <w:tab w:val="clear" w:pos="9026"/>
        <w:tab w:val="right" w:pos="8460"/>
      </w:tabs>
      <w:jc w:val="both"/>
      <w:rPr>
        <w:rFonts w:ascii="Times New Roman" w:hAnsi="Times New Roman" w:cs="Times New Roman"/>
        <w:sz w:val="20"/>
        <w:szCs w:val="20"/>
      </w:rPr>
    </w:pPr>
    <w:r w:rsidRPr="001238D2">
      <w:rPr>
        <w:rStyle w:val="HeaderorfooterBold"/>
        <w:rFonts w:eastAsia="Courier New"/>
        <w:b w:val="0"/>
        <w:i w:val="0"/>
        <w:iCs w:val="0"/>
      </w:rPr>
      <w:t>No. 62.</w:t>
    </w:r>
    <w:r w:rsidRPr="001238D2">
      <w:rPr>
        <w:rStyle w:val="HeaderorfooterBold"/>
        <w:rFonts w:eastAsia="Courier New"/>
        <w:b w:val="0"/>
        <w:i w:val="0"/>
        <w:iCs w:val="0"/>
      </w:rPr>
      <w:tab/>
    </w:r>
    <w:r w:rsidRPr="001238D2">
      <w:rPr>
        <w:rStyle w:val="Headerorfooter1"/>
        <w:rFonts w:eastAsia="Courier New"/>
      </w:rPr>
      <w:t>Nationality.</w:t>
    </w:r>
    <w:r w:rsidRPr="001238D2">
      <w:rPr>
        <w:rStyle w:val="Headerorfooter1"/>
        <w:rFonts w:eastAsia="Courier New"/>
        <w:b/>
      </w:rPr>
      <w:tab/>
    </w:r>
    <w:r w:rsidRPr="001238D2">
      <w:rPr>
        <w:rStyle w:val="HeaderorfooterBold"/>
        <w:rFonts w:eastAsia="Courier New"/>
        <w:b w:val="0"/>
        <w:i w:val="0"/>
        <w:iCs w:val="0"/>
      </w:rPr>
      <w:t>1936.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52E" w:rsidRPr="000D01C8" w:rsidRDefault="000D01C8" w:rsidP="008D59E1">
    <w:pPr>
      <w:pStyle w:val="Header"/>
      <w:tabs>
        <w:tab w:val="clear" w:pos="9026"/>
        <w:tab w:val="right" w:pos="8460"/>
      </w:tabs>
      <w:jc w:val="both"/>
      <w:rPr>
        <w:rFonts w:ascii="Times New Roman" w:hAnsi="Times New Roman" w:cs="Times New Roman"/>
        <w:sz w:val="20"/>
        <w:szCs w:val="20"/>
      </w:rPr>
    </w:pPr>
    <w:r w:rsidRPr="001238D2">
      <w:rPr>
        <w:rStyle w:val="HeaderorfooterBold"/>
        <w:rFonts w:eastAsia="Courier New"/>
        <w:b w:val="0"/>
        <w:i w:val="0"/>
        <w:iCs w:val="0"/>
      </w:rPr>
      <w:t>1936.</w:t>
    </w:r>
    <w:r w:rsidRPr="001238D2">
      <w:rPr>
        <w:rStyle w:val="HeaderorfooterBold"/>
        <w:rFonts w:eastAsia="Courier New"/>
        <w:b w:val="0"/>
        <w:i w:val="0"/>
        <w:iCs w:val="0"/>
      </w:rPr>
      <w:tab/>
    </w:r>
    <w:r w:rsidRPr="001238D2">
      <w:rPr>
        <w:rStyle w:val="Headerorfooter1"/>
        <w:rFonts w:eastAsia="Courier New"/>
      </w:rPr>
      <w:t>Nationality.</w:t>
    </w:r>
    <w:r w:rsidRPr="001238D2">
      <w:rPr>
        <w:rStyle w:val="Headerorfooter1"/>
        <w:rFonts w:eastAsia="Courier New"/>
        <w:b/>
      </w:rPr>
      <w:tab/>
    </w:r>
    <w:r w:rsidRPr="001238D2">
      <w:rPr>
        <w:rStyle w:val="HeaderorfooterBold"/>
        <w:rFonts w:eastAsia="Courier New"/>
        <w:b w:val="0"/>
        <w:i w:val="0"/>
        <w:iCs w:val="0"/>
      </w:rPr>
      <w:t>No. 62.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6C44"/>
    <w:multiLevelType w:val="multilevel"/>
    <w:tmpl w:val="8D4623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2D8383E"/>
    <w:multiLevelType w:val="multilevel"/>
    <w:tmpl w:val="9E083C2A"/>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2"/>
  </w:compat>
  <w:rsids>
    <w:rsidRoot w:val="00365372"/>
    <w:rsid w:val="00004674"/>
    <w:rsid w:val="00031DA9"/>
    <w:rsid w:val="000D0115"/>
    <w:rsid w:val="000D01C8"/>
    <w:rsid w:val="001050F7"/>
    <w:rsid w:val="001161E1"/>
    <w:rsid w:val="001238D2"/>
    <w:rsid w:val="00192884"/>
    <w:rsid w:val="001C3435"/>
    <w:rsid w:val="00225A1F"/>
    <w:rsid w:val="00262F63"/>
    <w:rsid w:val="002E4351"/>
    <w:rsid w:val="002F368C"/>
    <w:rsid w:val="00365372"/>
    <w:rsid w:val="00365B88"/>
    <w:rsid w:val="003C7673"/>
    <w:rsid w:val="003E145E"/>
    <w:rsid w:val="00440F87"/>
    <w:rsid w:val="00455A05"/>
    <w:rsid w:val="004B49D0"/>
    <w:rsid w:val="004C6467"/>
    <w:rsid w:val="005451B0"/>
    <w:rsid w:val="00555CB1"/>
    <w:rsid w:val="005802CB"/>
    <w:rsid w:val="005F7581"/>
    <w:rsid w:val="00611CB4"/>
    <w:rsid w:val="0061497D"/>
    <w:rsid w:val="00632BDE"/>
    <w:rsid w:val="006A5A3D"/>
    <w:rsid w:val="007131C3"/>
    <w:rsid w:val="00754B59"/>
    <w:rsid w:val="0076324D"/>
    <w:rsid w:val="00794968"/>
    <w:rsid w:val="0085183E"/>
    <w:rsid w:val="008D1F98"/>
    <w:rsid w:val="008D59E1"/>
    <w:rsid w:val="008F5DD5"/>
    <w:rsid w:val="00936D5A"/>
    <w:rsid w:val="00985E6B"/>
    <w:rsid w:val="00994F27"/>
    <w:rsid w:val="009C4F27"/>
    <w:rsid w:val="009D3A65"/>
    <w:rsid w:val="009F391C"/>
    <w:rsid w:val="00A42DEB"/>
    <w:rsid w:val="00A51E70"/>
    <w:rsid w:val="00AF3077"/>
    <w:rsid w:val="00B0549A"/>
    <w:rsid w:val="00B75B0E"/>
    <w:rsid w:val="00C23C1F"/>
    <w:rsid w:val="00C34E29"/>
    <w:rsid w:val="00C410A7"/>
    <w:rsid w:val="00C8461D"/>
    <w:rsid w:val="00CA7E44"/>
    <w:rsid w:val="00CD5593"/>
    <w:rsid w:val="00CF678F"/>
    <w:rsid w:val="00D229FA"/>
    <w:rsid w:val="00DC5F2A"/>
    <w:rsid w:val="00DD4B10"/>
    <w:rsid w:val="00DE52CA"/>
    <w:rsid w:val="00E07F92"/>
    <w:rsid w:val="00E107AB"/>
    <w:rsid w:val="00E17C43"/>
    <w:rsid w:val="00E20BF6"/>
    <w:rsid w:val="00E21FED"/>
    <w:rsid w:val="00E928D9"/>
    <w:rsid w:val="00EA552E"/>
    <w:rsid w:val="00EC4F18"/>
    <w:rsid w:val="00F53E2C"/>
    <w:rsid w:val="00F765B8"/>
    <w:rsid w:val="00FA41F5"/>
    <w:rsid w:val="00FA4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5372"/>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5372"/>
    <w:rPr>
      <w:color w:val="0066CC"/>
      <w:u w:val="single"/>
    </w:rPr>
  </w:style>
  <w:style w:type="character" w:customStyle="1" w:styleId="Footnote">
    <w:name w:val="Footnote_"/>
    <w:basedOn w:val="DefaultParagraphFont"/>
    <w:link w:val="Footnote0"/>
    <w:rsid w:val="00365372"/>
    <w:rPr>
      <w:rFonts w:ascii="Times New Roman" w:eastAsia="Times New Roman" w:hAnsi="Times New Roman" w:cs="Times New Roman"/>
      <w:b w:val="0"/>
      <w:bCs w:val="0"/>
      <w:i w:val="0"/>
      <w:iCs w:val="0"/>
      <w:smallCaps w:val="0"/>
      <w:strike w:val="0"/>
      <w:sz w:val="13"/>
      <w:szCs w:val="13"/>
      <w:u w:val="none"/>
    </w:rPr>
  </w:style>
  <w:style w:type="character" w:customStyle="1" w:styleId="Bodytext3">
    <w:name w:val="Body text (3)_"/>
    <w:basedOn w:val="DefaultParagraphFont"/>
    <w:link w:val="Bodytext30"/>
    <w:rsid w:val="00365372"/>
    <w:rPr>
      <w:rFonts w:ascii="Times New Roman" w:eastAsia="Times New Roman" w:hAnsi="Times New Roman" w:cs="Times New Roman"/>
      <w:b w:val="0"/>
      <w:bCs w:val="0"/>
      <w:i w:val="0"/>
      <w:iCs w:val="0"/>
      <w:smallCaps w:val="0"/>
      <w:strike w:val="0"/>
      <w:sz w:val="13"/>
      <w:szCs w:val="13"/>
      <w:u w:val="none"/>
    </w:rPr>
  </w:style>
  <w:style w:type="character" w:customStyle="1" w:styleId="Heading1">
    <w:name w:val="Heading #1_"/>
    <w:basedOn w:val="DefaultParagraphFont"/>
    <w:link w:val="Heading10"/>
    <w:rsid w:val="00365372"/>
    <w:rPr>
      <w:rFonts w:ascii="Book Antiqua" w:eastAsia="Book Antiqua" w:hAnsi="Book Antiqua" w:cs="Book Antiqua"/>
      <w:b w:val="0"/>
      <w:bCs w:val="0"/>
      <w:i w:val="0"/>
      <w:iCs w:val="0"/>
      <w:smallCaps w:val="0"/>
      <w:strike w:val="0"/>
      <w:sz w:val="28"/>
      <w:szCs w:val="28"/>
      <w:u w:val="none"/>
    </w:rPr>
  </w:style>
  <w:style w:type="character" w:customStyle="1" w:styleId="Heading2">
    <w:name w:val="Heading #2_"/>
    <w:basedOn w:val="DefaultParagraphFont"/>
    <w:link w:val="Heading20"/>
    <w:rsid w:val="00365372"/>
    <w:rPr>
      <w:rFonts w:ascii="Times New Roman" w:eastAsia="Times New Roman" w:hAnsi="Times New Roman" w:cs="Times New Roman"/>
      <w:b/>
      <w:bCs/>
      <w:i w:val="0"/>
      <w:iCs w:val="0"/>
      <w:smallCaps w:val="0"/>
      <w:strike w:val="0"/>
      <w:u w:val="none"/>
    </w:rPr>
  </w:style>
  <w:style w:type="character" w:customStyle="1" w:styleId="Heading3">
    <w:name w:val="Heading #3_"/>
    <w:basedOn w:val="DefaultParagraphFont"/>
    <w:link w:val="Heading30"/>
    <w:rsid w:val="00365372"/>
    <w:rPr>
      <w:rFonts w:ascii="Times New Roman" w:eastAsia="Times New Roman" w:hAnsi="Times New Roman" w:cs="Times New Roman"/>
      <w:b/>
      <w:bCs/>
      <w:i w:val="0"/>
      <w:iCs w:val="0"/>
      <w:smallCaps w:val="0"/>
      <w:strike w:val="0"/>
      <w:u w:val="none"/>
    </w:rPr>
  </w:style>
  <w:style w:type="character" w:customStyle="1" w:styleId="Heading3Italic">
    <w:name w:val="Heading #3 + Italic"/>
    <w:aliases w:val="Spacing 0 pt"/>
    <w:basedOn w:val="Heading3"/>
    <w:rsid w:val="00365372"/>
    <w:rPr>
      <w:rFonts w:ascii="Times New Roman" w:eastAsia="Times New Roman" w:hAnsi="Times New Roman" w:cs="Times New Roman"/>
      <w:b/>
      <w:bCs/>
      <w:i/>
      <w:iCs/>
      <w:smallCaps w:val="0"/>
      <w:strike w:val="0"/>
      <w:color w:val="000000"/>
      <w:spacing w:val="10"/>
      <w:w w:val="100"/>
      <w:position w:val="0"/>
      <w:sz w:val="24"/>
      <w:szCs w:val="24"/>
      <w:u w:val="none"/>
      <w:lang w:val="en-US"/>
    </w:rPr>
  </w:style>
  <w:style w:type="character" w:customStyle="1" w:styleId="Heading4">
    <w:name w:val="Heading #4_"/>
    <w:basedOn w:val="DefaultParagraphFont"/>
    <w:link w:val="Heading40"/>
    <w:rsid w:val="00365372"/>
    <w:rPr>
      <w:rFonts w:ascii="Times New Roman" w:eastAsia="Times New Roman" w:hAnsi="Times New Roman" w:cs="Times New Roman"/>
      <w:b/>
      <w:bCs/>
      <w:i w:val="0"/>
      <w:iCs w:val="0"/>
      <w:smallCaps w:val="0"/>
      <w:strike w:val="0"/>
      <w:sz w:val="22"/>
      <w:szCs w:val="22"/>
      <w:u w:val="none"/>
    </w:rPr>
  </w:style>
  <w:style w:type="character" w:customStyle="1" w:styleId="Bodytext2">
    <w:name w:val="Body text (2)_"/>
    <w:basedOn w:val="DefaultParagraphFont"/>
    <w:link w:val="Bodytext20"/>
    <w:rsid w:val="00365372"/>
    <w:rPr>
      <w:rFonts w:ascii="Times New Roman" w:eastAsia="Times New Roman" w:hAnsi="Times New Roman" w:cs="Times New Roman"/>
      <w:b w:val="0"/>
      <w:bCs w:val="0"/>
      <w:i w:val="0"/>
      <w:iCs w:val="0"/>
      <w:smallCaps w:val="0"/>
      <w:strike w:val="0"/>
      <w:sz w:val="20"/>
      <w:szCs w:val="20"/>
      <w:u w:val="none"/>
    </w:rPr>
  </w:style>
  <w:style w:type="character" w:customStyle="1" w:styleId="Bodytext">
    <w:name w:val="Body text_"/>
    <w:basedOn w:val="DefaultParagraphFont"/>
    <w:link w:val="BodyText1"/>
    <w:rsid w:val="00365372"/>
    <w:rPr>
      <w:rFonts w:ascii="Times New Roman" w:eastAsia="Times New Roman" w:hAnsi="Times New Roman" w:cs="Times New Roman"/>
      <w:b w:val="0"/>
      <w:bCs w:val="0"/>
      <w:i w:val="0"/>
      <w:iCs w:val="0"/>
      <w:smallCaps w:val="0"/>
      <w:strike w:val="0"/>
      <w:sz w:val="20"/>
      <w:szCs w:val="20"/>
      <w:u w:val="none"/>
    </w:rPr>
  </w:style>
  <w:style w:type="character" w:customStyle="1" w:styleId="BodytextItalic">
    <w:name w:val="Body text + Italic"/>
    <w:basedOn w:val="Bodytext"/>
    <w:rsid w:val="00365372"/>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Tahoma">
    <w:name w:val="Body text + Tahoma"/>
    <w:aliases w:val="9.5 pt,Bold"/>
    <w:basedOn w:val="Bodytext"/>
    <w:rsid w:val="00365372"/>
    <w:rPr>
      <w:rFonts w:ascii="Tahoma" w:eastAsia="Tahoma" w:hAnsi="Tahoma" w:cs="Tahoma"/>
      <w:b/>
      <w:bCs/>
      <w:i w:val="0"/>
      <w:iCs w:val="0"/>
      <w:smallCaps w:val="0"/>
      <w:strike w:val="0"/>
      <w:color w:val="000000"/>
      <w:spacing w:val="0"/>
      <w:w w:val="100"/>
      <w:position w:val="0"/>
      <w:sz w:val="19"/>
      <w:szCs w:val="19"/>
      <w:u w:val="none"/>
    </w:rPr>
  </w:style>
  <w:style w:type="character" w:customStyle="1" w:styleId="BodytextBookAntiqua">
    <w:name w:val="Body text + Book Antiqua"/>
    <w:aliases w:val="8.5 pt"/>
    <w:basedOn w:val="Bodytext"/>
    <w:rsid w:val="00365372"/>
    <w:rPr>
      <w:rFonts w:ascii="Book Antiqua" w:eastAsia="Book Antiqua" w:hAnsi="Book Antiqua" w:cs="Book Antiqua"/>
      <w:b w:val="0"/>
      <w:bCs w:val="0"/>
      <w:i w:val="0"/>
      <w:iCs w:val="0"/>
      <w:smallCaps w:val="0"/>
      <w:strike w:val="0"/>
      <w:color w:val="000000"/>
      <w:spacing w:val="0"/>
      <w:w w:val="100"/>
      <w:position w:val="0"/>
      <w:sz w:val="17"/>
      <w:szCs w:val="17"/>
      <w:u w:val="none"/>
    </w:rPr>
  </w:style>
  <w:style w:type="character" w:customStyle="1" w:styleId="Headerorfooter">
    <w:name w:val="Header or footer_"/>
    <w:basedOn w:val="DefaultParagraphFont"/>
    <w:link w:val="Headerorfooter0"/>
    <w:rsid w:val="00365372"/>
    <w:rPr>
      <w:rFonts w:ascii="Times New Roman" w:eastAsia="Times New Roman" w:hAnsi="Times New Roman" w:cs="Times New Roman"/>
      <w:b w:val="0"/>
      <w:bCs w:val="0"/>
      <w:i/>
      <w:iCs/>
      <w:smallCaps w:val="0"/>
      <w:strike w:val="0"/>
      <w:sz w:val="20"/>
      <w:szCs w:val="20"/>
      <w:u w:val="none"/>
    </w:rPr>
  </w:style>
  <w:style w:type="character" w:customStyle="1" w:styleId="HeaderorfooterBold">
    <w:name w:val="Header or footer + Bold"/>
    <w:aliases w:val="Not Italic"/>
    <w:basedOn w:val="Headerorfooter"/>
    <w:rsid w:val="00365372"/>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Headerorfooter1">
    <w:name w:val="Header or footer"/>
    <w:basedOn w:val="Headerorfooter"/>
    <w:rsid w:val="00365372"/>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SmallCaps">
    <w:name w:val="Body text + Small Caps"/>
    <w:basedOn w:val="Bodytext"/>
    <w:rsid w:val="00365372"/>
    <w:rPr>
      <w:rFonts w:ascii="Times New Roman" w:eastAsia="Times New Roman" w:hAnsi="Times New Roman" w:cs="Times New Roman"/>
      <w:b w:val="0"/>
      <w:bCs w:val="0"/>
      <w:i w:val="0"/>
      <w:iCs w:val="0"/>
      <w:smallCaps/>
      <w:strike w:val="0"/>
      <w:color w:val="000000"/>
      <w:spacing w:val="0"/>
      <w:w w:val="100"/>
      <w:position w:val="0"/>
      <w:sz w:val="20"/>
      <w:szCs w:val="20"/>
      <w:u w:val="none"/>
      <w:lang w:val="en-US"/>
    </w:rPr>
  </w:style>
  <w:style w:type="character" w:customStyle="1" w:styleId="Tablecaption">
    <w:name w:val="Table caption_"/>
    <w:basedOn w:val="DefaultParagraphFont"/>
    <w:link w:val="Tablecaption0"/>
    <w:rsid w:val="00365372"/>
    <w:rPr>
      <w:rFonts w:ascii="Times New Roman" w:eastAsia="Times New Roman" w:hAnsi="Times New Roman" w:cs="Times New Roman"/>
      <w:b w:val="0"/>
      <w:bCs w:val="0"/>
      <w:i w:val="0"/>
      <w:iCs w:val="0"/>
      <w:smallCaps w:val="0"/>
      <w:strike w:val="0"/>
      <w:sz w:val="15"/>
      <w:szCs w:val="15"/>
      <w:u w:val="none"/>
    </w:rPr>
  </w:style>
  <w:style w:type="character" w:customStyle="1" w:styleId="Bodytext65pt">
    <w:name w:val="Body text + 6.5 pt"/>
    <w:basedOn w:val="Bodytext"/>
    <w:rsid w:val="0036537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rPr>
  </w:style>
  <w:style w:type="character" w:customStyle="1" w:styleId="Bodytext75pt">
    <w:name w:val="Body text + 7.5 pt"/>
    <w:basedOn w:val="Bodytext"/>
    <w:rsid w:val="0036537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character" w:customStyle="1" w:styleId="Bodytext75pt0">
    <w:name w:val="Body text + 7.5 pt"/>
    <w:aliases w:val="Italic"/>
    <w:basedOn w:val="Bodytext"/>
    <w:rsid w:val="00365372"/>
    <w:rPr>
      <w:rFonts w:ascii="Times New Roman" w:eastAsia="Times New Roman" w:hAnsi="Times New Roman" w:cs="Times New Roman"/>
      <w:b w:val="0"/>
      <w:bCs w:val="0"/>
      <w:i/>
      <w:iCs/>
      <w:smallCaps w:val="0"/>
      <w:strike w:val="0"/>
      <w:color w:val="000000"/>
      <w:spacing w:val="0"/>
      <w:w w:val="100"/>
      <w:position w:val="0"/>
      <w:sz w:val="15"/>
      <w:szCs w:val="15"/>
      <w:u w:val="none"/>
      <w:lang w:val="en-US"/>
    </w:rPr>
  </w:style>
  <w:style w:type="character" w:customStyle="1" w:styleId="BodytextBookAntiqua0">
    <w:name w:val="Body text + Book Antiqua"/>
    <w:aliases w:val="4 pt,Small Caps,Scale 150%"/>
    <w:basedOn w:val="Bodytext"/>
    <w:rsid w:val="00365372"/>
    <w:rPr>
      <w:rFonts w:ascii="Book Antiqua" w:eastAsia="Book Antiqua" w:hAnsi="Book Antiqua" w:cs="Book Antiqua"/>
      <w:b w:val="0"/>
      <w:bCs w:val="0"/>
      <w:i w:val="0"/>
      <w:iCs w:val="0"/>
      <w:smallCaps/>
      <w:strike w:val="0"/>
      <w:color w:val="000000"/>
      <w:spacing w:val="0"/>
      <w:w w:val="150"/>
      <w:position w:val="0"/>
      <w:sz w:val="8"/>
      <w:szCs w:val="8"/>
      <w:u w:val="none"/>
      <w:lang w:val="en-US"/>
    </w:rPr>
  </w:style>
  <w:style w:type="character" w:customStyle="1" w:styleId="BodytextBookAntiqua1">
    <w:name w:val="Body text + Book Antiqua"/>
    <w:aliases w:val="4 pt,Scale 150%"/>
    <w:basedOn w:val="Bodytext"/>
    <w:rsid w:val="00365372"/>
    <w:rPr>
      <w:rFonts w:ascii="Book Antiqua" w:eastAsia="Book Antiqua" w:hAnsi="Book Antiqua" w:cs="Book Antiqua"/>
      <w:b w:val="0"/>
      <w:bCs w:val="0"/>
      <w:i w:val="0"/>
      <w:iCs w:val="0"/>
      <w:smallCaps w:val="0"/>
      <w:strike w:val="0"/>
      <w:color w:val="000000"/>
      <w:spacing w:val="0"/>
      <w:w w:val="150"/>
      <w:position w:val="0"/>
      <w:sz w:val="8"/>
      <w:szCs w:val="8"/>
      <w:u w:val="none"/>
      <w:lang w:val="en-US"/>
    </w:rPr>
  </w:style>
  <w:style w:type="paragraph" w:customStyle="1" w:styleId="Footnote0">
    <w:name w:val="Footnote"/>
    <w:basedOn w:val="Normal"/>
    <w:link w:val="Footnote"/>
    <w:rsid w:val="00365372"/>
    <w:pPr>
      <w:shd w:val="clear" w:color="auto" w:fill="FFFFFF"/>
      <w:spacing w:line="120" w:lineRule="exact"/>
    </w:pPr>
    <w:rPr>
      <w:rFonts w:ascii="Times New Roman" w:eastAsia="Times New Roman" w:hAnsi="Times New Roman" w:cs="Times New Roman"/>
      <w:sz w:val="13"/>
      <w:szCs w:val="13"/>
    </w:rPr>
  </w:style>
  <w:style w:type="paragraph" w:customStyle="1" w:styleId="Bodytext30">
    <w:name w:val="Body text (3)"/>
    <w:basedOn w:val="Normal"/>
    <w:link w:val="Bodytext3"/>
    <w:rsid w:val="00365372"/>
    <w:pPr>
      <w:shd w:val="clear" w:color="auto" w:fill="FFFFFF"/>
      <w:spacing w:line="120" w:lineRule="exact"/>
      <w:jc w:val="both"/>
    </w:pPr>
    <w:rPr>
      <w:rFonts w:ascii="Times New Roman" w:eastAsia="Times New Roman" w:hAnsi="Times New Roman" w:cs="Times New Roman"/>
      <w:sz w:val="13"/>
      <w:szCs w:val="13"/>
    </w:rPr>
  </w:style>
  <w:style w:type="paragraph" w:customStyle="1" w:styleId="Heading10">
    <w:name w:val="Heading #1"/>
    <w:basedOn w:val="Normal"/>
    <w:link w:val="Heading1"/>
    <w:rsid w:val="00365372"/>
    <w:pPr>
      <w:shd w:val="clear" w:color="auto" w:fill="FFFFFF"/>
      <w:spacing w:line="341" w:lineRule="exact"/>
      <w:jc w:val="center"/>
      <w:outlineLvl w:val="0"/>
    </w:pPr>
    <w:rPr>
      <w:rFonts w:ascii="Book Antiqua" w:eastAsia="Book Antiqua" w:hAnsi="Book Antiqua" w:cs="Book Antiqua"/>
      <w:sz w:val="28"/>
      <w:szCs w:val="28"/>
    </w:rPr>
  </w:style>
  <w:style w:type="paragraph" w:customStyle="1" w:styleId="Heading20">
    <w:name w:val="Heading #2"/>
    <w:basedOn w:val="Normal"/>
    <w:link w:val="Heading2"/>
    <w:rsid w:val="00365372"/>
    <w:pPr>
      <w:shd w:val="clear" w:color="auto" w:fill="FFFFFF"/>
      <w:spacing w:line="0" w:lineRule="atLeast"/>
      <w:jc w:val="center"/>
      <w:outlineLvl w:val="1"/>
    </w:pPr>
    <w:rPr>
      <w:rFonts w:ascii="Times New Roman" w:eastAsia="Times New Roman" w:hAnsi="Times New Roman" w:cs="Times New Roman"/>
      <w:b/>
      <w:bCs/>
    </w:rPr>
  </w:style>
  <w:style w:type="paragraph" w:customStyle="1" w:styleId="Heading30">
    <w:name w:val="Heading #3"/>
    <w:basedOn w:val="Normal"/>
    <w:link w:val="Heading3"/>
    <w:rsid w:val="00365372"/>
    <w:pPr>
      <w:shd w:val="clear" w:color="auto" w:fill="FFFFFF"/>
      <w:spacing w:line="0" w:lineRule="atLeast"/>
      <w:jc w:val="center"/>
      <w:outlineLvl w:val="2"/>
    </w:pPr>
    <w:rPr>
      <w:rFonts w:ascii="Times New Roman" w:eastAsia="Times New Roman" w:hAnsi="Times New Roman" w:cs="Times New Roman"/>
      <w:b/>
      <w:bCs/>
    </w:rPr>
  </w:style>
  <w:style w:type="paragraph" w:customStyle="1" w:styleId="Heading40">
    <w:name w:val="Heading #4"/>
    <w:basedOn w:val="Normal"/>
    <w:link w:val="Heading4"/>
    <w:rsid w:val="00365372"/>
    <w:pPr>
      <w:shd w:val="clear" w:color="auto" w:fill="FFFFFF"/>
      <w:spacing w:line="0" w:lineRule="atLeast"/>
      <w:jc w:val="right"/>
      <w:outlineLvl w:val="3"/>
    </w:pPr>
    <w:rPr>
      <w:rFonts w:ascii="Times New Roman" w:eastAsia="Times New Roman" w:hAnsi="Times New Roman" w:cs="Times New Roman"/>
      <w:b/>
      <w:bCs/>
      <w:sz w:val="22"/>
      <w:szCs w:val="22"/>
    </w:rPr>
  </w:style>
  <w:style w:type="paragraph" w:customStyle="1" w:styleId="Bodytext20">
    <w:name w:val="Body text (2)"/>
    <w:basedOn w:val="Normal"/>
    <w:link w:val="Bodytext2"/>
    <w:rsid w:val="00365372"/>
    <w:pPr>
      <w:shd w:val="clear" w:color="auto" w:fill="FFFFFF"/>
      <w:spacing w:line="216" w:lineRule="exact"/>
      <w:jc w:val="both"/>
    </w:pPr>
    <w:rPr>
      <w:rFonts w:ascii="Times New Roman" w:eastAsia="Times New Roman" w:hAnsi="Times New Roman" w:cs="Times New Roman"/>
      <w:sz w:val="20"/>
      <w:szCs w:val="20"/>
    </w:rPr>
  </w:style>
  <w:style w:type="paragraph" w:customStyle="1" w:styleId="BodyText1">
    <w:name w:val="Body Text1"/>
    <w:basedOn w:val="Normal"/>
    <w:link w:val="Bodytext"/>
    <w:rsid w:val="00365372"/>
    <w:pPr>
      <w:shd w:val="clear" w:color="auto" w:fill="FFFFFF"/>
      <w:spacing w:line="221" w:lineRule="exact"/>
      <w:ind w:hanging="2040"/>
      <w:jc w:val="both"/>
    </w:pPr>
    <w:rPr>
      <w:rFonts w:ascii="Times New Roman" w:eastAsia="Times New Roman" w:hAnsi="Times New Roman" w:cs="Times New Roman"/>
      <w:sz w:val="20"/>
      <w:szCs w:val="20"/>
    </w:rPr>
  </w:style>
  <w:style w:type="paragraph" w:customStyle="1" w:styleId="Headerorfooter0">
    <w:name w:val="Header or footer"/>
    <w:basedOn w:val="Normal"/>
    <w:link w:val="Headerorfooter"/>
    <w:rsid w:val="00365372"/>
    <w:pPr>
      <w:shd w:val="clear" w:color="auto" w:fill="FFFFFF"/>
      <w:spacing w:line="0" w:lineRule="atLeast"/>
    </w:pPr>
    <w:rPr>
      <w:rFonts w:ascii="Times New Roman" w:eastAsia="Times New Roman" w:hAnsi="Times New Roman" w:cs="Times New Roman"/>
      <w:i/>
      <w:iCs/>
      <w:sz w:val="20"/>
      <w:szCs w:val="20"/>
    </w:rPr>
  </w:style>
  <w:style w:type="paragraph" w:customStyle="1" w:styleId="Tablecaption0">
    <w:name w:val="Table caption"/>
    <w:basedOn w:val="Normal"/>
    <w:link w:val="Tablecaption"/>
    <w:rsid w:val="00365372"/>
    <w:pPr>
      <w:shd w:val="clear" w:color="auto" w:fill="FFFFFF"/>
      <w:spacing w:line="0" w:lineRule="atLeast"/>
    </w:pPr>
    <w:rPr>
      <w:rFonts w:ascii="Times New Roman" w:eastAsia="Times New Roman" w:hAnsi="Times New Roman" w:cs="Times New Roman"/>
      <w:sz w:val="15"/>
      <w:szCs w:val="15"/>
    </w:rPr>
  </w:style>
  <w:style w:type="paragraph" w:styleId="Footer">
    <w:name w:val="footer"/>
    <w:basedOn w:val="Normal"/>
    <w:link w:val="FooterChar"/>
    <w:uiPriority w:val="99"/>
    <w:semiHidden/>
    <w:unhideWhenUsed/>
    <w:rsid w:val="00E07F92"/>
    <w:pPr>
      <w:tabs>
        <w:tab w:val="center" w:pos="4513"/>
        <w:tab w:val="right" w:pos="9026"/>
      </w:tabs>
    </w:pPr>
  </w:style>
  <w:style w:type="character" w:customStyle="1" w:styleId="FooterChar">
    <w:name w:val="Footer Char"/>
    <w:basedOn w:val="DefaultParagraphFont"/>
    <w:link w:val="Footer"/>
    <w:uiPriority w:val="99"/>
    <w:semiHidden/>
    <w:rsid w:val="00E07F92"/>
    <w:rPr>
      <w:color w:val="000000"/>
    </w:rPr>
  </w:style>
  <w:style w:type="paragraph" w:styleId="Header">
    <w:name w:val="header"/>
    <w:basedOn w:val="Normal"/>
    <w:link w:val="HeaderChar"/>
    <w:uiPriority w:val="99"/>
    <w:unhideWhenUsed/>
    <w:rsid w:val="00E07F92"/>
    <w:pPr>
      <w:tabs>
        <w:tab w:val="center" w:pos="4513"/>
        <w:tab w:val="right" w:pos="9026"/>
      </w:tabs>
    </w:pPr>
  </w:style>
  <w:style w:type="character" w:customStyle="1" w:styleId="HeaderChar">
    <w:name w:val="Header Char"/>
    <w:basedOn w:val="DefaultParagraphFont"/>
    <w:link w:val="Header"/>
    <w:uiPriority w:val="99"/>
    <w:rsid w:val="00E07F92"/>
    <w:rPr>
      <w:color w:val="000000"/>
    </w:rPr>
  </w:style>
  <w:style w:type="paragraph" w:styleId="BalloonText">
    <w:name w:val="Balloon Text"/>
    <w:basedOn w:val="Normal"/>
    <w:link w:val="BalloonTextChar"/>
    <w:uiPriority w:val="99"/>
    <w:semiHidden/>
    <w:unhideWhenUsed/>
    <w:rsid w:val="00E07F92"/>
    <w:rPr>
      <w:rFonts w:ascii="Tahoma" w:hAnsi="Tahoma" w:cs="Tahoma"/>
      <w:sz w:val="16"/>
      <w:szCs w:val="16"/>
    </w:rPr>
  </w:style>
  <w:style w:type="character" w:customStyle="1" w:styleId="BalloonTextChar">
    <w:name w:val="Balloon Text Char"/>
    <w:basedOn w:val="DefaultParagraphFont"/>
    <w:link w:val="BalloonText"/>
    <w:uiPriority w:val="99"/>
    <w:semiHidden/>
    <w:rsid w:val="00E07F92"/>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eGovernment: innovative öffentliche Dienstleistungen für Bürger und Unternehmen</vt:lpstr>
    </vt:vector>
  </TitlesOfParts>
  <Company/>
  <LinksUpToDate>false</LinksUpToDate>
  <CharactersWithSpaces>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eGovernment: innovative öffentliche Dienstleistungen für Bürger und Unternehmen</dc:title>
  <dc:subject/>
  <dc:creator/>
  <cp:keywords/>
  <cp:lastModifiedBy>Harper, Michael</cp:lastModifiedBy>
  <cp:revision>55</cp:revision>
  <dcterms:created xsi:type="dcterms:W3CDTF">2017-04-17T07:18:00Z</dcterms:created>
  <dcterms:modified xsi:type="dcterms:W3CDTF">2017-10-16T19:26:00Z</dcterms:modified>
</cp:coreProperties>
</file>