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28D" w:rsidRDefault="00EF528D" w:rsidP="001451EE">
      <w:pPr>
        <w:spacing w:before="3000"/>
        <w:ind w:left="0" w:firstLine="0"/>
        <w:jc w:val="center"/>
        <w:rPr>
          <w:rFonts w:ascii="Times New Roman" w:hAnsi="Times New Roman" w:cs="Times New Roman"/>
          <w:sz w:val="36"/>
          <w:szCs w:val="36"/>
        </w:rPr>
      </w:pPr>
      <w:r w:rsidRPr="00E27887">
        <w:rPr>
          <w:rFonts w:ascii="Times New Roman" w:hAnsi="Times New Roman" w:cs="Times New Roman"/>
          <w:sz w:val="36"/>
          <w:szCs w:val="36"/>
        </w:rPr>
        <w:t>MINISTERS OF STATE.</w:t>
      </w:r>
    </w:p>
    <w:p w:rsidR="008244E6" w:rsidRPr="00491510" w:rsidRDefault="008244E6" w:rsidP="008244E6">
      <w:pPr>
        <w:pBdr>
          <w:bottom w:val="single" w:sz="4" w:space="1" w:color="auto"/>
        </w:pBdr>
        <w:ind w:left="3888" w:right="3888" w:firstLine="0"/>
        <w:jc w:val="center"/>
        <w:rPr>
          <w:rFonts w:ascii="Times New Roman" w:hAnsi="Times New Roman" w:cs="Times New Roman"/>
          <w:szCs w:val="36"/>
        </w:rPr>
      </w:pPr>
    </w:p>
    <w:p w:rsidR="00EF528D" w:rsidRPr="00E27887" w:rsidRDefault="00247992" w:rsidP="008244E6">
      <w:pPr>
        <w:spacing w:before="120" w:after="120"/>
        <w:ind w:left="0" w:firstLine="0"/>
        <w:jc w:val="center"/>
        <w:rPr>
          <w:rFonts w:ascii="Times New Roman" w:hAnsi="Times New Roman" w:cs="Times New Roman"/>
          <w:sz w:val="28"/>
          <w:szCs w:val="28"/>
        </w:rPr>
      </w:pPr>
      <w:r w:rsidRPr="00E27887">
        <w:rPr>
          <w:rFonts w:ascii="Times New Roman" w:hAnsi="Times New Roman" w:cs="Times New Roman"/>
          <w:b/>
          <w:sz w:val="28"/>
          <w:szCs w:val="28"/>
        </w:rPr>
        <w:t>No. 24 of 1941.</w:t>
      </w:r>
    </w:p>
    <w:p w:rsidR="00EF528D" w:rsidRPr="00E27887" w:rsidRDefault="00EF528D" w:rsidP="004E75DA">
      <w:pPr>
        <w:spacing w:before="120" w:after="120"/>
        <w:ind w:left="0" w:firstLine="0"/>
        <w:jc w:val="center"/>
        <w:rPr>
          <w:rFonts w:ascii="Times New Roman" w:hAnsi="Times New Roman" w:cs="Times New Roman"/>
          <w:sz w:val="26"/>
          <w:szCs w:val="26"/>
        </w:rPr>
      </w:pPr>
      <w:r w:rsidRPr="00E27887">
        <w:rPr>
          <w:rFonts w:ascii="Times New Roman" w:hAnsi="Times New Roman" w:cs="Times New Roman"/>
          <w:sz w:val="26"/>
          <w:szCs w:val="26"/>
        </w:rPr>
        <w:t xml:space="preserve">An Act to amend the </w:t>
      </w:r>
      <w:r w:rsidR="00247992" w:rsidRPr="00E27887">
        <w:rPr>
          <w:rFonts w:ascii="Times New Roman" w:hAnsi="Times New Roman" w:cs="Times New Roman"/>
          <w:i/>
          <w:sz w:val="26"/>
          <w:szCs w:val="26"/>
        </w:rPr>
        <w:t xml:space="preserve">Ministers of State Act </w:t>
      </w:r>
      <w:r w:rsidRPr="00E27887">
        <w:rPr>
          <w:rFonts w:ascii="Times New Roman" w:hAnsi="Times New Roman" w:cs="Times New Roman"/>
          <w:sz w:val="26"/>
          <w:szCs w:val="26"/>
        </w:rPr>
        <w:t>1935</w:t>
      </w:r>
      <w:r w:rsidR="004E75DA">
        <w:rPr>
          <w:rFonts w:ascii="Times New Roman" w:hAnsi="Times New Roman" w:cs="Times New Roman"/>
          <w:sz w:val="26"/>
          <w:szCs w:val="26"/>
        </w:rPr>
        <w:t>–</w:t>
      </w:r>
      <w:r w:rsidRPr="00E27887">
        <w:rPr>
          <w:rFonts w:ascii="Times New Roman" w:hAnsi="Times New Roman" w:cs="Times New Roman"/>
          <w:sz w:val="26"/>
          <w:szCs w:val="26"/>
        </w:rPr>
        <w:t>1938.</w:t>
      </w:r>
    </w:p>
    <w:p w:rsidR="00EF528D" w:rsidRPr="00E27887" w:rsidRDefault="00EF528D" w:rsidP="00491510">
      <w:pPr>
        <w:tabs>
          <w:tab w:val="left" w:pos="3151"/>
        </w:tabs>
        <w:spacing w:before="120" w:after="120"/>
        <w:ind w:left="0" w:firstLine="0"/>
        <w:jc w:val="right"/>
        <w:rPr>
          <w:rFonts w:ascii="Times New Roman" w:hAnsi="Times New Roman" w:cs="Times New Roman"/>
          <w:sz w:val="26"/>
          <w:szCs w:val="26"/>
        </w:rPr>
      </w:pPr>
      <w:r w:rsidRPr="00E27887">
        <w:rPr>
          <w:rFonts w:ascii="Times New Roman" w:hAnsi="Times New Roman" w:cs="Times New Roman"/>
          <w:sz w:val="26"/>
          <w:szCs w:val="26"/>
        </w:rPr>
        <w:t>[Assented to 26th June, 1941.]</w:t>
      </w:r>
    </w:p>
    <w:p w:rsidR="00EF528D" w:rsidRPr="009D4D80" w:rsidRDefault="00EF528D" w:rsidP="00B77625">
      <w:pPr>
        <w:ind w:left="0" w:firstLine="0"/>
        <w:jc w:val="both"/>
        <w:rPr>
          <w:rFonts w:ascii="Times New Roman" w:hAnsi="Times New Roman" w:cs="Times New Roman"/>
          <w:szCs w:val="22"/>
        </w:rPr>
      </w:pPr>
      <w:r w:rsidRPr="009D4D80">
        <w:rPr>
          <w:rFonts w:ascii="Times New Roman" w:hAnsi="Times New Roman" w:cs="Times New Roman"/>
          <w:szCs w:val="22"/>
        </w:rPr>
        <w:t>BE it enacted by the King</w:t>
      </w:r>
      <w:r w:rsidR="00491510" w:rsidRPr="009D4D80">
        <w:rPr>
          <w:rFonts w:ascii="Times New Roman" w:hAnsi="Times New Roman" w:cs="Times New Roman"/>
          <w:szCs w:val="22"/>
        </w:rPr>
        <w:t>’</w:t>
      </w:r>
      <w:r w:rsidRPr="009D4D80">
        <w:rPr>
          <w:rFonts w:ascii="Times New Roman" w:hAnsi="Times New Roman" w:cs="Times New Roman"/>
          <w:szCs w:val="22"/>
        </w:rPr>
        <w:t>s Most Excellent Majesty, the Senate, and the House of Representatives of the Commonwealth of Australia, as follows:—</w:t>
      </w:r>
    </w:p>
    <w:p w:rsidR="00EF528D" w:rsidRPr="00C124A6" w:rsidRDefault="00247992" w:rsidP="00B77625">
      <w:pPr>
        <w:spacing w:before="120" w:after="60"/>
        <w:ind w:left="0" w:firstLine="0"/>
        <w:jc w:val="both"/>
        <w:rPr>
          <w:rFonts w:ascii="Times New Roman" w:hAnsi="Times New Roman" w:cs="Times New Roman"/>
          <w:sz w:val="20"/>
          <w:szCs w:val="22"/>
        </w:rPr>
      </w:pPr>
      <w:r w:rsidRPr="00C124A6">
        <w:rPr>
          <w:rFonts w:ascii="Times New Roman" w:hAnsi="Times New Roman" w:cs="Times New Roman"/>
          <w:b/>
          <w:sz w:val="20"/>
          <w:szCs w:val="22"/>
        </w:rPr>
        <w:t>Short title and citation.</w:t>
      </w:r>
    </w:p>
    <w:p w:rsidR="00EF528D" w:rsidRPr="00247992" w:rsidRDefault="00247992" w:rsidP="00B77625">
      <w:pPr>
        <w:ind w:left="0" w:firstLine="432"/>
        <w:jc w:val="both"/>
        <w:rPr>
          <w:rFonts w:ascii="Times New Roman" w:hAnsi="Times New Roman" w:cs="Times New Roman"/>
          <w:szCs w:val="22"/>
        </w:rPr>
      </w:pPr>
      <w:r w:rsidRPr="00247992">
        <w:rPr>
          <w:rFonts w:ascii="Times New Roman" w:hAnsi="Times New Roman" w:cs="Times New Roman"/>
          <w:b/>
          <w:szCs w:val="22"/>
        </w:rPr>
        <w:t>1.</w:t>
      </w:r>
      <w:r w:rsidR="00776BB9">
        <w:rPr>
          <w:rFonts w:ascii="Times New Roman" w:hAnsi="Times New Roman" w:cs="Times New Roman"/>
          <w:szCs w:val="22"/>
        </w:rPr>
        <w:t>—(1.)</w:t>
      </w:r>
      <w:r w:rsidR="00776BB9">
        <w:rPr>
          <w:rFonts w:ascii="Times New Roman" w:hAnsi="Times New Roman" w:cs="Times New Roman"/>
          <w:szCs w:val="22"/>
        </w:rPr>
        <w:tab/>
      </w:r>
      <w:r w:rsidR="00EF528D" w:rsidRPr="00247992">
        <w:rPr>
          <w:rFonts w:ascii="Times New Roman" w:hAnsi="Times New Roman" w:cs="Times New Roman"/>
          <w:szCs w:val="22"/>
        </w:rPr>
        <w:t xml:space="preserve">This Act may be cited as the </w:t>
      </w:r>
      <w:r w:rsidRPr="00247992">
        <w:rPr>
          <w:rFonts w:ascii="Times New Roman" w:hAnsi="Times New Roman" w:cs="Times New Roman"/>
          <w:i/>
          <w:szCs w:val="22"/>
        </w:rPr>
        <w:t xml:space="preserve">Ministers of State Act </w:t>
      </w:r>
      <w:r w:rsidR="00EF528D" w:rsidRPr="00247992">
        <w:rPr>
          <w:rFonts w:ascii="Times New Roman" w:hAnsi="Times New Roman" w:cs="Times New Roman"/>
          <w:szCs w:val="22"/>
        </w:rPr>
        <w:t>1941.</w:t>
      </w:r>
    </w:p>
    <w:p w:rsidR="00EF528D" w:rsidRPr="00247992" w:rsidRDefault="00776BB9" w:rsidP="00B77625">
      <w:pPr>
        <w:tabs>
          <w:tab w:val="left" w:pos="450"/>
          <w:tab w:val="left" w:pos="720"/>
          <w:tab w:val="left" w:pos="1080"/>
        </w:tabs>
        <w:ind w:left="0" w:firstLine="432"/>
        <w:jc w:val="both"/>
        <w:rPr>
          <w:rFonts w:ascii="Times New Roman" w:hAnsi="Times New Roman" w:cs="Times New Roman"/>
          <w:szCs w:val="22"/>
        </w:rPr>
      </w:pPr>
      <w:r>
        <w:rPr>
          <w:rFonts w:ascii="Times New Roman" w:hAnsi="Times New Roman" w:cs="Times New Roman"/>
          <w:szCs w:val="22"/>
        </w:rPr>
        <w:t>(2.)</w:t>
      </w:r>
      <w:r>
        <w:rPr>
          <w:rFonts w:ascii="Times New Roman" w:hAnsi="Times New Roman" w:cs="Times New Roman"/>
          <w:szCs w:val="22"/>
        </w:rPr>
        <w:tab/>
      </w:r>
      <w:r w:rsidR="00EF528D" w:rsidRPr="00247992">
        <w:rPr>
          <w:rFonts w:ascii="Times New Roman" w:hAnsi="Times New Roman" w:cs="Times New Roman"/>
          <w:szCs w:val="22"/>
        </w:rPr>
        <w:t xml:space="preserve">The </w:t>
      </w:r>
      <w:r w:rsidR="00247992" w:rsidRPr="00247992">
        <w:rPr>
          <w:rFonts w:ascii="Times New Roman" w:hAnsi="Times New Roman" w:cs="Times New Roman"/>
          <w:i/>
          <w:szCs w:val="22"/>
        </w:rPr>
        <w:t xml:space="preserve">Ministers of State Act </w:t>
      </w:r>
      <w:r w:rsidR="00EF528D" w:rsidRPr="00247992">
        <w:rPr>
          <w:rFonts w:ascii="Times New Roman" w:hAnsi="Times New Roman" w:cs="Times New Roman"/>
          <w:szCs w:val="22"/>
        </w:rPr>
        <w:t>1935</w:t>
      </w:r>
      <w:r w:rsidR="004E75DA">
        <w:rPr>
          <w:rFonts w:ascii="Times New Roman" w:hAnsi="Times New Roman" w:cs="Times New Roman"/>
          <w:szCs w:val="22"/>
        </w:rPr>
        <w:t>–</w:t>
      </w:r>
      <w:r w:rsidR="009D4D80">
        <w:rPr>
          <w:rFonts w:ascii="Times New Roman" w:hAnsi="Times New Roman" w:cs="Times New Roman"/>
          <w:szCs w:val="22"/>
        </w:rPr>
        <w:t>1938</w:t>
      </w:r>
      <w:r w:rsidR="00EF528D" w:rsidRPr="00247992">
        <w:rPr>
          <w:rFonts w:ascii="Times New Roman" w:hAnsi="Times New Roman" w:cs="Times New Roman"/>
          <w:szCs w:val="22"/>
        </w:rPr>
        <w:t xml:space="preserve">, as amended by this Act, may be cited as the </w:t>
      </w:r>
      <w:r w:rsidR="00247992" w:rsidRPr="00247992">
        <w:rPr>
          <w:rFonts w:ascii="Times New Roman" w:hAnsi="Times New Roman" w:cs="Times New Roman"/>
          <w:i/>
          <w:szCs w:val="22"/>
        </w:rPr>
        <w:t xml:space="preserve">Ministers of State Act </w:t>
      </w:r>
      <w:r w:rsidR="00EF528D" w:rsidRPr="00247992">
        <w:rPr>
          <w:rFonts w:ascii="Times New Roman" w:hAnsi="Times New Roman" w:cs="Times New Roman"/>
          <w:szCs w:val="22"/>
        </w:rPr>
        <w:t>1935</w:t>
      </w:r>
      <w:r w:rsidR="004E75DA">
        <w:rPr>
          <w:rFonts w:ascii="Times New Roman" w:hAnsi="Times New Roman" w:cs="Times New Roman"/>
          <w:szCs w:val="22"/>
        </w:rPr>
        <w:t>–</w:t>
      </w:r>
      <w:r w:rsidR="00EF528D" w:rsidRPr="00247992">
        <w:rPr>
          <w:rFonts w:ascii="Times New Roman" w:hAnsi="Times New Roman" w:cs="Times New Roman"/>
          <w:szCs w:val="22"/>
        </w:rPr>
        <w:t>1941.</w:t>
      </w:r>
    </w:p>
    <w:p w:rsidR="00EF528D" w:rsidRPr="00C124A6" w:rsidRDefault="00247992" w:rsidP="00B77625">
      <w:pPr>
        <w:spacing w:before="120" w:after="60"/>
        <w:ind w:left="0" w:firstLine="0"/>
        <w:jc w:val="both"/>
        <w:rPr>
          <w:rFonts w:ascii="Times New Roman" w:hAnsi="Times New Roman" w:cs="Times New Roman"/>
          <w:sz w:val="20"/>
          <w:szCs w:val="22"/>
        </w:rPr>
      </w:pPr>
      <w:r w:rsidRPr="00C124A6">
        <w:rPr>
          <w:rFonts w:ascii="Times New Roman" w:hAnsi="Times New Roman" w:cs="Times New Roman"/>
          <w:b/>
          <w:sz w:val="20"/>
          <w:szCs w:val="22"/>
        </w:rPr>
        <w:t>Commencement.</w:t>
      </w:r>
    </w:p>
    <w:p w:rsidR="00EF528D" w:rsidRPr="00247992" w:rsidRDefault="00776BB9" w:rsidP="00B77625">
      <w:pPr>
        <w:ind w:left="0" w:firstLine="432"/>
        <w:jc w:val="both"/>
        <w:rPr>
          <w:rFonts w:ascii="Times New Roman" w:hAnsi="Times New Roman" w:cs="Times New Roman"/>
          <w:szCs w:val="22"/>
        </w:rPr>
      </w:pPr>
      <w:r>
        <w:rPr>
          <w:rFonts w:ascii="Times New Roman" w:hAnsi="Times New Roman" w:cs="Times New Roman"/>
          <w:b/>
          <w:szCs w:val="22"/>
        </w:rPr>
        <w:t>2.</w:t>
      </w:r>
      <w:r>
        <w:rPr>
          <w:rFonts w:ascii="Times New Roman" w:hAnsi="Times New Roman" w:cs="Times New Roman"/>
          <w:b/>
          <w:szCs w:val="22"/>
        </w:rPr>
        <w:tab/>
      </w:r>
      <w:r w:rsidR="00EF528D" w:rsidRPr="00247992">
        <w:rPr>
          <w:rFonts w:ascii="Times New Roman" w:hAnsi="Times New Roman" w:cs="Times New Roman"/>
          <w:szCs w:val="22"/>
        </w:rPr>
        <w:t>This Act shall come into operation on the day on which it receives the Royal Assent.</w:t>
      </w:r>
    </w:p>
    <w:p w:rsidR="00EF528D" w:rsidRPr="00247992" w:rsidRDefault="00247992" w:rsidP="004E75DA">
      <w:pPr>
        <w:spacing w:before="60"/>
        <w:ind w:left="0" w:firstLine="432"/>
        <w:jc w:val="both"/>
        <w:rPr>
          <w:rFonts w:ascii="Times New Roman" w:hAnsi="Times New Roman" w:cs="Times New Roman"/>
          <w:szCs w:val="22"/>
        </w:rPr>
      </w:pPr>
      <w:r w:rsidRPr="00247992">
        <w:rPr>
          <w:rFonts w:ascii="Times New Roman" w:hAnsi="Times New Roman" w:cs="Times New Roman"/>
          <w:b/>
          <w:szCs w:val="22"/>
        </w:rPr>
        <w:t>3.</w:t>
      </w:r>
      <w:r w:rsidR="00776BB9">
        <w:rPr>
          <w:rFonts w:ascii="Times New Roman" w:hAnsi="Times New Roman" w:cs="Times New Roman"/>
          <w:b/>
          <w:szCs w:val="22"/>
        </w:rPr>
        <w:tab/>
      </w:r>
      <w:r w:rsidR="00EF528D" w:rsidRPr="00247992">
        <w:rPr>
          <w:rFonts w:ascii="Times New Roman" w:hAnsi="Times New Roman" w:cs="Times New Roman"/>
          <w:szCs w:val="22"/>
        </w:rPr>
        <w:t xml:space="preserve">After section five of the </w:t>
      </w:r>
      <w:r w:rsidRPr="00247992">
        <w:rPr>
          <w:rFonts w:ascii="Times New Roman" w:hAnsi="Times New Roman" w:cs="Times New Roman"/>
          <w:i/>
          <w:szCs w:val="22"/>
        </w:rPr>
        <w:t xml:space="preserve">Ministers of State Act </w:t>
      </w:r>
      <w:r w:rsidR="00EF528D" w:rsidRPr="00247992">
        <w:rPr>
          <w:rFonts w:ascii="Times New Roman" w:hAnsi="Times New Roman" w:cs="Times New Roman"/>
          <w:szCs w:val="22"/>
        </w:rPr>
        <w:t>1935</w:t>
      </w:r>
      <w:r w:rsidR="004E75DA">
        <w:rPr>
          <w:rFonts w:ascii="Times New Roman" w:hAnsi="Times New Roman" w:cs="Times New Roman"/>
          <w:szCs w:val="22"/>
        </w:rPr>
        <w:t>–</w:t>
      </w:r>
      <w:r w:rsidR="00EF528D" w:rsidRPr="00247992">
        <w:rPr>
          <w:rFonts w:ascii="Times New Roman" w:hAnsi="Times New Roman" w:cs="Times New Roman"/>
          <w:szCs w:val="22"/>
        </w:rPr>
        <w:t>1938 the following section is added:—</w:t>
      </w:r>
    </w:p>
    <w:p w:rsidR="00EF528D" w:rsidRPr="00C124A6" w:rsidRDefault="00247992" w:rsidP="00B77625">
      <w:pPr>
        <w:spacing w:before="120" w:after="60"/>
        <w:ind w:left="0" w:firstLine="0"/>
        <w:jc w:val="both"/>
        <w:rPr>
          <w:rFonts w:ascii="Times New Roman" w:hAnsi="Times New Roman" w:cs="Times New Roman"/>
          <w:sz w:val="20"/>
          <w:szCs w:val="22"/>
        </w:rPr>
      </w:pPr>
      <w:r w:rsidRPr="00C124A6">
        <w:rPr>
          <w:rFonts w:ascii="Times New Roman" w:hAnsi="Times New Roman" w:cs="Times New Roman"/>
          <w:b/>
          <w:sz w:val="20"/>
          <w:szCs w:val="22"/>
        </w:rPr>
        <w:t>Special provision d</w:t>
      </w:r>
      <w:r w:rsidR="004E75DA">
        <w:rPr>
          <w:rFonts w:ascii="Times New Roman" w:hAnsi="Times New Roman" w:cs="Times New Roman"/>
          <w:b/>
          <w:sz w:val="20"/>
          <w:szCs w:val="22"/>
        </w:rPr>
        <w:t>u</w:t>
      </w:r>
      <w:r w:rsidRPr="00C124A6">
        <w:rPr>
          <w:rFonts w:ascii="Times New Roman" w:hAnsi="Times New Roman" w:cs="Times New Roman"/>
          <w:b/>
          <w:sz w:val="20"/>
          <w:szCs w:val="22"/>
        </w:rPr>
        <w:t>ring war.</w:t>
      </w:r>
    </w:p>
    <w:p w:rsidR="00EF528D" w:rsidRPr="00247992" w:rsidRDefault="008244E6" w:rsidP="00B77625">
      <w:pPr>
        <w:ind w:left="0" w:firstLine="432"/>
        <w:jc w:val="both"/>
        <w:rPr>
          <w:rFonts w:ascii="Times New Roman" w:hAnsi="Times New Roman" w:cs="Times New Roman"/>
          <w:szCs w:val="22"/>
        </w:rPr>
      </w:pPr>
      <w:r>
        <w:rPr>
          <w:rFonts w:ascii="Times New Roman" w:hAnsi="Times New Roman" w:cs="Times New Roman"/>
          <w:szCs w:val="22"/>
        </w:rPr>
        <w:t>“</w:t>
      </w:r>
      <w:r w:rsidR="00EF528D" w:rsidRPr="00247992">
        <w:rPr>
          <w:rFonts w:ascii="Times New Roman" w:hAnsi="Times New Roman" w:cs="Times New Roman"/>
          <w:szCs w:val="22"/>
        </w:rPr>
        <w:t xml:space="preserve">6. Notwithstanding anything contained in sections three and four of this Act, during the continuance in operation of the </w:t>
      </w:r>
      <w:r w:rsidR="00247992" w:rsidRPr="00247992">
        <w:rPr>
          <w:rFonts w:ascii="Times New Roman" w:hAnsi="Times New Roman" w:cs="Times New Roman"/>
          <w:i/>
          <w:szCs w:val="22"/>
        </w:rPr>
        <w:t xml:space="preserve">National Security Act </w:t>
      </w:r>
      <w:r w:rsidR="00EF528D" w:rsidRPr="00247992">
        <w:rPr>
          <w:rFonts w:ascii="Times New Roman" w:hAnsi="Times New Roman" w:cs="Times New Roman"/>
          <w:szCs w:val="22"/>
        </w:rPr>
        <w:t>1939</w:t>
      </w:r>
      <w:r w:rsidR="004E75DA">
        <w:rPr>
          <w:rFonts w:ascii="Times New Roman" w:hAnsi="Times New Roman" w:cs="Times New Roman"/>
          <w:szCs w:val="22"/>
        </w:rPr>
        <w:t>–</w:t>
      </w:r>
      <w:r w:rsidR="00EF528D" w:rsidRPr="00247992">
        <w:rPr>
          <w:rFonts w:ascii="Times New Roman" w:hAnsi="Times New Roman" w:cs="Times New Roman"/>
          <w:szCs w:val="22"/>
        </w:rPr>
        <w:t>1940—</w:t>
      </w:r>
    </w:p>
    <w:p w:rsidR="003C1605" w:rsidRDefault="00EF528D" w:rsidP="00B77625">
      <w:pPr>
        <w:ind w:left="864" w:hanging="432"/>
        <w:jc w:val="both"/>
        <w:rPr>
          <w:rFonts w:ascii="Times New Roman" w:hAnsi="Times New Roman" w:cs="Times New Roman"/>
          <w:szCs w:val="22"/>
        </w:rPr>
      </w:pPr>
      <w:r w:rsidRPr="00247992">
        <w:rPr>
          <w:rFonts w:ascii="Times New Roman" w:hAnsi="Times New Roman" w:cs="Times New Roman"/>
          <w:szCs w:val="22"/>
        </w:rPr>
        <w:t>(</w:t>
      </w:r>
      <w:r w:rsidR="00247992" w:rsidRPr="00247992">
        <w:rPr>
          <w:rFonts w:ascii="Times New Roman" w:hAnsi="Times New Roman" w:cs="Times New Roman"/>
          <w:i/>
          <w:szCs w:val="22"/>
        </w:rPr>
        <w:t>a</w:t>
      </w:r>
      <w:r w:rsidRPr="00247992">
        <w:rPr>
          <w:rFonts w:ascii="Times New Roman" w:hAnsi="Times New Roman" w:cs="Times New Roman"/>
          <w:szCs w:val="22"/>
        </w:rPr>
        <w:t>) the number of Ministers of State may exceed eleven but shall not exceed nineteen; and</w:t>
      </w:r>
    </w:p>
    <w:p w:rsidR="00EF528D" w:rsidRDefault="00EF528D" w:rsidP="00B77625">
      <w:pPr>
        <w:ind w:left="864" w:hanging="432"/>
        <w:jc w:val="both"/>
        <w:rPr>
          <w:rFonts w:ascii="Times New Roman" w:hAnsi="Times New Roman" w:cs="Times New Roman"/>
          <w:szCs w:val="22"/>
        </w:rPr>
      </w:pPr>
      <w:r w:rsidRPr="00247992">
        <w:rPr>
          <w:rFonts w:ascii="Times New Roman" w:hAnsi="Times New Roman" w:cs="Times New Roman"/>
          <w:szCs w:val="22"/>
        </w:rPr>
        <w:t>(</w:t>
      </w:r>
      <w:r w:rsidR="00247992" w:rsidRPr="00247992">
        <w:rPr>
          <w:rFonts w:ascii="Times New Roman" w:hAnsi="Times New Roman" w:cs="Times New Roman"/>
          <w:i/>
          <w:szCs w:val="22"/>
        </w:rPr>
        <w:t>b</w:t>
      </w:r>
      <w:r w:rsidRPr="00247992">
        <w:rPr>
          <w:rFonts w:ascii="Times New Roman" w:hAnsi="Times New Roman" w:cs="Times New Roman"/>
          <w:szCs w:val="22"/>
        </w:rPr>
        <w:t>) there shall be payable to the King, out of the Consolidated Revenue Fund of the Commonwealth, which is hereby appropriated accordingly, for the salaries of the Ministers of State, in lieu of the sum specified in section four of this Act, an annual sum up to but not exceeding Twenty-one thousand two hundred and fifty pounds.</w:t>
      </w:r>
      <w:r w:rsidR="008244E6">
        <w:rPr>
          <w:rFonts w:ascii="Times New Roman" w:hAnsi="Times New Roman" w:cs="Times New Roman"/>
          <w:szCs w:val="22"/>
        </w:rPr>
        <w:t>”</w:t>
      </w:r>
      <w:r w:rsidRPr="00247992">
        <w:rPr>
          <w:rFonts w:ascii="Times New Roman" w:hAnsi="Times New Roman" w:cs="Times New Roman"/>
          <w:szCs w:val="22"/>
        </w:rPr>
        <w:t>.</w:t>
      </w:r>
      <w:bookmarkStart w:id="0" w:name="_GoBack"/>
      <w:bookmarkEnd w:id="0"/>
    </w:p>
    <w:sectPr w:rsidR="00EF528D" w:rsidSect="00AC4063">
      <w:headerReference w:type="even" r:id="rId8"/>
      <w:type w:val="continuous"/>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487" w:rsidRDefault="008D7487" w:rsidP="00AC4063">
      <w:r>
        <w:separator/>
      </w:r>
    </w:p>
  </w:endnote>
  <w:endnote w:type="continuationSeparator" w:id="0">
    <w:p w:rsidR="008D7487" w:rsidRDefault="008D7487" w:rsidP="00AC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487" w:rsidRDefault="008D7487" w:rsidP="00AC4063">
      <w:r>
        <w:separator/>
      </w:r>
    </w:p>
  </w:footnote>
  <w:footnote w:type="continuationSeparator" w:id="0">
    <w:p w:rsidR="008D7487" w:rsidRDefault="008D7487" w:rsidP="00AC40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063" w:rsidRPr="00AC4063" w:rsidRDefault="00AC4063" w:rsidP="00453CC4">
    <w:pPr>
      <w:pStyle w:val="Header"/>
      <w:ind w:left="0" w:firstLine="0"/>
      <w:rPr>
        <w:rFonts w:ascii="Times New Roman" w:hAnsi="Times New Roman" w:cs="Times New Roman"/>
        <w:sz w:val="20"/>
        <w:szCs w:val="18"/>
      </w:rPr>
    </w:pPr>
    <w:r w:rsidRPr="00AC4063">
      <w:rPr>
        <w:rFonts w:ascii="Times New Roman" w:eastAsia="Century Schoolbook" w:hAnsi="Times New Roman" w:cs="Times New Roman"/>
        <w:sz w:val="20"/>
        <w:lang w:val="en-US" w:eastAsia="en-US"/>
      </w:rPr>
      <w:t>1934.</w:t>
    </w:r>
    <w:r w:rsidRPr="00AC4063">
      <w:rPr>
        <w:rFonts w:ascii="Times New Roman" w:hAnsi="Times New Roman" w:cs="Times New Roman"/>
        <w:sz w:val="20"/>
        <w:szCs w:val="18"/>
      </w:rPr>
      <w:ptab w:relativeTo="margin" w:alignment="center" w:leader="none"/>
    </w:r>
    <w:r w:rsidR="00247992" w:rsidRPr="00247992">
      <w:rPr>
        <w:rFonts w:ascii="Times New Roman" w:eastAsia="Century Schoolbook" w:hAnsi="Times New Roman" w:cs="Times New Roman"/>
        <w:i/>
        <w:iCs/>
        <w:sz w:val="20"/>
        <w:lang w:val="en-US" w:eastAsia="en-US"/>
      </w:rPr>
      <w:t xml:space="preserve">Supplementary Appropriations </w:t>
    </w:r>
    <w:r w:rsidRPr="00AC4063">
      <w:rPr>
        <w:rFonts w:ascii="Times New Roman" w:eastAsia="Century Schoolbook" w:hAnsi="Times New Roman" w:cs="Times New Roman"/>
        <w:sz w:val="20"/>
        <w:lang w:val="en-US" w:eastAsia="en-US"/>
      </w:rPr>
      <w:t>1932–33.</w:t>
    </w:r>
    <w:r w:rsidRPr="00AC4063">
      <w:rPr>
        <w:rFonts w:ascii="Times New Roman" w:hAnsi="Times New Roman" w:cs="Times New Roman"/>
        <w:sz w:val="20"/>
        <w:szCs w:val="18"/>
      </w:rPr>
      <w:ptab w:relativeTo="margin" w:alignment="right" w:leader="none"/>
    </w:r>
    <w:r w:rsidRPr="00AC4063">
      <w:rPr>
        <w:rFonts w:ascii="Times New Roman" w:eastAsia="Century Schoolbook" w:hAnsi="Times New Roman" w:cs="Times New Roman"/>
        <w:sz w:val="20"/>
        <w:lang w:val="en-US" w:eastAsia="en-US"/>
      </w:rPr>
      <w:t>No. 39.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B513C"/>
    <w:multiLevelType w:val="hybridMultilevel"/>
    <w:tmpl w:val="16004914"/>
    <w:lvl w:ilvl="0" w:tplc="EAC8842C">
      <w:start w:val="1"/>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nsid w:val="17281502"/>
    <w:multiLevelType w:val="hybridMultilevel"/>
    <w:tmpl w:val="13AE3EF6"/>
    <w:lvl w:ilvl="0" w:tplc="B5483404">
      <w:start w:val="2"/>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18CE4658"/>
    <w:multiLevelType w:val="hybridMultilevel"/>
    <w:tmpl w:val="4EDE2700"/>
    <w:lvl w:ilvl="0" w:tplc="F1BC6384">
      <w:start w:val="2"/>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BD032E"/>
    <w:multiLevelType w:val="hybridMultilevel"/>
    <w:tmpl w:val="471ECFE0"/>
    <w:lvl w:ilvl="0" w:tplc="12D01C34">
      <w:start w:val="1"/>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nsid w:val="25E4442C"/>
    <w:multiLevelType w:val="hybridMultilevel"/>
    <w:tmpl w:val="B2669E32"/>
    <w:lvl w:ilvl="0" w:tplc="2FE4B3B4">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nsid w:val="2B0506D6"/>
    <w:multiLevelType w:val="hybridMultilevel"/>
    <w:tmpl w:val="01FEC7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09D3CFA"/>
    <w:multiLevelType w:val="hybridMultilevel"/>
    <w:tmpl w:val="5198C814"/>
    <w:lvl w:ilvl="0" w:tplc="0C28AC6C">
      <w:start w:val="1"/>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nsid w:val="3412634C"/>
    <w:multiLevelType w:val="hybridMultilevel"/>
    <w:tmpl w:val="79EE17EA"/>
    <w:lvl w:ilvl="0" w:tplc="AB14AD28">
      <w:start w:val="2"/>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346F3650"/>
    <w:multiLevelType w:val="hybridMultilevel"/>
    <w:tmpl w:val="F6FCB1F4"/>
    <w:lvl w:ilvl="0" w:tplc="E68C124A">
      <w:start w:val="1"/>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nsid w:val="3B236B8F"/>
    <w:multiLevelType w:val="hybridMultilevel"/>
    <w:tmpl w:val="058E888A"/>
    <w:lvl w:ilvl="0" w:tplc="EE3ABFC2">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DC2CDA"/>
    <w:multiLevelType w:val="hybridMultilevel"/>
    <w:tmpl w:val="738069A0"/>
    <w:lvl w:ilvl="0" w:tplc="DA4401D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nsid w:val="47E56BE5"/>
    <w:multiLevelType w:val="hybridMultilevel"/>
    <w:tmpl w:val="F5824794"/>
    <w:lvl w:ilvl="0" w:tplc="6488178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nsid w:val="48E248E3"/>
    <w:multiLevelType w:val="hybridMultilevel"/>
    <w:tmpl w:val="FB4AD552"/>
    <w:lvl w:ilvl="0" w:tplc="113A55C6">
      <w:start w:val="1"/>
      <w:numFmt w:val="decimal"/>
      <w:lvlText w:val="%1."/>
      <w:lvlJc w:val="left"/>
      <w:pPr>
        <w:ind w:left="810"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nsid w:val="4A0F68FB"/>
    <w:multiLevelType w:val="hybridMultilevel"/>
    <w:tmpl w:val="65887CBA"/>
    <w:lvl w:ilvl="0" w:tplc="0F0477E8">
      <w:start w:val="1"/>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C8C60A2"/>
    <w:multiLevelType w:val="hybridMultilevel"/>
    <w:tmpl w:val="DACA228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64490309"/>
    <w:multiLevelType w:val="hybridMultilevel"/>
    <w:tmpl w:val="6972953E"/>
    <w:lvl w:ilvl="0" w:tplc="62AE144E">
      <w:start w:val="1"/>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nsid w:val="6BA0360A"/>
    <w:multiLevelType w:val="hybridMultilevel"/>
    <w:tmpl w:val="30A0CA48"/>
    <w:lvl w:ilvl="0" w:tplc="50D2232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nsid w:val="715E6978"/>
    <w:multiLevelType w:val="hybridMultilevel"/>
    <w:tmpl w:val="2F985D0A"/>
    <w:lvl w:ilvl="0" w:tplc="DCA443B4">
      <w:start w:val="2"/>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nsid w:val="71C441DD"/>
    <w:multiLevelType w:val="hybridMultilevel"/>
    <w:tmpl w:val="FA5C6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2"/>
  </w:num>
  <w:num w:numId="4">
    <w:abstractNumId w:val="12"/>
  </w:num>
  <w:num w:numId="5">
    <w:abstractNumId w:val="0"/>
  </w:num>
  <w:num w:numId="6">
    <w:abstractNumId w:val="18"/>
  </w:num>
  <w:num w:numId="7">
    <w:abstractNumId w:val="5"/>
  </w:num>
  <w:num w:numId="8">
    <w:abstractNumId w:val="15"/>
  </w:num>
  <w:num w:numId="9">
    <w:abstractNumId w:val="3"/>
  </w:num>
  <w:num w:numId="10">
    <w:abstractNumId w:val="1"/>
  </w:num>
  <w:num w:numId="11">
    <w:abstractNumId w:val="17"/>
  </w:num>
  <w:num w:numId="12">
    <w:abstractNumId w:val="7"/>
  </w:num>
  <w:num w:numId="13">
    <w:abstractNumId w:val="8"/>
  </w:num>
  <w:num w:numId="14">
    <w:abstractNumId w:val="16"/>
  </w:num>
  <w:num w:numId="15">
    <w:abstractNumId w:val="9"/>
  </w:num>
  <w:num w:numId="16">
    <w:abstractNumId w:val="10"/>
  </w:num>
  <w:num w:numId="17">
    <w:abstractNumId w:val="4"/>
  </w:num>
  <w:num w:numId="18">
    <w:abstractNumId w:val="1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61DBC"/>
    <w:rsid w:val="00017970"/>
    <w:rsid w:val="00020028"/>
    <w:rsid w:val="0002637F"/>
    <w:rsid w:val="000528F0"/>
    <w:rsid w:val="00057027"/>
    <w:rsid w:val="000603A4"/>
    <w:rsid w:val="00092D1F"/>
    <w:rsid w:val="000C74CD"/>
    <w:rsid w:val="000D2F54"/>
    <w:rsid w:val="000D4D42"/>
    <w:rsid w:val="000E2886"/>
    <w:rsid w:val="000F7148"/>
    <w:rsid w:val="00103CC6"/>
    <w:rsid w:val="00105AFC"/>
    <w:rsid w:val="001100F7"/>
    <w:rsid w:val="001111FC"/>
    <w:rsid w:val="00121A63"/>
    <w:rsid w:val="00130620"/>
    <w:rsid w:val="001451EE"/>
    <w:rsid w:val="001D5F7B"/>
    <w:rsid w:val="001F57CA"/>
    <w:rsid w:val="00202929"/>
    <w:rsid w:val="002239A0"/>
    <w:rsid w:val="002462C2"/>
    <w:rsid w:val="00247992"/>
    <w:rsid w:val="00260075"/>
    <w:rsid w:val="00264FAB"/>
    <w:rsid w:val="002B1712"/>
    <w:rsid w:val="002D036E"/>
    <w:rsid w:val="002F4EBB"/>
    <w:rsid w:val="00306CD5"/>
    <w:rsid w:val="00314CDE"/>
    <w:rsid w:val="00326CBB"/>
    <w:rsid w:val="00374577"/>
    <w:rsid w:val="003C1605"/>
    <w:rsid w:val="003E313B"/>
    <w:rsid w:val="00441679"/>
    <w:rsid w:val="00453CC4"/>
    <w:rsid w:val="00461DBC"/>
    <w:rsid w:val="004756E7"/>
    <w:rsid w:val="00491510"/>
    <w:rsid w:val="004934BD"/>
    <w:rsid w:val="00493E57"/>
    <w:rsid w:val="004A1BCD"/>
    <w:rsid w:val="004D51CE"/>
    <w:rsid w:val="004E75DA"/>
    <w:rsid w:val="005340FD"/>
    <w:rsid w:val="005505BA"/>
    <w:rsid w:val="005543C4"/>
    <w:rsid w:val="0058411C"/>
    <w:rsid w:val="005852B4"/>
    <w:rsid w:val="00594F07"/>
    <w:rsid w:val="00601CCF"/>
    <w:rsid w:val="00604B75"/>
    <w:rsid w:val="00607D3C"/>
    <w:rsid w:val="006209EF"/>
    <w:rsid w:val="00633D6B"/>
    <w:rsid w:val="00637CC9"/>
    <w:rsid w:val="00653245"/>
    <w:rsid w:val="0068503F"/>
    <w:rsid w:val="006D0682"/>
    <w:rsid w:val="006F3490"/>
    <w:rsid w:val="007439FD"/>
    <w:rsid w:val="0077002B"/>
    <w:rsid w:val="00771226"/>
    <w:rsid w:val="00772490"/>
    <w:rsid w:val="00776BB9"/>
    <w:rsid w:val="00795D57"/>
    <w:rsid w:val="007A62B9"/>
    <w:rsid w:val="007F2289"/>
    <w:rsid w:val="008244E6"/>
    <w:rsid w:val="00843276"/>
    <w:rsid w:val="008927DB"/>
    <w:rsid w:val="00896749"/>
    <w:rsid w:val="008A38EA"/>
    <w:rsid w:val="008D7487"/>
    <w:rsid w:val="008E0E72"/>
    <w:rsid w:val="008E0EF4"/>
    <w:rsid w:val="00902A88"/>
    <w:rsid w:val="00910D65"/>
    <w:rsid w:val="00923D06"/>
    <w:rsid w:val="00954851"/>
    <w:rsid w:val="00957DF1"/>
    <w:rsid w:val="00976F43"/>
    <w:rsid w:val="009C71CE"/>
    <w:rsid w:val="009D4D80"/>
    <w:rsid w:val="00A363A3"/>
    <w:rsid w:val="00A53469"/>
    <w:rsid w:val="00A627E9"/>
    <w:rsid w:val="00A84D5B"/>
    <w:rsid w:val="00AC20F8"/>
    <w:rsid w:val="00AC4063"/>
    <w:rsid w:val="00AD468D"/>
    <w:rsid w:val="00AD6CD2"/>
    <w:rsid w:val="00AE1C57"/>
    <w:rsid w:val="00AF184C"/>
    <w:rsid w:val="00B24890"/>
    <w:rsid w:val="00B463FE"/>
    <w:rsid w:val="00B5721A"/>
    <w:rsid w:val="00B77625"/>
    <w:rsid w:val="00B941DA"/>
    <w:rsid w:val="00BC6BA7"/>
    <w:rsid w:val="00BF7681"/>
    <w:rsid w:val="00C124A6"/>
    <w:rsid w:val="00C213A2"/>
    <w:rsid w:val="00C239DB"/>
    <w:rsid w:val="00C33723"/>
    <w:rsid w:val="00C451F3"/>
    <w:rsid w:val="00C47C0D"/>
    <w:rsid w:val="00C568B5"/>
    <w:rsid w:val="00C66DEF"/>
    <w:rsid w:val="00C84529"/>
    <w:rsid w:val="00C87F46"/>
    <w:rsid w:val="00CA3CEC"/>
    <w:rsid w:val="00CA7A69"/>
    <w:rsid w:val="00CB0029"/>
    <w:rsid w:val="00CB0524"/>
    <w:rsid w:val="00CF3ECB"/>
    <w:rsid w:val="00D102E3"/>
    <w:rsid w:val="00D35925"/>
    <w:rsid w:val="00D35E91"/>
    <w:rsid w:val="00D43AF4"/>
    <w:rsid w:val="00D475BD"/>
    <w:rsid w:val="00D67ED1"/>
    <w:rsid w:val="00D924F0"/>
    <w:rsid w:val="00D977E2"/>
    <w:rsid w:val="00D97CCC"/>
    <w:rsid w:val="00DD7624"/>
    <w:rsid w:val="00DE709F"/>
    <w:rsid w:val="00DF0D37"/>
    <w:rsid w:val="00DF4BAE"/>
    <w:rsid w:val="00E245AF"/>
    <w:rsid w:val="00E27887"/>
    <w:rsid w:val="00E92489"/>
    <w:rsid w:val="00EB6A0D"/>
    <w:rsid w:val="00EC1930"/>
    <w:rsid w:val="00EC60A5"/>
    <w:rsid w:val="00EE77C5"/>
    <w:rsid w:val="00EF528D"/>
    <w:rsid w:val="00F13DC4"/>
    <w:rsid w:val="00F172B1"/>
    <w:rsid w:val="00F31B3A"/>
    <w:rsid w:val="00F71F37"/>
    <w:rsid w:val="00F75888"/>
    <w:rsid w:val="00F84D30"/>
    <w:rsid w:val="00F90F01"/>
    <w:rsid w:val="00F96172"/>
    <w:rsid w:val="00FB0431"/>
    <w:rsid w:val="00FD244B"/>
    <w:rsid w:val="00FD4965"/>
    <w:rsid w:val="00FE11C7"/>
    <w:rsid w:val="00FF1EF1"/>
    <w:rsid w:val="00FF5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IN" w:eastAsia="en-IN" w:bidi="hi-IN"/>
      </w:rPr>
    </w:rPrDefault>
    <w:pPrDefault>
      <w:pPr>
        <w:ind w:left="576" w:hanging="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7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461DBC"/>
    <w:rPr>
      <w:rFonts w:ascii="Century Schoolbook" w:eastAsia="Century Schoolbook" w:hAnsi="Century Schoolbook" w:cs="Century Schoolbook"/>
      <w:sz w:val="20"/>
    </w:rPr>
  </w:style>
  <w:style w:type="paragraph" w:customStyle="1" w:styleId="Style1">
    <w:name w:val="Style1"/>
    <w:basedOn w:val="Normal"/>
    <w:rsid w:val="00461DBC"/>
    <w:rPr>
      <w:rFonts w:ascii="Century Schoolbook" w:eastAsia="Century Schoolbook" w:hAnsi="Century Schoolbook" w:cs="Century Schoolbook"/>
      <w:sz w:val="20"/>
    </w:rPr>
  </w:style>
  <w:style w:type="paragraph" w:customStyle="1" w:styleId="Style2">
    <w:name w:val="Style2"/>
    <w:basedOn w:val="Normal"/>
    <w:rsid w:val="00461DBC"/>
    <w:rPr>
      <w:rFonts w:ascii="Century Schoolbook" w:eastAsia="Century Schoolbook" w:hAnsi="Century Schoolbook" w:cs="Century Schoolbook"/>
      <w:sz w:val="20"/>
    </w:rPr>
  </w:style>
  <w:style w:type="paragraph" w:customStyle="1" w:styleId="Style3">
    <w:name w:val="Style3"/>
    <w:basedOn w:val="Normal"/>
    <w:rsid w:val="00461DBC"/>
    <w:rPr>
      <w:rFonts w:ascii="Century Schoolbook" w:eastAsia="Century Schoolbook" w:hAnsi="Century Schoolbook" w:cs="Century Schoolbook"/>
      <w:sz w:val="20"/>
    </w:rPr>
  </w:style>
  <w:style w:type="paragraph" w:customStyle="1" w:styleId="Style8">
    <w:name w:val="Style8"/>
    <w:basedOn w:val="Normal"/>
    <w:rsid w:val="00461DBC"/>
    <w:rPr>
      <w:rFonts w:ascii="Century Schoolbook" w:eastAsia="Century Schoolbook" w:hAnsi="Century Schoolbook" w:cs="Century Schoolbook"/>
      <w:sz w:val="20"/>
    </w:rPr>
  </w:style>
  <w:style w:type="paragraph" w:customStyle="1" w:styleId="Style5">
    <w:name w:val="Style5"/>
    <w:basedOn w:val="Normal"/>
    <w:rsid w:val="00461DBC"/>
    <w:rPr>
      <w:rFonts w:ascii="Century Schoolbook" w:eastAsia="Century Schoolbook" w:hAnsi="Century Schoolbook" w:cs="Century Schoolbook"/>
      <w:sz w:val="20"/>
    </w:rPr>
  </w:style>
  <w:style w:type="paragraph" w:customStyle="1" w:styleId="Style7">
    <w:name w:val="Style7"/>
    <w:basedOn w:val="Normal"/>
    <w:rsid w:val="00461DBC"/>
    <w:rPr>
      <w:rFonts w:ascii="Century Schoolbook" w:eastAsia="Century Schoolbook" w:hAnsi="Century Schoolbook" w:cs="Century Schoolbook"/>
      <w:sz w:val="20"/>
    </w:rPr>
  </w:style>
  <w:style w:type="paragraph" w:customStyle="1" w:styleId="Style10">
    <w:name w:val="Style10"/>
    <w:basedOn w:val="Normal"/>
    <w:rsid w:val="00461DBC"/>
    <w:rPr>
      <w:rFonts w:ascii="Century Schoolbook" w:eastAsia="Century Schoolbook" w:hAnsi="Century Schoolbook" w:cs="Century Schoolbook"/>
      <w:sz w:val="20"/>
    </w:rPr>
  </w:style>
  <w:style w:type="paragraph" w:customStyle="1" w:styleId="Style50">
    <w:name w:val="Style50"/>
    <w:basedOn w:val="Normal"/>
    <w:rsid w:val="00461DBC"/>
    <w:rPr>
      <w:rFonts w:ascii="Century Schoolbook" w:eastAsia="Century Schoolbook" w:hAnsi="Century Schoolbook" w:cs="Century Schoolbook"/>
      <w:sz w:val="20"/>
    </w:rPr>
  </w:style>
  <w:style w:type="paragraph" w:customStyle="1" w:styleId="Style12">
    <w:name w:val="Style12"/>
    <w:basedOn w:val="Normal"/>
    <w:rsid w:val="00461DBC"/>
    <w:rPr>
      <w:rFonts w:ascii="Century Schoolbook" w:eastAsia="Century Schoolbook" w:hAnsi="Century Schoolbook" w:cs="Century Schoolbook"/>
      <w:sz w:val="20"/>
    </w:rPr>
  </w:style>
  <w:style w:type="paragraph" w:customStyle="1" w:styleId="Style13">
    <w:name w:val="Style13"/>
    <w:basedOn w:val="Normal"/>
    <w:rsid w:val="00461DBC"/>
    <w:rPr>
      <w:rFonts w:ascii="Century Schoolbook" w:eastAsia="Century Schoolbook" w:hAnsi="Century Schoolbook" w:cs="Century Schoolbook"/>
      <w:sz w:val="20"/>
    </w:rPr>
  </w:style>
  <w:style w:type="paragraph" w:customStyle="1" w:styleId="Style60">
    <w:name w:val="Style60"/>
    <w:basedOn w:val="Normal"/>
    <w:rsid w:val="00461DBC"/>
    <w:rPr>
      <w:rFonts w:ascii="Century Schoolbook" w:eastAsia="Century Schoolbook" w:hAnsi="Century Schoolbook" w:cs="Century Schoolbook"/>
      <w:sz w:val="20"/>
    </w:rPr>
  </w:style>
  <w:style w:type="paragraph" w:customStyle="1" w:styleId="Style15">
    <w:name w:val="Style15"/>
    <w:basedOn w:val="Normal"/>
    <w:rsid w:val="00461DBC"/>
    <w:rPr>
      <w:rFonts w:ascii="Century Schoolbook" w:eastAsia="Century Schoolbook" w:hAnsi="Century Schoolbook" w:cs="Century Schoolbook"/>
      <w:sz w:val="20"/>
    </w:rPr>
  </w:style>
  <w:style w:type="paragraph" w:customStyle="1" w:styleId="Style16">
    <w:name w:val="Style16"/>
    <w:basedOn w:val="Normal"/>
    <w:rsid w:val="00461DBC"/>
    <w:rPr>
      <w:rFonts w:ascii="Century Schoolbook" w:eastAsia="Century Schoolbook" w:hAnsi="Century Schoolbook" w:cs="Century Schoolbook"/>
      <w:sz w:val="20"/>
    </w:rPr>
  </w:style>
  <w:style w:type="paragraph" w:customStyle="1" w:styleId="Style59">
    <w:name w:val="Style59"/>
    <w:basedOn w:val="Normal"/>
    <w:rsid w:val="00461DBC"/>
    <w:rPr>
      <w:rFonts w:ascii="Century Schoolbook" w:eastAsia="Century Schoolbook" w:hAnsi="Century Schoolbook" w:cs="Century Schoolbook"/>
      <w:sz w:val="20"/>
    </w:rPr>
  </w:style>
  <w:style w:type="character" w:customStyle="1" w:styleId="CharStyle0">
    <w:name w:val="CharStyle0"/>
    <w:basedOn w:val="DefaultParagraphFont"/>
    <w:rsid w:val="00461DBC"/>
    <w:rPr>
      <w:rFonts w:ascii="Century Schoolbook" w:eastAsia="Century Schoolbook" w:hAnsi="Century Schoolbook" w:cs="Century Schoolbook"/>
      <w:b w:val="0"/>
      <w:bCs w:val="0"/>
      <w:i w:val="0"/>
      <w:iCs w:val="0"/>
      <w:smallCaps w:val="0"/>
      <w:sz w:val="26"/>
      <w:szCs w:val="26"/>
    </w:rPr>
  </w:style>
  <w:style w:type="character" w:customStyle="1" w:styleId="CharStyle2">
    <w:name w:val="CharStyle2"/>
    <w:basedOn w:val="DefaultParagraphFont"/>
    <w:rsid w:val="00461DBC"/>
    <w:rPr>
      <w:rFonts w:ascii="Century Schoolbook" w:eastAsia="Century Schoolbook" w:hAnsi="Century Schoolbook" w:cs="Century Schoolbook"/>
      <w:b/>
      <w:bCs/>
      <w:i w:val="0"/>
      <w:iCs w:val="0"/>
      <w:smallCaps w:val="0"/>
      <w:spacing w:val="-10"/>
      <w:sz w:val="22"/>
      <w:szCs w:val="22"/>
    </w:rPr>
  </w:style>
  <w:style w:type="character" w:customStyle="1" w:styleId="CharStyle3">
    <w:name w:val="CharStyle3"/>
    <w:basedOn w:val="DefaultParagraphFont"/>
    <w:rsid w:val="00461DBC"/>
    <w:rPr>
      <w:rFonts w:ascii="Century Schoolbook" w:eastAsia="Century Schoolbook" w:hAnsi="Century Schoolbook" w:cs="Century Schoolbook"/>
      <w:b/>
      <w:bCs/>
      <w:i w:val="0"/>
      <w:iCs w:val="0"/>
      <w:smallCaps w:val="0"/>
      <w:sz w:val="20"/>
      <w:szCs w:val="20"/>
    </w:rPr>
  </w:style>
  <w:style w:type="character" w:customStyle="1" w:styleId="CharStyle4">
    <w:name w:val="CharStyle4"/>
    <w:basedOn w:val="DefaultParagraphFont"/>
    <w:rsid w:val="00461DBC"/>
    <w:rPr>
      <w:rFonts w:ascii="Century Schoolbook" w:eastAsia="Century Schoolbook" w:hAnsi="Century Schoolbook" w:cs="Century Schoolbook"/>
      <w:b/>
      <w:bCs/>
      <w:i w:val="0"/>
      <w:iCs w:val="0"/>
      <w:smallCaps w:val="0"/>
      <w:sz w:val="18"/>
      <w:szCs w:val="18"/>
    </w:rPr>
  </w:style>
  <w:style w:type="character" w:customStyle="1" w:styleId="CharStyle5">
    <w:name w:val="CharStyle5"/>
    <w:basedOn w:val="DefaultParagraphFont"/>
    <w:rsid w:val="00461DBC"/>
    <w:rPr>
      <w:rFonts w:ascii="Century Schoolbook" w:eastAsia="Century Schoolbook" w:hAnsi="Century Schoolbook" w:cs="Century Schoolbook"/>
      <w:b w:val="0"/>
      <w:bCs w:val="0"/>
      <w:i w:val="0"/>
      <w:iCs w:val="0"/>
      <w:smallCaps w:val="0"/>
      <w:sz w:val="52"/>
      <w:szCs w:val="52"/>
    </w:rPr>
  </w:style>
  <w:style w:type="character" w:customStyle="1" w:styleId="CharStyle6">
    <w:name w:val="CharStyle6"/>
    <w:basedOn w:val="DefaultParagraphFont"/>
    <w:rsid w:val="00461DBC"/>
    <w:rPr>
      <w:rFonts w:ascii="Century Schoolbook" w:eastAsia="Century Schoolbook" w:hAnsi="Century Schoolbook" w:cs="Century Schoolbook"/>
      <w:b w:val="0"/>
      <w:bCs w:val="0"/>
      <w:i w:val="0"/>
      <w:iCs w:val="0"/>
      <w:smallCaps w:val="0"/>
      <w:sz w:val="16"/>
      <w:szCs w:val="16"/>
    </w:rPr>
  </w:style>
  <w:style w:type="character" w:customStyle="1" w:styleId="CharStyle7">
    <w:name w:val="CharStyle7"/>
    <w:basedOn w:val="DefaultParagraphFont"/>
    <w:rsid w:val="00461DBC"/>
    <w:rPr>
      <w:rFonts w:ascii="Century Schoolbook" w:eastAsia="Century Schoolbook" w:hAnsi="Century Schoolbook" w:cs="Century Schoolbook"/>
      <w:b w:val="0"/>
      <w:bCs w:val="0"/>
      <w:i/>
      <w:iCs/>
      <w:smallCaps w:val="0"/>
      <w:sz w:val="16"/>
      <w:szCs w:val="16"/>
    </w:rPr>
  </w:style>
  <w:style w:type="character" w:customStyle="1" w:styleId="CharStyle9">
    <w:name w:val="CharStyle9"/>
    <w:basedOn w:val="DefaultParagraphFont"/>
    <w:rsid w:val="00461DBC"/>
    <w:rPr>
      <w:rFonts w:ascii="Century Schoolbook" w:eastAsia="Century Schoolbook" w:hAnsi="Century Schoolbook" w:cs="Century Schoolbook"/>
      <w:b/>
      <w:bCs/>
      <w:i w:val="0"/>
      <w:iCs w:val="0"/>
      <w:smallCaps w:val="0"/>
      <w:sz w:val="12"/>
      <w:szCs w:val="12"/>
    </w:rPr>
  </w:style>
  <w:style w:type="character" w:customStyle="1" w:styleId="CharStyle13">
    <w:name w:val="CharStyle13"/>
    <w:basedOn w:val="DefaultParagraphFont"/>
    <w:rsid w:val="00461DBC"/>
    <w:rPr>
      <w:rFonts w:ascii="Palatino Linotype" w:eastAsia="Palatino Linotype" w:hAnsi="Palatino Linotype" w:cs="Palatino Linotype"/>
      <w:b w:val="0"/>
      <w:bCs w:val="0"/>
      <w:i w:val="0"/>
      <w:iCs w:val="0"/>
      <w:smallCaps w:val="0"/>
      <w:sz w:val="36"/>
      <w:szCs w:val="36"/>
    </w:rPr>
  </w:style>
  <w:style w:type="character" w:customStyle="1" w:styleId="CharStyle16">
    <w:name w:val="CharStyle16"/>
    <w:basedOn w:val="DefaultParagraphFont"/>
    <w:rsid w:val="00461DBC"/>
    <w:rPr>
      <w:rFonts w:ascii="Century Schoolbook" w:eastAsia="Century Schoolbook" w:hAnsi="Century Schoolbook" w:cs="Century Schoolbook"/>
      <w:b/>
      <w:bCs/>
      <w:i w:val="0"/>
      <w:iCs w:val="0"/>
      <w:smallCaps w:val="0"/>
      <w:sz w:val="14"/>
      <w:szCs w:val="14"/>
    </w:rPr>
  </w:style>
  <w:style w:type="character" w:customStyle="1" w:styleId="CharStyle19">
    <w:name w:val="CharStyle19"/>
    <w:basedOn w:val="DefaultParagraphFont"/>
    <w:rsid w:val="00461DBC"/>
    <w:rPr>
      <w:rFonts w:ascii="Garamond" w:eastAsia="Garamond" w:hAnsi="Garamond" w:cs="Garamond"/>
      <w:b/>
      <w:bCs/>
      <w:i w:val="0"/>
      <w:iCs w:val="0"/>
      <w:smallCaps w:val="0"/>
      <w:sz w:val="10"/>
      <w:szCs w:val="10"/>
    </w:rPr>
  </w:style>
  <w:style w:type="character" w:customStyle="1" w:styleId="CharStyle20">
    <w:name w:val="CharStyle20"/>
    <w:basedOn w:val="DefaultParagraphFont"/>
    <w:rsid w:val="00461DBC"/>
    <w:rPr>
      <w:rFonts w:ascii="Century Schoolbook" w:eastAsia="Century Schoolbook" w:hAnsi="Century Schoolbook" w:cs="Century Schoolbook"/>
      <w:b/>
      <w:bCs/>
      <w:i w:val="0"/>
      <w:iCs w:val="0"/>
      <w:smallCaps/>
      <w:sz w:val="14"/>
      <w:szCs w:val="14"/>
    </w:rPr>
  </w:style>
  <w:style w:type="paragraph" w:styleId="Header">
    <w:name w:val="header"/>
    <w:basedOn w:val="Normal"/>
    <w:link w:val="HeaderChar"/>
    <w:uiPriority w:val="99"/>
    <w:semiHidden/>
    <w:unhideWhenUsed/>
    <w:rsid w:val="00AC4063"/>
    <w:pPr>
      <w:tabs>
        <w:tab w:val="center" w:pos="4513"/>
        <w:tab w:val="right" w:pos="9026"/>
      </w:tabs>
    </w:pPr>
  </w:style>
  <w:style w:type="character" w:customStyle="1" w:styleId="HeaderChar">
    <w:name w:val="Header Char"/>
    <w:basedOn w:val="DefaultParagraphFont"/>
    <w:link w:val="Header"/>
    <w:uiPriority w:val="99"/>
    <w:semiHidden/>
    <w:rsid w:val="00AC4063"/>
  </w:style>
  <w:style w:type="paragraph" w:styleId="Footer">
    <w:name w:val="footer"/>
    <w:basedOn w:val="Normal"/>
    <w:link w:val="FooterChar"/>
    <w:uiPriority w:val="99"/>
    <w:semiHidden/>
    <w:unhideWhenUsed/>
    <w:rsid w:val="00AC4063"/>
    <w:pPr>
      <w:tabs>
        <w:tab w:val="center" w:pos="4513"/>
        <w:tab w:val="right" w:pos="9026"/>
      </w:tabs>
    </w:pPr>
  </w:style>
  <w:style w:type="character" w:customStyle="1" w:styleId="FooterChar">
    <w:name w:val="Footer Char"/>
    <w:basedOn w:val="DefaultParagraphFont"/>
    <w:link w:val="Footer"/>
    <w:uiPriority w:val="99"/>
    <w:semiHidden/>
    <w:rsid w:val="00AC4063"/>
  </w:style>
  <w:style w:type="paragraph" w:styleId="BalloonText">
    <w:name w:val="Balloon Text"/>
    <w:basedOn w:val="Normal"/>
    <w:link w:val="BalloonTextChar"/>
    <w:uiPriority w:val="99"/>
    <w:semiHidden/>
    <w:unhideWhenUsed/>
    <w:rsid w:val="00AC4063"/>
    <w:rPr>
      <w:rFonts w:ascii="Tahoma" w:hAnsi="Tahoma" w:cs="Mangal"/>
      <w:sz w:val="16"/>
      <w:szCs w:val="14"/>
    </w:rPr>
  </w:style>
  <w:style w:type="character" w:customStyle="1" w:styleId="BalloonTextChar">
    <w:name w:val="Balloon Text Char"/>
    <w:basedOn w:val="DefaultParagraphFont"/>
    <w:link w:val="BalloonText"/>
    <w:uiPriority w:val="99"/>
    <w:semiHidden/>
    <w:rsid w:val="00AC4063"/>
    <w:rPr>
      <w:rFonts w:ascii="Tahoma" w:hAnsi="Tahoma" w:cs="Mangal"/>
      <w:sz w:val="16"/>
      <w:szCs w:val="14"/>
    </w:rPr>
  </w:style>
  <w:style w:type="paragraph" w:styleId="ListParagraph">
    <w:name w:val="List Paragraph"/>
    <w:basedOn w:val="Normal"/>
    <w:uiPriority w:val="34"/>
    <w:qFormat/>
    <w:rsid w:val="00314CDE"/>
    <w:pPr>
      <w:ind w:left="720"/>
      <w:contextualSpacing/>
    </w:pPr>
  </w:style>
  <w:style w:type="paragraph" w:customStyle="1" w:styleId="Style11">
    <w:name w:val="Style11"/>
    <w:basedOn w:val="Normal"/>
    <w:rsid w:val="00EF528D"/>
    <w:pPr>
      <w:ind w:left="0" w:firstLine="0"/>
    </w:pPr>
    <w:rPr>
      <w:rFonts w:ascii="Times New Roman" w:eastAsia="Times New Roman" w:hAnsi="Times New Roman" w:cs="Times New Roman"/>
      <w:sz w:val="20"/>
      <w:lang w:val="en-US" w:eastAsia="en-US" w:bidi="ar-SA"/>
    </w:rPr>
  </w:style>
  <w:style w:type="paragraph" w:customStyle="1" w:styleId="Style6">
    <w:name w:val="Style6"/>
    <w:basedOn w:val="Normal"/>
    <w:rsid w:val="00EF528D"/>
    <w:pPr>
      <w:ind w:left="0" w:firstLine="0"/>
    </w:pPr>
    <w:rPr>
      <w:rFonts w:ascii="Times New Roman" w:eastAsia="Times New Roman" w:hAnsi="Times New Roman" w:cs="Times New Roman"/>
      <w:sz w:val="20"/>
      <w:lang w:val="en-US" w:eastAsia="en-US" w:bidi="ar-SA"/>
    </w:rPr>
  </w:style>
  <w:style w:type="paragraph" w:customStyle="1" w:styleId="Style9">
    <w:name w:val="Style9"/>
    <w:basedOn w:val="Normal"/>
    <w:rsid w:val="00EF528D"/>
    <w:pPr>
      <w:ind w:left="0" w:firstLine="0"/>
    </w:pPr>
    <w:rPr>
      <w:rFonts w:ascii="Times New Roman" w:eastAsia="Times New Roman" w:hAnsi="Times New Roman" w:cs="Times New Roman"/>
      <w:sz w:val="20"/>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13</cp:revision>
  <dcterms:created xsi:type="dcterms:W3CDTF">2017-04-13T08:04:00Z</dcterms:created>
  <dcterms:modified xsi:type="dcterms:W3CDTF">2018-01-15T20:45:00Z</dcterms:modified>
</cp:coreProperties>
</file>