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9C" w:rsidRPr="00875679" w:rsidRDefault="00AA589C" w:rsidP="003A7A18">
      <w:pPr>
        <w:spacing w:before="6480"/>
        <w:jc w:val="center"/>
        <w:rPr>
          <w:rFonts w:ascii="Times New Roman" w:hAnsi="Times New Roman"/>
          <w:sz w:val="36"/>
        </w:rPr>
      </w:pPr>
      <w:r w:rsidRPr="00875679">
        <w:rPr>
          <w:rFonts w:ascii="Times New Roman" w:hAnsi="Times New Roman"/>
          <w:sz w:val="36"/>
        </w:rPr>
        <w:t>MATERNITY ALLOWANCE.</w:t>
      </w:r>
    </w:p>
    <w:p w:rsidR="00F04A5A" w:rsidRPr="007566E2" w:rsidRDefault="00F04A5A" w:rsidP="007566E2">
      <w:pPr>
        <w:pBdr>
          <w:top w:val="single" w:sz="4" w:space="1" w:color="auto"/>
        </w:pBdr>
        <w:spacing w:before="200"/>
        <w:ind w:left="4032" w:right="4032"/>
        <w:jc w:val="center"/>
        <w:rPr>
          <w:rFonts w:ascii="Times New Roman" w:hAnsi="Times New Roman"/>
          <w:sz w:val="2"/>
        </w:rPr>
      </w:pPr>
    </w:p>
    <w:p w:rsidR="00072065" w:rsidRPr="00AA1B24" w:rsidRDefault="00072065" w:rsidP="00D16B94">
      <w:pPr>
        <w:spacing w:before="120" w:after="120"/>
        <w:jc w:val="center"/>
        <w:rPr>
          <w:rFonts w:ascii="Times New Roman" w:hAnsi="Times New Roman"/>
          <w:b/>
          <w:sz w:val="28"/>
        </w:rPr>
      </w:pPr>
      <w:r w:rsidRPr="00AA1B24">
        <w:rPr>
          <w:rFonts w:ascii="Times New Roman" w:hAnsi="Times New Roman"/>
          <w:b/>
          <w:sz w:val="28"/>
        </w:rPr>
        <w:t>No. 12 of 1944.</w:t>
      </w:r>
    </w:p>
    <w:p w:rsidR="00AA589C" w:rsidRPr="00AA1B24" w:rsidRDefault="00AA589C" w:rsidP="00D16B94">
      <w:pPr>
        <w:spacing w:before="120" w:after="120"/>
        <w:jc w:val="center"/>
        <w:rPr>
          <w:rFonts w:ascii="Times New Roman" w:hAnsi="Times New Roman"/>
          <w:sz w:val="26"/>
        </w:rPr>
      </w:pPr>
      <w:r w:rsidRPr="00AA1B24">
        <w:rPr>
          <w:rFonts w:ascii="Times New Roman" w:hAnsi="Times New Roman"/>
          <w:sz w:val="26"/>
        </w:rPr>
        <w:t xml:space="preserve">An Act to amend the </w:t>
      </w:r>
      <w:r w:rsidR="00072065" w:rsidRPr="00AA1B24">
        <w:rPr>
          <w:rFonts w:ascii="Times New Roman" w:hAnsi="Times New Roman"/>
          <w:i/>
          <w:sz w:val="26"/>
        </w:rPr>
        <w:t>Maternity Allowance Act</w:t>
      </w:r>
      <w:r w:rsidR="00DE0625" w:rsidRPr="00AA1B24">
        <w:rPr>
          <w:rFonts w:ascii="Times New Roman" w:hAnsi="Times New Roman"/>
          <w:i/>
          <w:sz w:val="26"/>
        </w:rPr>
        <w:t xml:space="preserve"> </w:t>
      </w:r>
      <w:r w:rsidRPr="00AA1B24">
        <w:rPr>
          <w:rFonts w:ascii="Times New Roman" w:hAnsi="Times New Roman"/>
          <w:sz w:val="26"/>
        </w:rPr>
        <w:t>1912</w:t>
      </w:r>
      <w:r w:rsidR="00633EFC" w:rsidRPr="00633EFC">
        <w:rPr>
          <w:rFonts w:ascii="Times New Roman" w:hAnsi="Times New Roman"/>
          <w:sz w:val="26"/>
          <w:szCs w:val="36"/>
        </w:rPr>
        <w:t>–</w:t>
      </w:r>
      <w:r w:rsidRPr="00AA1B24">
        <w:rPr>
          <w:rFonts w:ascii="Times New Roman" w:hAnsi="Times New Roman"/>
          <w:sz w:val="26"/>
        </w:rPr>
        <w:t>1943.</w:t>
      </w:r>
    </w:p>
    <w:p w:rsidR="00AA589C" w:rsidRPr="00AA1B24" w:rsidRDefault="00AA589C" w:rsidP="00D16B94">
      <w:pPr>
        <w:spacing w:before="120" w:after="120"/>
        <w:jc w:val="right"/>
        <w:rPr>
          <w:rFonts w:ascii="Times New Roman" w:hAnsi="Times New Roman"/>
          <w:sz w:val="26"/>
        </w:rPr>
      </w:pPr>
      <w:r w:rsidRPr="00AA1B24">
        <w:rPr>
          <w:rFonts w:ascii="Times New Roman" w:hAnsi="Times New Roman"/>
          <w:sz w:val="26"/>
        </w:rPr>
        <w:t>[Assented to 5th April, 1944.]</w:t>
      </w:r>
    </w:p>
    <w:p w:rsidR="00AA589C" w:rsidRPr="001A4818" w:rsidRDefault="00AA589C" w:rsidP="00F04A5A">
      <w:pPr>
        <w:jc w:val="both"/>
        <w:rPr>
          <w:rFonts w:ascii="Times New Roman" w:hAnsi="Times New Roman"/>
          <w:sz w:val="22"/>
          <w:szCs w:val="22"/>
        </w:rPr>
      </w:pPr>
      <w:r w:rsidRPr="001A4818">
        <w:rPr>
          <w:rFonts w:ascii="Times New Roman" w:hAnsi="Times New Roman"/>
          <w:sz w:val="22"/>
          <w:szCs w:val="22"/>
        </w:rPr>
        <w:t>BE it enacted by the King</w:t>
      </w:r>
      <w:r w:rsidR="00B729C5" w:rsidRPr="001A4818">
        <w:rPr>
          <w:rFonts w:ascii="Times New Roman" w:hAnsi="Times New Roman"/>
          <w:sz w:val="22"/>
          <w:szCs w:val="22"/>
        </w:rPr>
        <w:t>’</w:t>
      </w:r>
      <w:r w:rsidRPr="001A4818">
        <w:rPr>
          <w:rFonts w:ascii="Times New Roman" w:hAnsi="Times New Roman"/>
          <w:sz w:val="22"/>
          <w:szCs w:val="22"/>
        </w:rPr>
        <w:t>s Most Excellent Majesty, the Senate,</w:t>
      </w:r>
      <w:r w:rsidR="00DE0625" w:rsidRPr="001A4818">
        <w:rPr>
          <w:rFonts w:ascii="Times New Roman" w:hAnsi="Times New Roman"/>
          <w:sz w:val="22"/>
          <w:szCs w:val="22"/>
        </w:rPr>
        <w:t xml:space="preserve"> </w:t>
      </w:r>
      <w:r w:rsidRPr="001A4818">
        <w:rPr>
          <w:rFonts w:ascii="Times New Roman" w:hAnsi="Times New Roman"/>
          <w:sz w:val="22"/>
          <w:szCs w:val="22"/>
        </w:rPr>
        <w:t>and the House of Representatives of the Commonwealth of</w:t>
      </w:r>
      <w:r w:rsidR="00DE0625" w:rsidRPr="001A4818">
        <w:rPr>
          <w:rFonts w:ascii="Times New Roman" w:hAnsi="Times New Roman"/>
          <w:sz w:val="22"/>
          <w:szCs w:val="22"/>
        </w:rPr>
        <w:t xml:space="preserve"> </w:t>
      </w:r>
      <w:r w:rsidRPr="001A4818">
        <w:rPr>
          <w:rFonts w:ascii="Times New Roman" w:hAnsi="Times New Roman"/>
          <w:sz w:val="22"/>
          <w:szCs w:val="22"/>
        </w:rPr>
        <w:t>Australia, as</w:t>
      </w:r>
      <w:bookmarkStart w:id="0" w:name="_GoBack"/>
      <w:bookmarkEnd w:id="0"/>
      <w:r w:rsidRPr="001A4818">
        <w:rPr>
          <w:rFonts w:ascii="Times New Roman" w:hAnsi="Times New Roman"/>
          <w:sz w:val="22"/>
          <w:szCs w:val="22"/>
        </w:rPr>
        <w:t xml:space="preserve"> follows:—</w:t>
      </w:r>
    </w:p>
    <w:p w:rsidR="00072065" w:rsidRPr="009217B7" w:rsidRDefault="00072065" w:rsidP="009217B7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217B7">
        <w:rPr>
          <w:rFonts w:ascii="Times New Roman" w:hAnsi="Times New Roman" w:cs="Times New Roman"/>
          <w:b/>
          <w:sz w:val="20"/>
        </w:rPr>
        <w:t>Short title</w:t>
      </w:r>
      <w:r w:rsidR="00DE0625" w:rsidRPr="009217B7">
        <w:rPr>
          <w:rFonts w:ascii="Times New Roman" w:hAnsi="Times New Roman" w:cs="Times New Roman"/>
          <w:b/>
          <w:sz w:val="20"/>
        </w:rPr>
        <w:t xml:space="preserve"> </w:t>
      </w:r>
      <w:r w:rsidRPr="009217B7">
        <w:rPr>
          <w:rFonts w:ascii="Times New Roman" w:hAnsi="Times New Roman" w:cs="Times New Roman"/>
          <w:b/>
          <w:sz w:val="20"/>
        </w:rPr>
        <w:t>and citation.</w:t>
      </w:r>
    </w:p>
    <w:p w:rsidR="00AA589C" w:rsidRPr="00F04A5A" w:rsidRDefault="00072065" w:rsidP="00D32B62">
      <w:pPr>
        <w:widowControl/>
        <w:tabs>
          <w:tab w:val="left" w:pos="1260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b/>
          <w:sz w:val="22"/>
        </w:rPr>
        <w:t>1.</w:t>
      </w:r>
      <w:r w:rsidR="00AA589C" w:rsidRPr="00F04A5A">
        <w:rPr>
          <w:rFonts w:ascii="Times New Roman" w:hAnsi="Times New Roman"/>
          <w:sz w:val="22"/>
        </w:rPr>
        <w:t>—(1.)</w:t>
      </w:r>
      <w:r w:rsidR="00912EF7">
        <w:rPr>
          <w:rFonts w:ascii="Times New Roman" w:hAnsi="Times New Roman"/>
          <w:sz w:val="22"/>
        </w:rPr>
        <w:tab/>
      </w:r>
      <w:r w:rsidR="00AA589C" w:rsidRPr="00F04A5A">
        <w:rPr>
          <w:rFonts w:ascii="Times New Roman" w:hAnsi="Times New Roman"/>
          <w:sz w:val="22"/>
        </w:rPr>
        <w:t xml:space="preserve">This Act may be cited as the </w:t>
      </w:r>
      <w:r w:rsidRPr="00F04A5A">
        <w:rPr>
          <w:rFonts w:ascii="Times New Roman" w:hAnsi="Times New Roman"/>
          <w:i/>
          <w:sz w:val="22"/>
        </w:rPr>
        <w:t>Maternity Allowance Act</w:t>
      </w:r>
      <w:r w:rsidR="00DE0625" w:rsidRPr="00F04A5A">
        <w:rPr>
          <w:rFonts w:ascii="Times New Roman" w:hAnsi="Times New Roman"/>
          <w:i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1944.</w:t>
      </w:r>
    </w:p>
    <w:p w:rsidR="00AA589C" w:rsidRPr="00F04A5A" w:rsidRDefault="00AA589C" w:rsidP="00D32B62">
      <w:pPr>
        <w:widowControl/>
        <w:tabs>
          <w:tab w:val="left" w:pos="900"/>
          <w:tab w:val="left" w:pos="1170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(2.)</w:t>
      </w:r>
      <w:r w:rsidR="00452EF8">
        <w:rPr>
          <w:rFonts w:ascii="Times New Roman" w:hAnsi="Times New Roman"/>
          <w:sz w:val="22"/>
        </w:rPr>
        <w:tab/>
      </w:r>
      <w:r w:rsidRPr="00F04A5A">
        <w:rPr>
          <w:rFonts w:ascii="Times New Roman" w:hAnsi="Times New Roman"/>
          <w:sz w:val="22"/>
        </w:rPr>
        <w:t xml:space="preserve">The </w:t>
      </w:r>
      <w:r w:rsidR="00072065" w:rsidRPr="00F04A5A">
        <w:rPr>
          <w:rFonts w:ascii="Times New Roman" w:hAnsi="Times New Roman"/>
          <w:i/>
          <w:sz w:val="22"/>
        </w:rPr>
        <w:t xml:space="preserve">Maternity Allowance Act </w:t>
      </w:r>
      <w:r w:rsidRPr="00F04A5A">
        <w:rPr>
          <w:rFonts w:ascii="Times New Roman" w:hAnsi="Times New Roman"/>
          <w:sz w:val="22"/>
        </w:rPr>
        <w:t>1912</w:t>
      </w:r>
      <w:r w:rsidR="00633EFC" w:rsidRPr="00633EFC">
        <w:rPr>
          <w:rFonts w:ascii="Times New Roman" w:hAnsi="Times New Roman"/>
          <w:sz w:val="22"/>
          <w:szCs w:val="36"/>
        </w:rPr>
        <w:t>–</w:t>
      </w:r>
      <w:r w:rsidR="001A4818">
        <w:rPr>
          <w:rFonts w:ascii="Times New Roman" w:hAnsi="Times New Roman"/>
          <w:sz w:val="22"/>
        </w:rPr>
        <w:t>1943</w:t>
      </w:r>
      <w:r w:rsidRPr="00F04A5A">
        <w:rPr>
          <w:rFonts w:ascii="Times New Roman" w:hAnsi="Times New Roman"/>
          <w:sz w:val="22"/>
        </w:rPr>
        <w:t xml:space="preserve"> is in this Act referred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to as the Principal Act.</w:t>
      </w:r>
    </w:p>
    <w:p w:rsidR="00AA589C" w:rsidRPr="00F04A5A" w:rsidRDefault="00AA589C" w:rsidP="00D32B62">
      <w:pPr>
        <w:widowControl/>
        <w:tabs>
          <w:tab w:val="left" w:pos="900"/>
          <w:tab w:val="left" w:pos="1170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(3.)</w:t>
      </w:r>
      <w:r w:rsidR="00682A24">
        <w:rPr>
          <w:rFonts w:ascii="Times New Roman" w:hAnsi="Times New Roman"/>
          <w:sz w:val="22"/>
        </w:rPr>
        <w:tab/>
      </w:r>
      <w:r w:rsidRPr="00F04A5A">
        <w:rPr>
          <w:rFonts w:ascii="Times New Roman" w:hAnsi="Times New Roman"/>
          <w:sz w:val="22"/>
        </w:rPr>
        <w:t>The Principal Act, as amended by this Act, may be cited as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 xml:space="preserve">the </w:t>
      </w:r>
      <w:r w:rsidR="00072065" w:rsidRPr="00F04A5A">
        <w:rPr>
          <w:rFonts w:ascii="Times New Roman" w:hAnsi="Times New Roman"/>
          <w:i/>
          <w:sz w:val="22"/>
        </w:rPr>
        <w:t xml:space="preserve">Maternity Allowance Act </w:t>
      </w:r>
      <w:r w:rsidRPr="00F04A5A">
        <w:rPr>
          <w:rFonts w:ascii="Times New Roman" w:hAnsi="Times New Roman"/>
          <w:sz w:val="22"/>
        </w:rPr>
        <w:t>1912</w:t>
      </w:r>
      <w:r w:rsidR="00633EFC" w:rsidRPr="00633EFC">
        <w:rPr>
          <w:rFonts w:ascii="Times New Roman" w:hAnsi="Times New Roman"/>
          <w:sz w:val="22"/>
          <w:szCs w:val="36"/>
        </w:rPr>
        <w:t>–</w:t>
      </w:r>
      <w:r w:rsidRPr="00F04A5A">
        <w:rPr>
          <w:rFonts w:ascii="Times New Roman" w:hAnsi="Times New Roman"/>
          <w:sz w:val="22"/>
        </w:rPr>
        <w:t>1944.</w:t>
      </w:r>
    </w:p>
    <w:p w:rsidR="00072065" w:rsidRPr="00B269EA" w:rsidRDefault="00072065" w:rsidP="00B269EA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B269EA">
        <w:rPr>
          <w:rFonts w:ascii="Times New Roman" w:hAnsi="Times New Roman" w:cs="Times New Roman"/>
          <w:b/>
          <w:sz w:val="20"/>
        </w:rPr>
        <w:t>Commencement.</w:t>
      </w:r>
    </w:p>
    <w:p w:rsidR="00AA589C" w:rsidRPr="00F04A5A" w:rsidRDefault="00072065" w:rsidP="00D32B62">
      <w:pPr>
        <w:widowControl/>
        <w:tabs>
          <w:tab w:val="left" w:pos="720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b/>
          <w:sz w:val="22"/>
        </w:rPr>
        <w:t>2.</w:t>
      </w:r>
      <w:r w:rsidR="0031470F">
        <w:rPr>
          <w:rFonts w:ascii="Times New Roman" w:hAnsi="Times New Roman"/>
          <w:b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This Act shall come into operation on the day on which it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receives the Royal Assent and the Principal Act, as amended by this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Act, shall apply in respect of births occurring on or after that date.</w:t>
      </w:r>
    </w:p>
    <w:p w:rsidR="00072065" w:rsidRPr="0075203B" w:rsidRDefault="00072065" w:rsidP="0075203B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75203B">
        <w:rPr>
          <w:rFonts w:ascii="Times New Roman" w:hAnsi="Times New Roman" w:cs="Times New Roman"/>
          <w:b/>
          <w:sz w:val="20"/>
        </w:rPr>
        <w:t>Definitions.</w:t>
      </w:r>
    </w:p>
    <w:p w:rsidR="00AA589C" w:rsidRPr="00F04A5A" w:rsidRDefault="00072065" w:rsidP="00D32B62">
      <w:pPr>
        <w:widowControl/>
        <w:tabs>
          <w:tab w:val="left" w:pos="720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b/>
          <w:sz w:val="22"/>
        </w:rPr>
        <w:t>3.</w:t>
      </w:r>
      <w:r w:rsidR="004A4DB2">
        <w:rPr>
          <w:rFonts w:ascii="Times New Roman" w:hAnsi="Times New Roman"/>
          <w:b/>
          <w:sz w:val="22"/>
        </w:rPr>
        <w:tab/>
      </w:r>
      <w:r w:rsidR="00AA589C" w:rsidRPr="00F04A5A">
        <w:rPr>
          <w:rFonts w:ascii="Times New Roman" w:hAnsi="Times New Roman"/>
          <w:sz w:val="22"/>
        </w:rPr>
        <w:t xml:space="preserve">Section two </w:t>
      </w:r>
      <w:r w:rsidRPr="00176FC4">
        <w:rPr>
          <w:rFonts w:ascii="Times New Roman" w:hAnsi="Times New Roman"/>
          <w:smallCaps/>
          <w:sz w:val="22"/>
        </w:rPr>
        <w:t>a</w:t>
      </w:r>
      <w:r w:rsidRPr="00176FC4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of the Principal Act is amended—</w:t>
      </w:r>
    </w:p>
    <w:p w:rsidR="00AA589C" w:rsidRPr="00F04A5A" w:rsidRDefault="00AA589C" w:rsidP="000C2933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a</w:t>
      </w:r>
      <w:r w:rsidRPr="00F04A5A">
        <w:rPr>
          <w:rFonts w:ascii="Times New Roman" w:hAnsi="Times New Roman"/>
          <w:sz w:val="22"/>
        </w:rPr>
        <w:t xml:space="preserve">) by inserting before the definition of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other children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 xml:space="preserve"> the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following definition:—</w:t>
      </w:r>
    </w:p>
    <w:p w:rsidR="00AA589C" w:rsidRDefault="00B729C5" w:rsidP="00223501">
      <w:pPr>
        <w:widowControl/>
        <w:ind w:left="2016" w:hanging="57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“‘</w:t>
      </w:r>
      <w:r w:rsidR="00AA589C" w:rsidRPr="00F04A5A">
        <w:rPr>
          <w:rFonts w:ascii="Times New Roman" w:hAnsi="Times New Roman"/>
          <w:sz w:val="22"/>
        </w:rPr>
        <w:t>birth</w:t>
      </w:r>
      <w:r>
        <w:rPr>
          <w:rFonts w:ascii="Times New Roman" w:hAnsi="Times New Roman"/>
          <w:sz w:val="22"/>
        </w:rPr>
        <w:t>’</w:t>
      </w:r>
      <w:r w:rsidR="00AA589C" w:rsidRPr="00F04A5A">
        <w:rPr>
          <w:rFonts w:ascii="Times New Roman" w:hAnsi="Times New Roman"/>
          <w:sz w:val="22"/>
        </w:rPr>
        <w:t xml:space="preserve"> includes a birth at which more than one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child is born;</w:t>
      </w:r>
      <w:r>
        <w:rPr>
          <w:rFonts w:ascii="Times New Roman" w:hAnsi="Times New Roman"/>
          <w:sz w:val="22"/>
        </w:rPr>
        <w:t>”</w:t>
      </w:r>
      <w:r w:rsidR="00AA589C" w:rsidRPr="00F04A5A">
        <w:rPr>
          <w:rFonts w:ascii="Times New Roman" w:hAnsi="Times New Roman"/>
          <w:sz w:val="22"/>
        </w:rPr>
        <w:t>; and</w:t>
      </w:r>
    </w:p>
    <w:p w:rsidR="00AF70DD" w:rsidRDefault="00853EF4" w:rsidP="00AF70D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AA589C" w:rsidRPr="00F04A5A" w:rsidRDefault="00AA589C" w:rsidP="000C2933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lastRenderedPageBreak/>
        <w:t>(</w:t>
      </w:r>
      <w:r w:rsidR="00072065" w:rsidRPr="00F04A5A">
        <w:rPr>
          <w:rFonts w:ascii="Times New Roman" w:hAnsi="Times New Roman"/>
          <w:i/>
          <w:sz w:val="22"/>
        </w:rPr>
        <w:t>b</w:t>
      </w:r>
      <w:r w:rsidRPr="00F04A5A">
        <w:rPr>
          <w:rFonts w:ascii="Times New Roman" w:hAnsi="Times New Roman"/>
          <w:sz w:val="22"/>
        </w:rPr>
        <w:t xml:space="preserve">) by omitting from the definition of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other children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 xml:space="preserve"> the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 xml:space="preserve">word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fourteen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 xml:space="preserve"> and inserting in its stead the word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sixteen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>.</w:t>
      </w:r>
    </w:p>
    <w:p w:rsidR="00072065" w:rsidRPr="00122508" w:rsidRDefault="00072065" w:rsidP="00122508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122508">
        <w:rPr>
          <w:rFonts w:ascii="Times New Roman" w:hAnsi="Times New Roman" w:cs="Times New Roman"/>
          <w:b/>
          <w:sz w:val="20"/>
        </w:rPr>
        <w:t>Maternity</w:t>
      </w:r>
      <w:r w:rsidR="00DE0625" w:rsidRPr="00122508">
        <w:rPr>
          <w:rFonts w:ascii="Times New Roman" w:hAnsi="Times New Roman" w:cs="Times New Roman"/>
          <w:b/>
          <w:sz w:val="20"/>
        </w:rPr>
        <w:t xml:space="preserve"> </w:t>
      </w:r>
      <w:r w:rsidRPr="00122508">
        <w:rPr>
          <w:rFonts w:ascii="Times New Roman" w:hAnsi="Times New Roman" w:cs="Times New Roman"/>
          <w:b/>
          <w:sz w:val="20"/>
        </w:rPr>
        <w:t>allowance.</w:t>
      </w:r>
    </w:p>
    <w:p w:rsidR="00AA589C" w:rsidRPr="00F04A5A" w:rsidRDefault="00072065" w:rsidP="00C368C8">
      <w:pPr>
        <w:widowControl/>
        <w:tabs>
          <w:tab w:val="left" w:pos="720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b/>
          <w:sz w:val="22"/>
        </w:rPr>
        <w:t>4.</w:t>
      </w:r>
      <w:r w:rsidR="008478ED">
        <w:rPr>
          <w:rFonts w:ascii="Times New Roman" w:hAnsi="Times New Roman"/>
          <w:b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Section four of the Principal Act is amended by inserting after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sub-section (2.) the following sub-section:—</w:t>
      </w:r>
    </w:p>
    <w:p w:rsidR="00AA589C" w:rsidRPr="00F04A5A" w:rsidRDefault="00B729C5" w:rsidP="004E755F">
      <w:pPr>
        <w:widowControl/>
        <w:tabs>
          <w:tab w:val="left" w:pos="1080"/>
        </w:tabs>
        <w:spacing w:before="60"/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AA589C" w:rsidRPr="00F04A5A">
        <w:rPr>
          <w:rFonts w:ascii="Times New Roman" w:hAnsi="Times New Roman"/>
          <w:sz w:val="22"/>
        </w:rPr>
        <w:t>(2</w:t>
      </w:r>
      <w:r w:rsidR="00AA589C" w:rsidRPr="001D3D27">
        <w:rPr>
          <w:rFonts w:ascii="Times New Roman" w:hAnsi="Times New Roman"/>
          <w:smallCaps/>
          <w:sz w:val="22"/>
        </w:rPr>
        <w:t>a</w:t>
      </w:r>
      <w:r w:rsidR="00AA589C" w:rsidRPr="00F04A5A">
        <w:rPr>
          <w:rFonts w:ascii="Times New Roman" w:hAnsi="Times New Roman"/>
          <w:sz w:val="22"/>
        </w:rPr>
        <w:t>.)</w:t>
      </w:r>
      <w:r w:rsidR="00D10B79">
        <w:rPr>
          <w:rFonts w:ascii="Times New Roman" w:hAnsi="Times New Roman"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Where two or three children are born at one birth, the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amount payable in respect of each of the four, weeks immediately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before, and in respect of each of the four weeks immediately after,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the birth shall be increased—</w:t>
      </w:r>
    </w:p>
    <w:p w:rsidR="00AA589C" w:rsidRPr="00F04A5A" w:rsidRDefault="00AA589C" w:rsidP="000C6E0D">
      <w:pPr>
        <w:spacing w:before="60"/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a</w:t>
      </w:r>
      <w:r w:rsidRPr="00F04A5A">
        <w:rPr>
          <w:rFonts w:ascii="Times New Roman" w:hAnsi="Times New Roman"/>
          <w:sz w:val="22"/>
        </w:rPr>
        <w:t>)</w:t>
      </w:r>
      <w:r w:rsidR="00072065" w:rsidRPr="00F04A5A">
        <w:rPr>
          <w:rFonts w:ascii="Times New Roman" w:hAnsi="Times New Roman"/>
          <w:i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where two children are born at one birth—by Twelve shillings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and sixpence per week; and</w:t>
      </w:r>
    </w:p>
    <w:p w:rsidR="00AA589C" w:rsidRPr="00F04A5A" w:rsidRDefault="00AA589C" w:rsidP="00900161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b</w:t>
      </w:r>
      <w:r w:rsidRPr="00F04A5A">
        <w:rPr>
          <w:rFonts w:ascii="Times New Roman" w:hAnsi="Times New Roman"/>
          <w:sz w:val="22"/>
        </w:rPr>
        <w:t>) where three children are born at one birth—by Twenty-five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shillings per week.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>.</w:t>
      </w:r>
    </w:p>
    <w:p w:rsidR="00AA589C" w:rsidRPr="00F04A5A" w:rsidRDefault="00072065" w:rsidP="000C6E0D">
      <w:pPr>
        <w:widowControl/>
        <w:tabs>
          <w:tab w:val="left" w:pos="720"/>
        </w:tabs>
        <w:spacing w:before="60"/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b/>
          <w:sz w:val="22"/>
        </w:rPr>
        <w:t>5.</w:t>
      </w:r>
      <w:r w:rsidR="00BC15B2">
        <w:rPr>
          <w:rFonts w:ascii="Times New Roman" w:hAnsi="Times New Roman"/>
          <w:b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Section five of the Principal Act is repealed and the following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section inserted in its stead:—</w:t>
      </w:r>
    </w:p>
    <w:p w:rsidR="00072065" w:rsidRPr="000B2B28" w:rsidRDefault="00072065" w:rsidP="000B2B28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B2B28">
        <w:rPr>
          <w:rFonts w:ascii="Times New Roman" w:hAnsi="Times New Roman" w:cs="Times New Roman"/>
          <w:b/>
          <w:sz w:val="20"/>
        </w:rPr>
        <w:t>Cases in which</w:t>
      </w:r>
      <w:r w:rsidR="00DE0625" w:rsidRPr="000B2B28">
        <w:rPr>
          <w:rFonts w:ascii="Times New Roman" w:hAnsi="Times New Roman" w:cs="Times New Roman"/>
          <w:b/>
          <w:sz w:val="20"/>
        </w:rPr>
        <w:t xml:space="preserve"> </w:t>
      </w:r>
      <w:r w:rsidRPr="000B2B28">
        <w:rPr>
          <w:rFonts w:ascii="Times New Roman" w:hAnsi="Times New Roman" w:cs="Times New Roman"/>
          <w:b/>
          <w:sz w:val="20"/>
        </w:rPr>
        <w:t>allowance</w:t>
      </w:r>
      <w:r w:rsidR="00DE0625" w:rsidRPr="000B2B28">
        <w:rPr>
          <w:rFonts w:ascii="Times New Roman" w:hAnsi="Times New Roman" w:cs="Times New Roman"/>
          <w:b/>
          <w:sz w:val="20"/>
        </w:rPr>
        <w:t xml:space="preserve"> </w:t>
      </w:r>
      <w:r w:rsidRPr="000B2B28">
        <w:rPr>
          <w:rFonts w:ascii="Times New Roman" w:hAnsi="Times New Roman" w:cs="Times New Roman"/>
          <w:b/>
          <w:sz w:val="20"/>
        </w:rPr>
        <w:t>payable.</w:t>
      </w:r>
    </w:p>
    <w:p w:rsidR="00AA589C" w:rsidRPr="00F04A5A" w:rsidRDefault="00B729C5" w:rsidP="00AF70DD">
      <w:pPr>
        <w:widowControl/>
        <w:tabs>
          <w:tab w:val="left" w:pos="1440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AA589C" w:rsidRPr="00F04A5A">
        <w:rPr>
          <w:rFonts w:ascii="Times New Roman" w:hAnsi="Times New Roman"/>
          <w:sz w:val="22"/>
        </w:rPr>
        <w:t>5.—(1.)</w:t>
      </w:r>
      <w:r w:rsidR="008341FD">
        <w:rPr>
          <w:rFonts w:ascii="Times New Roman" w:hAnsi="Times New Roman"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A maternity allowance shall be payable in respect of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each occasion on which a birth occurs and—</w:t>
      </w:r>
    </w:p>
    <w:p w:rsidR="00AA589C" w:rsidRPr="00F04A5A" w:rsidRDefault="00AA589C" w:rsidP="0016598B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a</w:t>
      </w:r>
      <w:r w:rsidRPr="00F04A5A">
        <w:rPr>
          <w:rFonts w:ascii="Times New Roman" w:hAnsi="Times New Roman"/>
          <w:sz w:val="22"/>
        </w:rPr>
        <w:t>) a child is born alive and—</w:t>
      </w:r>
    </w:p>
    <w:p w:rsidR="00AA589C" w:rsidRPr="00F04A5A" w:rsidRDefault="00AA589C" w:rsidP="00AF70DD">
      <w:pPr>
        <w:widowControl/>
        <w:ind w:left="187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proofErr w:type="spellStart"/>
      <w:r w:rsidRPr="00F04A5A">
        <w:rPr>
          <w:rFonts w:ascii="Times New Roman" w:hAnsi="Times New Roman"/>
          <w:sz w:val="22"/>
        </w:rPr>
        <w:t>i</w:t>
      </w:r>
      <w:proofErr w:type="spellEnd"/>
      <w:r w:rsidRPr="00F04A5A">
        <w:rPr>
          <w:rFonts w:ascii="Times New Roman" w:hAnsi="Times New Roman"/>
          <w:sz w:val="22"/>
        </w:rPr>
        <w:t>) lives for not less than twelve hours; or</w:t>
      </w:r>
    </w:p>
    <w:p w:rsidR="00AA589C" w:rsidRPr="00F04A5A" w:rsidRDefault="00AA589C" w:rsidP="00AF70DD">
      <w:pPr>
        <w:widowControl/>
        <w:ind w:left="187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(ii) lives for less than twelve hours but is a viable child;</w:t>
      </w:r>
      <w:r w:rsidR="001D3DEF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or</w:t>
      </w:r>
    </w:p>
    <w:p w:rsidR="00AA589C" w:rsidRPr="00F04A5A" w:rsidRDefault="00AA589C" w:rsidP="0016598B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b</w:t>
      </w:r>
      <w:r w:rsidRPr="00F04A5A">
        <w:rPr>
          <w:rFonts w:ascii="Times New Roman" w:hAnsi="Times New Roman"/>
          <w:sz w:val="22"/>
        </w:rPr>
        <w:t>) a child is not born alive but is a viable child.</w:t>
      </w:r>
    </w:p>
    <w:p w:rsidR="00AA589C" w:rsidRPr="00F04A5A" w:rsidRDefault="00B729C5" w:rsidP="00AC4E3D">
      <w:pPr>
        <w:widowControl/>
        <w:tabs>
          <w:tab w:val="left" w:pos="999"/>
        </w:tabs>
        <w:spacing w:before="60"/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AA589C" w:rsidRPr="00F04A5A">
        <w:rPr>
          <w:rFonts w:ascii="Times New Roman" w:hAnsi="Times New Roman"/>
          <w:sz w:val="22"/>
        </w:rPr>
        <w:t>(2.)</w:t>
      </w:r>
      <w:r w:rsidR="00081E9C">
        <w:rPr>
          <w:rFonts w:ascii="Times New Roman" w:hAnsi="Times New Roman"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Where more than one child is born at a birth, only one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allowance shall be payable.</w:t>
      </w:r>
    </w:p>
    <w:p w:rsidR="00AA589C" w:rsidRPr="00F04A5A" w:rsidRDefault="00B729C5" w:rsidP="00AC4E3D">
      <w:pPr>
        <w:widowControl/>
        <w:tabs>
          <w:tab w:val="left" w:pos="999"/>
        </w:tabs>
        <w:spacing w:before="60"/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AA589C" w:rsidRPr="00F04A5A">
        <w:rPr>
          <w:rFonts w:ascii="Times New Roman" w:hAnsi="Times New Roman"/>
          <w:sz w:val="22"/>
        </w:rPr>
        <w:t>(3.)</w:t>
      </w:r>
      <w:r w:rsidR="009038A1">
        <w:rPr>
          <w:rFonts w:ascii="Times New Roman" w:hAnsi="Times New Roman"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A maternity allowance shall not be increased in the manner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provided by sub-section (2</w:t>
      </w:r>
      <w:r w:rsidR="00AA589C" w:rsidRPr="00357006">
        <w:rPr>
          <w:rFonts w:ascii="Times New Roman" w:hAnsi="Times New Roman"/>
          <w:smallCaps/>
          <w:sz w:val="22"/>
        </w:rPr>
        <w:t>a</w:t>
      </w:r>
      <w:r w:rsidR="00AA589C" w:rsidRPr="00F04A5A">
        <w:rPr>
          <w:rFonts w:ascii="Times New Roman" w:hAnsi="Times New Roman"/>
          <w:sz w:val="22"/>
        </w:rPr>
        <w:t>.) of the last preceding section by reason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of the birth of any child unless that child—</w:t>
      </w:r>
    </w:p>
    <w:p w:rsidR="00AA589C" w:rsidRPr="00F04A5A" w:rsidRDefault="00AA589C" w:rsidP="00AC4E3D">
      <w:pPr>
        <w:spacing w:before="60"/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a</w:t>
      </w:r>
      <w:r w:rsidRPr="00F04A5A">
        <w:rPr>
          <w:rFonts w:ascii="Times New Roman" w:hAnsi="Times New Roman"/>
          <w:sz w:val="22"/>
        </w:rPr>
        <w:t>)</w:t>
      </w:r>
      <w:r w:rsidR="00072065" w:rsidRPr="00F04A5A">
        <w:rPr>
          <w:rFonts w:ascii="Times New Roman" w:hAnsi="Times New Roman"/>
          <w:i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was born alive and—</w:t>
      </w:r>
    </w:p>
    <w:p w:rsidR="00AA589C" w:rsidRPr="00F04A5A" w:rsidRDefault="00AA589C" w:rsidP="00AF70DD">
      <w:pPr>
        <w:widowControl/>
        <w:ind w:left="187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proofErr w:type="spellStart"/>
      <w:r w:rsidRPr="00F04A5A">
        <w:rPr>
          <w:rFonts w:ascii="Times New Roman" w:hAnsi="Times New Roman"/>
          <w:sz w:val="22"/>
        </w:rPr>
        <w:t>i</w:t>
      </w:r>
      <w:proofErr w:type="spellEnd"/>
      <w:r w:rsidRPr="00F04A5A">
        <w:rPr>
          <w:rFonts w:ascii="Times New Roman" w:hAnsi="Times New Roman"/>
          <w:sz w:val="22"/>
        </w:rPr>
        <w:t>) lived for not less than twelve hours; or</w:t>
      </w:r>
    </w:p>
    <w:p w:rsidR="00AA589C" w:rsidRPr="00F04A5A" w:rsidRDefault="00AA589C" w:rsidP="00AF70DD">
      <w:pPr>
        <w:widowControl/>
        <w:ind w:left="187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(ii) lived for less than twelve hours but was a viable</w:t>
      </w:r>
      <w:r w:rsidR="00EF07F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child; or</w:t>
      </w:r>
    </w:p>
    <w:p w:rsidR="00AA589C" w:rsidRPr="00F04A5A" w:rsidRDefault="00AA589C" w:rsidP="0016598B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b</w:t>
      </w:r>
      <w:r w:rsidRPr="00F04A5A">
        <w:rPr>
          <w:rFonts w:ascii="Times New Roman" w:hAnsi="Times New Roman"/>
          <w:sz w:val="22"/>
        </w:rPr>
        <w:t>) was not born alive but was a viable child.</w:t>
      </w:r>
    </w:p>
    <w:p w:rsidR="00AA589C" w:rsidRPr="00F04A5A" w:rsidRDefault="00B729C5" w:rsidP="00AC4E3D">
      <w:pPr>
        <w:widowControl/>
        <w:tabs>
          <w:tab w:val="left" w:pos="999"/>
        </w:tabs>
        <w:spacing w:before="60"/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AA589C" w:rsidRPr="00F04A5A">
        <w:rPr>
          <w:rFonts w:ascii="Times New Roman" w:hAnsi="Times New Roman"/>
          <w:sz w:val="22"/>
        </w:rPr>
        <w:t>(4.)</w:t>
      </w:r>
      <w:r w:rsidR="00D42DB9">
        <w:rPr>
          <w:rFonts w:ascii="Times New Roman" w:hAnsi="Times New Roman"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Subject to the next succeeding sub-section, where a child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dies within twelve hours after birth or is not born alive, a maternity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allowance shall not be payable, or be increased, as the case may be,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in respect of the birth of that child, unless a medical certificate is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furnished certifying that the child was a viable child.</w:t>
      </w:r>
    </w:p>
    <w:p w:rsidR="0060635C" w:rsidRDefault="00B729C5" w:rsidP="00AC4E3D">
      <w:pPr>
        <w:widowControl/>
        <w:tabs>
          <w:tab w:val="left" w:pos="999"/>
        </w:tabs>
        <w:spacing w:before="60"/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AA589C" w:rsidRPr="00F04A5A">
        <w:rPr>
          <w:rFonts w:ascii="Times New Roman" w:hAnsi="Times New Roman"/>
          <w:sz w:val="22"/>
        </w:rPr>
        <w:t>(5.)</w:t>
      </w:r>
      <w:r w:rsidR="00470A30">
        <w:rPr>
          <w:rFonts w:ascii="Times New Roman" w:hAnsi="Times New Roman"/>
          <w:sz w:val="22"/>
        </w:rPr>
        <w:tab/>
      </w:r>
      <w:r w:rsidR="00AA589C" w:rsidRPr="00F04A5A">
        <w:rPr>
          <w:rFonts w:ascii="Times New Roman" w:hAnsi="Times New Roman"/>
          <w:sz w:val="22"/>
        </w:rPr>
        <w:t>Where the Commissioner is satisfied that no medical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practitioner was available to attend the mother and is satisfied by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evidence that the child lived for not less than twelve hours or was a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viable child, he may dispense with any medical certificate required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by the last preceding sub-section.</w:t>
      </w:r>
      <w:r>
        <w:rPr>
          <w:rFonts w:ascii="Times New Roman" w:hAnsi="Times New Roman"/>
          <w:sz w:val="22"/>
        </w:rPr>
        <w:t>”</w:t>
      </w:r>
      <w:r w:rsidR="00AA589C" w:rsidRPr="00F04A5A">
        <w:rPr>
          <w:rFonts w:ascii="Times New Roman" w:hAnsi="Times New Roman"/>
          <w:sz w:val="22"/>
        </w:rPr>
        <w:t>.</w:t>
      </w:r>
    </w:p>
    <w:p w:rsidR="00AF70DD" w:rsidRDefault="0060635C" w:rsidP="00A54F3D">
      <w:pPr>
        <w:widowControl/>
        <w:tabs>
          <w:tab w:val="left" w:pos="1170"/>
        </w:tabs>
        <w:spacing w:before="120"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072065" w:rsidRPr="00A54F3D" w:rsidRDefault="00072065" w:rsidP="00A54F3D">
      <w:pPr>
        <w:widowControl/>
        <w:tabs>
          <w:tab w:val="left" w:pos="1170"/>
        </w:tabs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A54F3D">
        <w:rPr>
          <w:rFonts w:ascii="Times New Roman" w:hAnsi="Times New Roman" w:cs="Times New Roman"/>
          <w:b/>
          <w:sz w:val="20"/>
        </w:rPr>
        <w:lastRenderedPageBreak/>
        <w:t>Time of</w:t>
      </w:r>
      <w:r w:rsidR="00DE0625" w:rsidRPr="00A54F3D">
        <w:rPr>
          <w:rFonts w:ascii="Times New Roman" w:hAnsi="Times New Roman" w:cs="Times New Roman"/>
          <w:b/>
          <w:sz w:val="20"/>
        </w:rPr>
        <w:t xml:space="preserve"> </w:t>
      </w:r>
      <w:r w:rsidRPr="00A54F3D">
        <w:rPr>
          <w:rFonts w:ascii="Times New Roman" w:hAnsi="Times New Roman" w:cs="Times New Roman"/>
          <w:b/>
          <w:sz w:val="20"/>
        </w:rPr>
        <w:t>payment.</w:t>
      </w:r>
    </w:p>
    <w:p w:rsidR="00AA589C" w:rsidRPr="00F04A5A" w:rsidRDefault="00072065" w:rsidP="0087199A">
      <w:pPr>
        <w:widowControl/>
        <w:tabs>
          <w:tab w:val="left" w:pos="738"/>
          <w:tab w:val="left" w:pos="900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b/>
          <w:sz w:val="22"/>
        </w:rPr>
        <w:t>6.</w:t>
      </w:r>
      <w:r w:rsidR="002F11D0">
        <w:rPr>
          <w:rFonts w:ascii="Times New Roman" w:hAnsi="Times New Roman"/>
          <w:b/>
          <w:sz w:val="22"/>
        </w:rPr>
        <w:tab/>
      </w:r>
      <w:r w:rsidR="00AA589C" w:rsidRPr="00F04A5A">
        <w:rPr>
          <w:rFonts w:ascii="Times New Roman" w:hAnsi="Times New Roman"/>
          <w:sz w:val="22"/>
        </w:rPr>
        <w:t xml:space="preserve">Section seven </w:t>
      </w:r>
      <w:r w:rsidRPr="006C15CF">
        <w:rPr>
          <w:rFonts w:ascii="Times New Roman" w:hAnsi="Times New Roman"/>
          <w:smallCaps/>
          <w:sz w:val="22"/>
        </w:rPr>
        <w:t>a</w:t>
      </w:r>
      <w:r w:rsidRPr="006C15CF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of the Principal Act is amended by omitting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 xml:space="preserve">the words </w:t>
      </w:r>
      <w:r w:rsidR="00B729C5">
        <w:rPr>
          <w:rFonts w:ascii="Times New Roman" w:hAnsi="Times New Roman"/>
          <w:sz w:val="22"/>
        </w:rPr>
        <w:t>“</w:t>
      </w:r>
      <w:r w:rsidR="00AA589C" w:rsidRPr="00F04A5A">
        <w:rPr>
          <w:rFonts w:ascii="Times New Roman" w:hAnsi="Times New Roman"/>
          <w:sz w:val="22"/>
        </w:rPr>
        <w:t>of the child</w:t>
      </w:r>
      <w:r w:rsidR="00B729C5">
        <w:rPr>
          <w:rFonts w:ascii="Times New Roman" w:hAnsi="Times New Roman"/>
          <w:sz w:val="22"/>
        </w:rPr>
        <w:t>”</w:t>
      </w:r>
      <w:r w:rsidR="00AA589C" w:rsidRPr="00F04A5A">
        <w:rPr>
          <w:rFonts w:ascii="Times New Roman" w:hAnsi="Times New Roman"/>
          <w:sz w:val="22"/>
        </w:rPr>
        <w:t xml:space="preserve"> (wherever occurring).</w:t>
      </w:r>
    </w:p>
    <w:p w:rsidR="00072065" w:rsidRPr="006C007A" w:rsidRDefault="00072065" w:rsidP="006C007A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6C007A">
        <w:rPr>
          <w:rFonts w:ascii="Times New Roman" w:hAnsi="Times New Roman" w:cs="Times New Roman"/>
          <w:b/>
          <w:sz w:val="20"/>
        </w:rPr>
        <w:t>Payment of</w:t>
      </w:r>
      <w:r w:rsidR="00DE0625" w:rsidRPr="006C007A">
        <w:rPr>
          <w:rFonts w:ascii="Times New Roman" w:hAnsi="Times New Roman" w:cs="Times New Roman"/>
          <w:b/>
          <w:sz w:val="20"/>
        </w:rPr>
        <w:t xml:space="preserve"> </w:t>
      </w:r>
      <w:r w:rsidRPr="006C007A">
        <w:rPr>
          <w:rFonts w:ascii="Times New Roman" w:hAnsi="Times New Roman" w:cs="Times New Roman"/>
          <w:b/>
          <w:sz w:val="20"/>
        </w:rPr>
        <w:t>allowances to</w:t>
      </w:r>
      <w:r w:rsidR="00DE0625" w:rsidRPr="006C007A">
        <w:rPr>
          <w:rFonts w:ascii="Times New Roman" w:hAnsi="Times New Roman" w:cs="Times New Roman"/>
          <w:b/>
          <w:sz w:val="20"/>
        </w:rPr>
        <w:t xml:space="preserve"> </w:t>
      </w:r>
      <w:r w:rsidRPr="006C007A">
        <w:rPr>
          <w:rFonts w:ascii="Times New Roman" w:hAnsi="Times New Roman" w:cs="Times New Roman"/>
          <w:b/>
          <w:sz w:val="20"/>
        </w:rPr>
        <w:t>aboriginal</w:t>
      </w:r>
      <w:r w:rsidR="00DE0625" w:rsidRPr="006C007A">
        <w:rPr>
          <w:rFonts w:ascii="Times New Roman" w:hAnsi="Times New Roman" w:cs="Times New Roman"/>
          <w:b/>
          <w:sz w:val="20"/>
        </w:rPr>
        <w:t xml:space="preserve"> </w:t>
      </w:r>
      <w:r w:rsidRPr="006C007A">
        <w:rPr>
          <w:rFonts w:ascii="Times New Roman" w:hAnsi="Times New Roman" w:cs="Times New Roman"/>
          <w:b/>
          <w:sz w:val="20"/>
        </w:rPr>
        <w:t>natives, &amp;c.</w:t>
      </w:r>
    </w:p>
    <w:p w:rsidR="00AA589C" w:rsidRPr="00F04A5A" w:rsidRDefault="00072065" w:rsidP="0087199A">
      <w:pPr>
        <w:widowControl/>
        <w:tabs>
          <w:tab w:val="left" w:pos="738"/>
        </w:tabs>
        <w:ind w:firstLine="432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b/>
          <w:sz w:val="22"/>
        </w:rPr>
        <w:t>7.</w:t>
      </w:r>
      <w:r w:rsidR="002976AF">
        <w:rPr>
          <w:rFonts w:ascii="Times New Roman" w:hAnsi="Times New Roman"/>
          <w:b/>
          <w:sz w:val="22"/>
        </w:rPr>
        <w:tab/>
      </w:r>
      <w:r w:rsidR="00AA589C" w:rsidRPr="00F04A5A">
        <w:rPr>
          <w:rFonts w:ascii="Times New Roman" w:hAnsi="Times New Roman"/>
          <w:sz w:val="22"/>
        </w:rPr>
        <w:t xml:space="preserve">Section nine </w:t>
      </w:r>
      <w:r w:rsidRPr="006C15CF">
        <w:rPr>
          <w:rFonts w:ascii="Times New Roman" w:hAnsi="Times New Roman"/>
          <w:smallCaps/>
          <w:sz w:val="22"/>
        </w:rPr>
        <w:t>a</w:t>
      </w:r>
      <w:r w:rsidRPr="006C15CF">
        <w:rPr>
          <w:rFonts w:ascii="Times New Roman" w:hAnsi="Times New Roman"/>
          <w:sz w:val="22"/>
        </w:rPr>
        <w:t xml:space="preserve"> </w:t>
      </w:r>
      <w:r w:rsidR="00AA589C" w:rsidRPr="00F04A5A">
        <w:rPr>
          <w:rFonts w:ascii="Times New Roman" w:hAnsi="Times New Roman"/>
          <w:sz w:val="22"/>
        </w:rPr>
        <w:t>of the Principal Act is amended—</w:t>
      </w:r>
    </w:p>
    <w:p w:rsidR="00AA589C" w:rsidRPr="00F04A5A" w:rsidRDefault="00AA589C" w:rsidP="0087199A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a</w:t>
      </w:r>
      <w:r w:rsidRPr="00F04A5A">
        <w:rPr>
          <w:rFonts w:ascii="Times New Roman" w:hAnsi="Times New Roman"/>
          <w:sz w:val="22"/>
        </w:rPr>
        <w:t xml:space="preserve">) by inserting after the word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Australia</w:t>
      </w:r>
      <w:r w:rsidR="002269A0">
        <w:rPr>
          <w:rFonts w:ascii="Times New Roman" w:hAnsi="Times New Roman"/>
          <w:sz w:val="22"/>
        </w:rPr>
        <w:t xml:space="preserve">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the words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 xml:space="preserve"> or to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any other person (whether of aboriginal blood or otherwise)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>who resides on an aboriginal station, reserve or settlement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>; and</w:t>
      </w:r>
    </w:p>
    <w:p w:rsidR="00AA589C" w:rsidRDefault="00AA589C" w:rsidP="0087199A">
      <w:pPr>
        <w:ind w:left="1152" w:hanging="576"/>
        <w:jc w:val="both"/>
        <w:rPr>
          <w:rFonts w:ascii="Times New Roman" w:hAnsi="Times New Roman"/>
          <w:sz w:val="22"/>
        </w:rPr>
      </w:pPr>
      <w:r w:rsidRPr="00F04A5A">
        <w:rPr>
          <w:rFonts w:ascii="Times New Roman" w:hAnsi="Times New Roman"/>
          <w:sz w:val="22"/>
        </w:rPr>
        <w:t>(</w:t>
      </w:r>
      <w:r w:rsidR="00072065" w:rsidRPr="00F04A5A">
        <w:rPr>
          <w:rFonts w:ascii="Times New Roman" w:hAnsi="Times New Roman"/>
          <w:i/>
          <w:sz w:val="22"/>
        </w:rPr>
        <w:t>b</w:t>
      </w:r>
      <w:r w:rsidRPr="00F04A5A">
        <w:rPr>
          <w:rFonts w:ascii="Times New Roman" w:hAnsi="Times New Roman"/>
          <w:sz w:val="22"/>
        </w:rPr>
        <w:t xml:space="preserve">) by inserting after the word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native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 xml:space="preserve"> (last occurring) the</w:t>
      </w:r>
      <w:r w:rsidR="00DE0625" w:rsidRPr="00F04A5A">
        <w:rPr>
          <w:rFonts w:ascii="Times New Roman" w:hAnsi="Times New Roman"/>
          <w:sz w:val="22"/>
        </w:rPr>
        <w:t xml:space="preserve"> </w:t>
      </w:r>
      <w:r w:rsidRPr="00F04A5A">
        <w:rPr>
          <w:rFonts w:ascii="Times New Roman" w:hAnsi="Times New Roman"/>
          <w:sz w:val="22"/>
        </w:rPr>
        <w:t xml:space="preserve">words </w:t>
      </w:r>
      <w:r w:rsidR="00B729C5">
        <w:rPr>
          <w:rFonts w:ascii="Times New Roman" w:hAnsi="Times New Roman"/>
          <w:sz w:val="22"/>
        </w:rPr>
        <w:t>“</w:t>
      </w:r>
      <w:r w:rsidRPr="00F04A5A">
        <w:rPr>
          <w:rFonts w:ascii="Times New Roman" w:hAnsi="Times New Roman"/>
          <w:sz w:val="22"/>
        </w:rPr>
        <w:t>or other person</w:t>
      </w:r>
      <w:r w:rsidR="00B729C5">
        <w:rPr>
          <w:rFonts w:ascii="Times New Roman" w:hAnsi="Times New Roman"/>
          <w:sz w:val="22"/>
        </w:rPr>
        <w:t>”</w:t>
      </w:r>
      <w:r w:rsidRPr="00F04A5A">
        <w:rPr>
          <w:rFonts w:ascii="Times New Roman" w:hAnsi="Times New Roman"/>
          <w:sz w:val="22"/>
        </w:rPr>
        <w:t>.</w:t>
      </w:r>
    </w:p>
    <w:p w:rsidR="006520BB" w:rsidRPr="00F04A5A" w:rsidRDefault="006520BB" w:rsidP="001555EE">
      <w:pPr>
        <w:pBdr>
          <w:bottom w:val="single" w:sz="4" w:space="1" w:color="auto"/>
        </w:pBdr>
        <w:spacing w:before="120"/>
        <w:ind w:left="3600" w:right="3600"/>
        <w:jc w:val="center"/>
        <w:rPr>
          <w:rFonts w:ascii="Times New Roman" w:hAnsi="Times New Roman"/>
          <w:sz w:val="22"/>
        </w:rPr>
      </w:pPr>
    </w:p>
    <w:sectPr w:rsidR="006520BB" w:rsidRPr="00F04A5A" w:rsidSect="003A7A18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A0" w:rsidRDefault="004501A0">
      <w:r>
        <w:separator/>
      </w:r>
    </w:p>
  </w:endnote>
  <w:endnote w:type="continuationSeparator" w:id="0">
    <w:p w:rsidR="004501A0" w:rsidRDefault="004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A0" w:rsidRDefault="004501A0">
      <w:r>
        <w:separator/>
      </w:r>
    </w:p>
  </w:footnote>
  <w:footnote w:type="continuationSeparator" w:id="0">
    <w:p w:rsidR="004501A0" w:rsidRDefault="0045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5F" w:rsidRPr="004B4B7B" w:rsidRDefault="00E2275F" w:rsidP="00AF70DD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20"/>
        <w:szCs w:val="20"/>
      </w:rPr>
    </w:pPr>
    <w:r w:rsidRPr="004B4B7B">
      <w:rPr>
        <w:rFonts w:ascii="Times New Roman" w:hAnsi="Times New Roman" w:cs="Times New Roman"/>
        <w:sz w:val="20"/>
        <w:szCs w:val="20"/>
      </w:rPr>
      <w:t>No. 12.</w:t>
    </w:r>
    <w:r w:rsidRPr="004B4B7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4B4B7B">
      <w:rPr>
        <w:rFonts w:ascii="Times New Roman" w:hAnsi="Times New Roman" w:cs="Times New Roman"/>
        <w:i/>
        <w:sz w:val="20"/>
        <w:szCs w:val="20"/>
      </w:rPr>
      <w:t>Maternity Allowance.</w:t>
    </w:r>
    <w:r w:rsidRPr="004B4B7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4B4B7B">
      <w:rPr>
        <w:rFonts w:ascii="Times New Roman" w:hAnsi="Times New Roman" w:cs="Times New Roman"/>
        <w:sz w:val="20"/>
        <w:szCs w:val="20"/>
      </w:rPr>
      <w:t>1944.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5F" w:rsidRPr="00E2275F" w:rsidRDefault="00E2275F">
    <w:pPr>
      <w:pStyle w:val="Header"/>
      <w:rPr>
        <w:rFonts w:ascii="Times New Roman" w:hAnsi="Times New Roman" w:cs="Times New Roman"/>
        <w:sz w:val="20"/>
        <w:szCs w:val="20"/>
      </w:rPr>
    </w:pPr>
    <w:r w:rsidRPr="00E2275F">
      <w:rPr>
        <w:rFonts w:ascii="Times New Roman" w:hAnsi="Times New Roman" w:cs="Times New Roman"/>
        <w:sz w:val="20"/>
        <w:szCs w:val="20"/>
      </w:rPr>
      <w:t>1944.</w:t>
    </w:r>
    <w:r w:rsidRPr="00E2275F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2275F">
      <w:rPr>
        <w:rFonts w:ascii="Times New Roman" w:hAnsi="Times New Roman" w:cs="Times New Roman"/>
        <w:i/>
        <w:sz w:val="20"/>
        <w:szCs w:val="20"/>
      </w:rPr>
      <w:t>Maternity Allowance.</w:t>
    </w:r>
    <w:r w:rsidRPr="00E2275F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2275F">
      <w:rPr>
        <w:rFonts w:ascii="Times New Roman" w:hAnsi="Times New Roman" w:cs="Times New Roman"/>
        <w:sz w:val="20"/>
        <w:szCs w:val="20"/>
      </w:rPr>
      <w:t>No. 12.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67821"/>
    <w:rsid w:val="00025C96"/>
    <w:rsid w:val="00037078"/>
    <w:rsid w:val="00071E12"/>
    <w:rsid w:val="00072065"/>
    <w:rsid w:val="00081E9C"/>
    <w:rsid w:val="00094C38"/>
    <w:rsid w:val="000B2B28"/>
    <w:rsid w:val="000C2933"/>
    <w:rsid w:val="000C6E0D"/>
    <w:rsid w:val="000C79DC"/>
    <w:rsid w:val="000D221E"/>
    <w:rsid w:val="00122508"/>
    <w:rsid w:val="00151114"/>
    <w:rsid w:val="001555EE"/>
    <w:rsid w:val="0016598B"/>
    <w:rsid w:val="00176FC4"/>
    <w:rsid w:val="001A4818"/>
    <w:rsid w:val="001B5F4A"/>
    <w:rsid w:val="001D3D27"/>
    <w:rsid w:val="001D3DEF"/>
    <w:rsid w:val="00223501"/>
    <w:rsid w:val="002269A0"/>
    <w:rsid w:val="00236B34"/>
    <w:rsid w:val="00255FED"/>
    <w:rsid w:val="002772AF"/>
    <w:rsid w:val="00286192"/>
    <w:rsid w:val="002976AF"/>
    <w:rsid w:val="002B3A5C"/>
    <w:rsid w:val="002E6AAB"/>
    <w:rsid w:val="002F11D0"/>
    <w:rsid w:val="00310118"/>
    <w:rsid w:val="0031470F"/>
    <w:rsid w:val="003210EC"/>
    <w:rsid w:val="00323DFA"/>
    <w:rsid w:val="00355F71"/>
    <w:rsid w:val="00357006"/>
    <w:rsid w:val="003613B3"/>
    <w:rsid w:val="00365F86"/>
    <w:rsid w:val="00381CE6"/>
    <w:rsid w:val="003A7A18"/>
    <w:rsid w:val="003B4276"/>
    <w:rsid w:val="003B619F"/>
    <w:rsid w:val="003C015F"/>
    <w:rsid w:val="0041574F"/>
    <w:rsid w:val="00416BBA"/>
    <w:rsid w:val="0044210D"/>
    <w:rsid w:val="004501A0"/>
    <w:rsid w:val="00452EF8"/>
    <w:rsid w:val="00470A30"/>
    <w:rsid w:val="00486D9B"/>
    <w:rsid w:val="004A4DB2"/>
    <w:rsid w:val="004A5709"/>
    <w:rsid w:val="004B4B7B"/>
    <w:rsid w:val="004E755F"/>
    <w:rsid w:val="00506282"/>
    <w:rsid w:val="00564A22"/>
    <w:rsid w:val="00566BE4"/>
    <w:rsid w:val="005B7719"/>
    <w:rsid w:val="005F32B8"/>
    <w:rsid w:val="0060635C"/>
    <w:rsid w:val="00633EFC"/>
    <w:rsid w:val="00640B2C"/>
    <w:rsid w:val="006520BB"/>
    <w:rsid w:val="00682A24"/>
    <w:rsid w:val="006C007A"/>
    <w:rsid w:val="006C15CF"/>
    <w:rsid w:val="006C79AA"/>
    <w:rsid w:val="0075203B"/>
    <w:rsid w:val="007566E2"/>
    <w:rsid w:val="00764C79"/>
    <w:rsid w:val="007923CA"/>
    <w:rsid w:val="008341FD"/>
    <w:rsid w:val="008375CF"/>
    <w:rsid w:val="008478ED"/>
    <w:rsid w:val="00853EF4"/>
    <w:rsid w:val="0086556F"/>
    <w:rsid w:val="0087199A"/>
    <w:rsid w:val="00875679"/>
    <w:rsid w:val="00900161"/>
    <w:rsid w:val="009038A1"/>
    <w:rsid w:val="00912EF7"/>
    <w:rsid w:val="009217B7"/>
    <w:rsid w:val="0099668B"/>
    <w:rsid w:val="009B70F5"/>
    <w:rsid w:val="009C0200"/>
    <w:rsid w:val="009E3561"/>
    <w:rsid w:val="00A07030"/>
    <w:rsid w:val="00A54F3D"/>
    <w:rsid w:val="00AA1B24"/>
    <w:rsid w:val="00AA589C"/>
    <w:rsid w:val="00AB5B7B"/>
    <w:rsid w:val="00AC4E3D"/>
    <w:rsid w:val="00AF70DD"/>
    <w:rsid w:val="00B269EA"/>
    <w:rsid w:val="00B34B11"/>
    <w:rsid w:val="00B729C5"/>
    <w:rsid w:val="00B83137"/>
    <w:rsid w:val="00BC15B2"/>
    <w:rsid w:val="00BE751B"/>
    <w:rsid w:val="00C368C8"/>
    <w:rsid w:val="00C76CD0"/>
    <w:rsid w:val="00CB51CA"/>
    <w:rsid w:val="00D0554B"/>
    <w:rsid w:val="00D10B79"/>
    <w:rsid w:val="00D16B94"/>
    <w:rsid w:val="00D32B62"/>
    <w:rsid w:val="00D42DB9"/>
    <w:rsid w:val="00D44092"/>
    <w:rsid w:val="00D61537"/>
    <w:rsid w:val="00D67821"/>
    <w:rsid w:val="00DA6C2D"/>
    <w:rsid w:val="00DB23ED"/>
    <w:rsid w:val="00DE0625"/>
    <w:rsid w:val="00E2275F"/>
    <w:rsid w:val="00E749D3"/>
    <w:rsid w:val="00ED3374"/>
    <w:rsid w:val="00EE0BAD"/>
    <w:rsid w:val="00EF07FA"/>
    <w:rsid w:val="00F04A5A"/>
    <w:rsid w:val="00F10A12"/>
    <w:rsid w:val="00F23E3E"/>
    <w:rsid w:val="00F4360B"/>
    <w:rsid w:val="00F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7B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B5B7B"/>
  </w:style>
  <w:style w:type="paragraph" w:customStyle="1" w:styleId="Style2">
    <w:name w:val="Style2"/>
    <w:basedOn w:val="Normal"/>
    <w:uiPriority w:val="99"/>
    <w:rsid w:val="00AB5B7B"/>
  </w:style>
  <w:style w:type="paragraph" w:customStyle="1" w:styleId="Style3">
    <w:name w:val="Style3"/>
    <w:basedOn w:val="Normal"/>
    <w:uiPriority w:val="99"/>
    <w:rsid w:val="00AB5B7B"/>
  </w:style>
  <w:style w:type="paragraph" w:customStyle="1" w:styleId="Style4">
    <w:name w:val="Style4"/>
    <w:basedOn w:val="Normal"/>
    <w:uiPriority w:val="99"/>
    <w:rsid w:val="00AB5B7B"/>
  </w:style>
  <w:style w:type="paragraph" w:customStyle="1" w:styleId="Style5">
    <w:name w:val="Style5"/>
    <w:basedOn w:val="Normal"/>
    <w:uiPriority w:val="99"/>
    <w:rsid w:val="00AB5B7B"/>
  </w:style>
  <w:style w:type="paragraph" w:customStyle="1" w:styleId="Style6">
    <w:name w:val="Style6"/>
    <w:basedOn w:val="Normal"/>
    <w:uiPriority w:val="99"/>
    <w:rsid w:val="00AB5B7B"/>
  </w:style>
  <w:style w:type="paragraph" w:customStyle="1" w:styleId="Style7">
    <w:name w:val="Style7"/>
    <w:basedOn w:val="Normal"/>
    <w:uiPriority w:val="99"/>
    <w:rsid w:val="00AB5B7B"/>
  </w:style>
  <w:style w:type="paragraph" w:customStyle="1" w:styleId="Style8">
    <w:name w:val="Style8"/>
    <w:basedOn w:val="Normal"/>
    <w:uiPriority w:val="99"/>
    <w:rsid w:val="00AB5B7B"/>
  </w:style>
  <w:style w:type="paragraph" w:customStyle="1" w:styleId="Style9">
    <w:name w:val="Style9"/>
    <w:basedOn w:val="Normal"/>
    <w:uiPriority w:val="99"/>
    <w:rsid w:val="00AB5B7B"/>
  </w:style>
  <w:style w:type="paragraph" w:customStyle="1" w:styleId="Style10">
    <w:name w:val="Style10"/>
    <w:basedOn w:val="Normal"/>
    <w:uiPriority w:val="99"/>
    <w:rsid w:val="00AB5B7B"/>
  </w:style>
  <w:style w:type="paragraph" w:customStyle="1" w:styleId="Style11">
    <w:name w:val="Style11"/>
    <w:basedOn w:val="Normal"/>
    <w:uiPriority w:val="99"/>
    <w:rsid w:val="00AB5B7B"/>
  </w:style>
  <w:style w:type="paragraph" w:customStyle="1" w:styleId="Style12">
    <w:name w:val="Style12"/>
    <w:basedOn w:val="Normal"/>
    <w:uiPriority w:val="99"/>
    <w:rsid w:val="00AB5B7B"/>
  </w:style>
  <w:style w:type="paragraph" w:customStyle="1" w:styleId="Style13">
    <w:name w:val="Style13"/>
    <w:basedOn w:val="Normal"/>
    <w:uiPriority w:val="99"/>
    <w:rsid w:val="00AB5B7B"/>
  </w:style>
  <w:style w:type="paragraph" w:customStyle="1" w:styleId="Style14">
    <w:name w:val="Style14"/>
    <w:basedOn w:val="Normal"/>
    <w:uiPriority w:val="99"/>
    <w:rsid w:val="00AB5B7B"/>
  </w:style>
  <w:style w:type="paragraph" w:customStyle="1" w:styleId="Style15">
    <w:name w:val="Style15"/>
    <w:basedOn w:val="Normal"/>
    <w:uiPriority w:val="99"/>
    <w:rsid w:val="00AB5B7B"/>
  </w:style>
  <w:style w:type="paragraph" w:customStyle="1" w:styleId="Style16">
    <w:name w:val="Style16"/>
    <w:basedOn w:val="Normal"/>
    <w:uiPriority w:val="99"/>
    <w:rsid w:val="00AB5B7B"/>
  </w:style>
  <w:style w:type="character" w:customStyle="1" w:styleId="FontStyle18">
    <w:name w:val="Font Style18"/>
    <w:basedOn w:val="DefaultParagraphFont"/>
    <w:uiPriority w:val="99"/>
    <w:rsid w:val="00AB5B7B"/>
    <w:rPr>
      <w:rFonts w:ascii="Century Schoolbook" w:hAnsi="Century Schoolbook" w:cs="Century Schoolbook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AB5B7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AB5B7B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AB5B7B"/>
    <w:rPr>
      <w:rFonts w:ascii="Century Schoolbook" w:hAnsi="Century Schoolbook" w:cs="Century Schoolbook"/>
      <w:b/>
      <w:bCs/>
      <w:spacing w:val="1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B5B7B"/>
    <w:rPr>
      <w:rFonts w:ascii="Century Schoolbook" w:hAnsi="Century Schoolbook" w:cs="Century Schoolbook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AB5B7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AB5B7B"/>
    <w:rPr>
      <w:rFonts w:ascii="Times New Roman" w:hAnsi="Times New Roman" w:cs="Times New Roman"/>
      <w:sz w:val="54"/>
      <w:szCs w:val="54"/>
    </w:rPr>
  </w:style>
  <w:style w:type="character" w:customStyle="1" w:styleId="FontStyle25">
    <w:name w:val="Font Style25"/>
    <w:basedOn w:val="DefaultParagraphFont"/>
    <w:uiPriority w:val="99"/>
    <w:rsid w:val="00AB5B7B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26">
    <w:name w:val="Font Style26"/>
    <w:basedOn w:val="DefaultParagraphFont"/>
    <w:uiPriority w:val="99"/>
    <w:rsid w:val="00AB5B7B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27">
    <w:name w:val="Font Style27"/>
    <w:basedOn w:val="DefaultParagraphFont"/>
    <w:uiPriority w:val="99"/>
    <w:rsid w:val="00AB5B7B"/>
    <w:rPr>
      <w:rFonts w:ascii="Century Schoolbook" w:hAnsi="Century Schoolbook" w:cs="Century Schoolbook"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5B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">
    <w:name w:val="Font Style29"/>
    <w:basedOn w:val="DefaultParagraphFont"/>
    <w:uiPriority w:val="99"/>
    <w:rsid w:val="00AB5B7B"/>
    <w:rPr>
      <w:rFonts w:ascii="Century Schoolbook" w:hAnsi="Century Schoolbook" w:cs="Century Schoolbook"/>
      <w:b/>
      <w:bCs/>
      <w:smallCaps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E22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75F"/>
    <w:rPr>
      <w:rFonts w:hAnsi="Century Schoolbook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2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75F"/>
    <w:rPr>
      <w:rFonts w:hAnsi="Century Schoolbook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639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62</cp:revision>
  <dcterms:created xsi:type="dcterms:W3CDTF">2017-04-21T04:50:00Z</dcterms:created>
  <dcterms:modified xsi:type="dcterms:W3CDTF">2018-01-31T21:41:00Z</dcterms:modified>
</cp:coreProperties>
</file>