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31" w:rsidRPr="00D1652A" w:rsidRDefault="00867B31" w:rsidP="00C14CA5">
      <w:pPr>
        <w:pStyle w:val="Heading10"/>
        <w:shd w:val="clear" w:color="auto" w:fill="auto"/>
        <w:spacing w:before="6000" w:line="240" w:lineRule="auto"/>
        <w:outlineLvl w:val="9"/>
        <w:rPr>
          <w:rStyle w:val="Heading1"/>
          <w:rFonts w:ascii="Times New Roman" w:hAnsi="Times New Roman" w:cs="Times New Roman"/>
          <w:color w:val="000000"/>
          <w:sz w:val="36"/>
          <w:szCs w:val="36"/>
          <w:lang w:eastAsia="en-US"/>
        </w:rPr>
      </w:pPr>
      <w:bookmarkStart w:id="0" w:name="bookmark0"/>
      <w:r w:rsidRPr="00D1652A">
        <w:rPr>
          <w:rStyle w:val="Heading1"/>
          <w:rFonts w:ascii="Times New Roman" w:hAnsi="Times New Roman" w:cs="Times New Roman"/>
          <w:color w:val="000000"/>
          <w:sz w:val="36"/>
          <w:szCs w:val="36"/>
          <w:lang w:eastAsia="en-US"/>
        </w:rPr>
        <w:t>STEVEDO</w:t>
      </w:r>
      <w:r w:rsidR="000E050D" w:rsidRPr="00D1652A">
        <w:rPr>
          <w:rStyle w:val="Heading1"/>
          <w:rFonts w:ascii="Times New Roman" w:hAnsi="Times New Roman" w:cs="Times New Roman"/>
          <w:color w:val="000000"/>
          <w:sz w:val="36"/>
          <w:szCs w:val="36"/>
          <w:lang w:eastAsia="en-US"/>
        </w:rPr>
        <w:t>R</w:t>
      </w:r>
      <w:r w:rsidRPr="00D1652A">
        <w:rPr>
          <w:rStyle w:val="Heading1"/>
          <w:rFonts w:ascii="Times New Roman" w:hAnsi="Times New Roman" w:cs="Times New Roman"/>
          <w:color w:val="000000"/>
          <w:sz w:val="36"/>
          <w:szCs w:val="36"/>
          <w:lang w:eastAsia="en-US"/>
        </w:rPr>
        <w:t>I</w:t>
      </w:r>
      <w:r w:rsidR="000E050D" w:rsidRPr="00D1652A">
        <w:rPr>
          <w:rStyle w:val="Heading1"/>
          <w:rFonts w:ascii="Times New Roman" w:hAnsi="Times New Roman" w:cs="Times New Roman"/>
          <w:color w:val="000000"/>
          <w:sz w:val="36"/>
          <w:szCs w:val="36"/>
          <w:lang w:eastAsia="en-US"/>
        </w:rPr>
        <w:t xml:space="preserve">NG </w:t>
      </w:r>
      <w:r w:rsidRPr="00D1652A">
        <w:rPr>
          <w:rStyle w:val="Heading1"/>
          <w:rFonts w:ascii="Times New Roman" w:hAnsi="Times New Roman" w:cs="Times New Roman"/>
          <w:color w:val="000000"/>
          <w:sz w:val="36"/>
          <w:szCs w:val="36"/>
          <w:lang w:eastAsia="en-US"/>
        </w:rPr>
        <w:t>INDUSTRY.</w:t>
      </w:r>
      <w:bookmarkEnd w:id="0"/>
    </w:p>
    <w:p w:rsidR="000E050D" w:rsidRPr="00D1652A" w:rsidRDefault="000E050D" w:rsidP="004A4344">
      <w:pPr>
        <w:pStyle w:val="Heading10"/>
        <w:pBdr>
          <w:bottom w:val="single" w:sz="4" w:space="1" w:color="auto"/>
        </w:pBdr>
        <w:shd w:val="clear" w:color="auto" w:fill="auto"/>
        <w:spacing w:after="120" w:line="240" w:lineRule="auto"/>
        <w:ind w:left="3600" w:right="3600"/>
        <w:outlineLvl w:val="9"/>
        <w:rPr>
          <w:rFonts w:ascii="Times New Roman" w:hAnsi="Times New Roman" w:cs="Times New Roman"/>
          <w:sz w:val="20"/>
          <w:szCs w:val="20"/>
        </w:rPr>
      </w:pPr>
    </w:p>
    <w:p w:rsidR="00867B31" w:rsidRPr="00D1652A" w:rsidRDefault="00867B31" w:rsidP="00A7680D">
      <w:pPr>
        <w:pStyle w:val="Heading20"/>
        <w:shd w:val="clear" w:color="auto" w:fill="auto"/>
        <w:spacing w:after="120" w:line="240" w:lineRule="auto"/>
        <w:outlineLvl w:val="9"/>
        <w:rPr>
          <w:sz w:val="28"/>
          <w:szCs w:val="28"/>
        </w:rPr>
      </w:pPr>
      <w:bookmarkStart w:id="1" w:name="bookmark1"/>
      <w:r w:rsidRPr="00D1652A">
        <w:rPr>
          <w:rStyle w:val="Heading2"/>
          <w:b/>
          <w:bCs/>
          <w:color w:val="000000"/>
          <w:sz w:val="28"/>
          <w:szCs w:val="28"/>
          <w:lang w:eastAsia="en-US"/>
        </w:rPr>
        <w:t>No. 93 of 1957.</w:t>
      </w:r>
      <w:bookmarkEnd w:id="1"/>
    </w:p>
    <w:p w:rsidR="000E050D" w:rsidRPr="00D1652A" w:rsidRDefault="00867B31" w:rsidP="00C14CA5">
      <w:pPr>
        <w:pStyle w:val="Heading30"/>
        <w:shd w:val="clear" w:color="auto" w:fill="auto"/>
        <w:spacing w:after="120" w:line="240" w:lineRule="auto"/>
        <w:ind w:left="360" w:firstLine="0"/>
        <w:jc w:val="center"/>
        <w:outlineLvl w:val="9"/>
        <w:rPr>
          <w:rStyle w:val="Heading3"/>
          <w:color w:val="000000"/>
          <w:lang w:eastAsia="en-US"/>
        </w:rPr>
      </w:pPr>
      <w:bookmarkStart w:id="2" w:name="bookmark2"/>
      <w:r w:rsidRPr="00D1652A">
        <w:rPr>
          <w:rStyle w:val="Heading3"/>
          <w:color w:val="000000"/>
          <w:lang w:eastAsia="en-US"/>
        </w:rPr>
        <w:t>An Act relating to the Stevedoring Industry.</w:t>
      </w:r>
    </w:p>
    <w:p w:rsidR="00867B31" w:rsidRPr="00D1652A" w:rsidRDefault="000E050D" w:rsidP="00B863D9">
      <w:pPr>
        <w:pStyle w:val="Heading30"/>
        <w:shd w:val="clear" w:color="auto" w:fill="auto"/>
        <w:spacing w:after="120" w:line="240" w:lineRule="auto"/>
        <w:ind w:firstLine="0"/>
        <w:jc w:val="right"/>
        <w:outlineLvl w:val="9"/>
      </w:pPr>
      <w:r w:rsidRPr="00D1652A">
        <w:rPr>
          <w:rStyle w:val="Heading3125pt"/>
          <w:color w:val="000000"/>
          <w:sz w:val="26"/>
          <w:szCs w:val="26"/>
          <w:lang w:eastAsia="en-US"/>
        </w:rPr>
        <w:t>[</w:t>
      </w:r>
      <w:r w:rsidR="00867B31" w:rsidRPr="00D1652A">
        <w:rPr>
          <w:rStyle w:val="Heading3125pt"/>
          <w:color w:val="000000"/>
          <w:sz w:val="26"/>
          <w:szCs w:val="26"/>
          <w:lang w:eastAsia="en-US"/>
        </w:rPr>
        <w:t>Assented to 12th December, 1957.]</w:t>
      </w:r>
      <w:bookmarkEnd w:id="2"/>
    </w:p>
    <w:p w:rsidR="00867B31" w:rsidRPr="00C65948" w:rsidRDefault="00867B31" w:rsidP="00A7680D">
      <w:pPr>
        <w:pStyle w:val="Bodytext20"/>
        <w:shd w:val="clear" w:color="auto" w:fill="auto"/>
        <w:spacing w:line="240" w:lineRule="auto"/>
      </w:pPr>
      <w:r w:rsidRPr="00C65948">
        <w:rPr>
          <w:rStyle w:val="Bodytext2"/>
          <w:rFonts w:eastAsia="Gungsuh"/>
          <w:color w:val="000000"/>
          <w:lang w:eastAsia="en-US"/>
        </w:rPr>
        <w:t>B</w:t>
      </w:r>
      <w:r w:rsidRPr="00C65948">
        <w:rPr>
          <w:rStyle w:val="Bodytext2"/>
          <w:color w:val="000000"/>
          <w:lang w:eastAsia="en-US"/>
        </w:rPr>
        <w:t>E it enacted by the Queen’s Most Excellent Majesty, the Senate, and the House of Representatives of the Commonwealth of Australia, as follows:—</w:t>
      </w:r>
    </w:p>
    <w:p w:rsidR="00867B31" w:rsidRPr="00D1652A" w:rsidRDefault="00867B31" w:rsidP="00A7680D">
      <w:pPr>
        <w:pStyle w:val="Bodytext30"/>
        <w:shd w:val="clear" w:color="auto" w:fill="auto"/>
        <w:spacing w:before="120" w:after="60" w:line="240" w:lineRule="auto"/>
        <w:jc w:val="left"/>
        <w:rPr>
          <w:b/>
          <w:bCs/>
          <w:sz w:val="20"/>
          <w:szCs w:val="20"/>
        </w:rPr>
      </w:pPr>
      <w:r w:rsidRPr="00D1652A">
        <w:rPr>
          <w:rStyle w:val="Bodytext3"/>
          <w:b/>
          <w:bCs/>
          <w:color w:val="000000"/>
          <w:sz w:val="20"/>
          <w:szCs w:val="20"/>
          <w:lang w:eastAsia="en-US"/>
        </w:rPr>
        <w:t>Short title and citatio</w:t>
      </w:r>
      <w:r w:rsidR="000E050D" w:rsidRPr="00D1652A">
        <w:rPr>
          <w:rStyle w:val="Bodytext3"/>
          <w:b/>
          <w:bCs/>
          <w:color w:val="000000"/>
          <w:sz w:val="20"/>
          <w:szCs w:val="20"/>
          <w:lang w:eastAsia="en-US"/>
        </w:rPr>
        <w:t>n</w:t>
      </w:r>
      <w:r w:rsidRPr="00D1652A">
        <w:rPr>
          <w:rStyle w:val="Bodytext3"/>
          <w:b/>
          <w:bCs/>
          <w:color w:val="000000"/>
          <w:sz w:val="20"/>
          <w:szCs w:val="20"/>
          <w:lang w:eastAsia="en-US"/>
        </w:rPr>
        <w:t>.</w:t>
      </w:r>
    </w:p>
    <w:p w:rsidR="000E050D" w:rsidRPr="00D1652A" w:rsidRDefault="000E050D" w:rsidP="00B863D9">
      <w:pPr>
        <w:pStyle w:val="BodyText1"/>
        <w:widowControl/>
        <w:shd w:val="clear" w:color="auto" w:fill="auto"/>
        <w:spacing w:line="240" w:lineRule="auto"/>
        <w:ind w:firstLine="432"/>
        <w:jc w:val="both"/>
        <w:rPr>
          <w:rStyle w:val="Bodytext"/>
          <w:color w:val="000000"/>
          <w:lang w:eastAsia="en-US"/>
        </w:rPr>
      </w:pPr>
      <w:r w:rsidRPr="00D1652A">
        <w:rPr>
          <w:rStyle w:val="Bodytext"/>
          <w:b/>
          <w:bCs/>
          <w:color w:val="000000"/>
          <w:lang w:eastAsia="en-US"/>
        </w:rPr>
        <w:t>1.</w:t>
      </w:r>
      <w:r w:rsidR="004A4344" w:rsidRPr="00D1652A">
        <w:rPr>
          <w:rStyle w:val="Bodytext"/>
          <w:color w:val="000000"/>
          <w:lang w:eastAsia="en-US"/>
        </w:rPr>
        <w:t>—</w:t>
      </w:r>
      <w:r w:rsidR="00867B31" w:rsidRPr="00D1652A">
        <w:rPr>
          <w:rStyle w:val="Bodytext"/>
          <w:color w:val="000000"/>
          <w:lang w:eastAsia="en-US"/>
        </w:rPr>
        <w:t xml:space="preserve">(1.) This Act may be cited as the </w:t>
      </w:r>
      <w:r w:rsidR="00867B31" w:rsidRPr="00D1652A">
        <w:rPr>
          <w:rStyle w:val="BodytextItalic"/>
          <w:color w:val="000000"/>
          <w:lang w:eastAsia="en-US"/>
        </w:rPr>
        <w:t>Stevedoring Industry Act</w:t>
      </w:r>
      <w:r w:rsidR="00867B31" w:rsidRPr="00D1652A">
        <w:rPr>
          <w:rStyle w:val="Bodytext"/>
          <w:color w:val="000000"/>
          <w:lang w:eastAsia="en-US"/>
        </w:rPr>
        <w:t xml:space="preserve"> 1957.</w:t>
      </w:r>
    </w:p>
    <w:p w:rsidR="00867B31" w:rsidRPr="00D1652A" w:rsidRDefault="00867B31" w:rsidP="00A7680D">
      <w:pPr>
        <w:pStyle w:val="BodyText1"/>
        <w:shd w:val="clear" w:color="auto" w:fill="auto"/>
        <w:spacing w:line="240" w:lineRule="auto"/>
        <w:ind w:firstLine="431"/>
      </w:pPr>
      <w:r w:rsidRPr="00D1652A">
        <w:br w:type="page"/>
      </w:r>
    </w:p>
    <w:p w:rsidR="00867B31" w:rsidRPr="00D1652A" w:rsidRDefault="00867B31" w:rsidP="00D37253">
      <w:pPr>
        <w:pStyle w:val="BodyText1"/>
        <w:widowControl/>
        <w:shd w:val="clear" w:color="auto" w:fill="auto"/>
        <w:spacing w:after="60" w:line="240" w:lineRule="auto"/>
        <w:ind w:firstLine="432"/>
        <w:jc w:val="both"/>
      </w:pPr>
      <w:r w:rsidRPr="00D1652A">
        <w:rPr>
          <w:rStyle w:val="Bodytext"/>
          <w:color w:val="000000"/>
          <w:lang w:eastAsia="en-US"/>
        </w:rPr>
        <w:lastRenderedPageBreak/>
        <w:t xml:space="preserve">(2.) The </w:t>
      </w:r>
      <w:r w:rsidRPr="00D1652A">
        <w:rPr>
          <w:rStyle w:val="BodytextItalic"/>
          <w:color w:val="000000"/>
          <w:lang w:eastAsia="en-US"/>
        </w:rPr>
        <w:t>Stevedoring Industry Act</w:t>
      </w:r>
      <w:r w:rsidRPr="00D1652A">
        <w:rPr>
          <w:rStyle w:val="Bodytext"/>
          <w:color w:val="000000"/>
          <w:lang w:eastAsia="en-US"/>
        </w:rPr>
        <w:t xml:space="preserve"> 1956 is in this Act referred to as the Principal Act.</w:t>
      </w:r>
    </w:p>
    <w:p w:rsidR="00867B31" w:rsidRPr="00D1652A" w:rsidRDefault="00867B31" w:rsidP="00AE181F">
      <w:pPr>
        <w:pStyle w:val="BodyText1"/>
        <w:widowControl/>
        <w:shd w:val="clear" w:color="auto" w:fill="auto"/>
        <w:spacing w:line="240" w:lineRule="auto"/>
        <w:ind w:firstLine="432"/>
        <w:jc w:val="both"/>
      </w:pPr>
      <w:r w:rsidRPr="00D1652A">
        <w:rPr>
          <w:rStyle w:val="Bodytext"/>
          <w:color w:val="000000"/>
          <w:lang w:eastAsia="en-US"/>
        </w:rPr>
        <w:t xml:space="preserve">(3.) The Principal Act, as amended by this Act, may be cited as the </w:t>
      </w:r>
      <w:r w:rsidRPr="00D1652A">
        <w:rPr>
          <w:rStyle w:val="BodytextItalic"/>
          <w:color w:val="000000"/>
          <w:lang w:eastAsia="en-US"/>
        </w:rPr>
        <w:t>Stevedoring Industry Act</w:t>
      </w:r>
      <w:r w:rsidRPr="00D1652A">
        <w:rPr>
          <w:rStyle w:val="Bodytext"/>
          <w:color w:val="000000"/>
          <w:lang w:eastAsia="en-US"/>
        </w:rPr>
        <w:t xml:space="preserve"> 1956-1957.</w:t>
      </w:r>
    </w:p>
    <w:p w:rsidR="00445A7D" w:rsidRPr="00D1652A" w:rsidRDefault="00445A7D" w:rsidP="00AE181F">
      <w:pPr>
        <w:pStyle w:val="Bodytext30"/>
        <w:widowControl/>
        <w:shd w:val="clear" w:color="auto" w:fill="auto"/>
        <w:spacing w:before="120" w:after="60" w:line="240" w:lineRule="auto"/>
        <w:rPr>
          <w:b/>
          <w:bCs/>
          <w:sz w:val="20"/>
          <w:szCs w:val="20"/>
        </w:rPr>
      </w:pPr>
      <w:r w:rsidRPr="00D1652A">
        <w:rPr>
          <w:rStyle w:val="Bodytext3"/>
          <w:b/>
          <w:bCs/>
          <w:color w:val="000000"/>
          <w:sz w:val="20"/>
          <w:szCs w:val="20"/>
          <w:lang w:eastAsia="en-US"/>
        </w:rPr>
        <w:t>Commencement.</w:t>
      </w:r>
    </w:p>
    <w:p w:rsidR="00867B31" w:rsidRPr="00D1652A" w:rsidRDefault="00445A7D" w:rsidP="00D37253">
      <w:pPr>
        <w:pStyle w:val="BodyText1"/>
        <w:widowControl/>
        <w:shd w:val="clear" w:color="auto" w:fill="auto"/>
        <w:spacing w:after="60" w:line="240" w:lineRule="auto"/>
        <w:ind w:firstLine="432"/>
        <w:jc w:val="both"/>
      </w:pPr>
      <w:r w:rsidRPr="00D1652A">
        <w:rPr>
          <w:rStyle w:val="Bodytext"/>
          <w:b/>
          <w:bCs/>
          <w:color w:val="000000"/>
          <w:lang w:eastAsia="en-US"/>
        </w:rPr>
        <w:t>2.</w:t>
      </w:r>
      <w:r w:rsidR="004A4344" w:rsidRPr="00D1652A">
        <w:rPr>
          <w:rStyle w:val="Bodytext"/>
          <w:color w:val="000000"/>
          <w:lang w:eastAsia="en-US"/>
        </w:rPr>
        <w:t>—</w:t>
      </w:r>
      <w:r w:rsidR="00867B31" w:rsidRPr="00D1652A">
        <w:rPr>
          <w:rStyle w:val="Bodytext"/>
          <w:color w:val="000000"/>
          <w:lang w:eastAsia="en-US"/>
        </w:rPr>
        <w:t>(1.)</w:t>
      </w:r>
      <w:r w:rsidRPr="00D1652A">
        <w:rPr>
          <w:rStyle w:val="Bodytext"/>
          <w:color w:val="000000"/>
          <w:lang w:eastAsia="en-US"/>
        </w:rPr>
        <w:t xml:space="preserve"> </w:t>
      </w:r>
      <w:r w:rsidR="00867B31" w:rsidRPr="00D1652A">
        <w:rPr>
          <w:rStyle w:val="Bodytext"/>
          <w:color w:val="000000"/>
          <w:lang w:eastAsia="en-US"/>
        </w:rPr>
        <w:t>Subject to the next succeeding sub-section, this Act shall come into operation on the day on which it receives the Royal Assent.</w:t>
      </w:r>
    </w:p>
    <w:p w:rsidR="00867B31" w:rsidRPr="00D1652A" w:rsidRDefault="00867B31" w:rsidP="00AE181F">
      <w:pPr>
        <w:pStyle w:val="BodyText1"/>
        <w:widowControl/>
        <w:shd w:val="clear" w:color="auto" w:fill="auto"/>
        <w:spacing w:line="240" w:lineRule="auto"/>
        <w:ind w:firstLine="432"/>
        <w:jc w:val="both"/>
      </w:pPr>
      <w:r w:rsidRPr="00D1652A">
        <w:rPr>
          <w:rStyle w:val="Bodytext"/>
          <w:color w:val="000000"/>
          <w:lang w:eastAsia="en-US"/>
        </w:rPr>
        <w:t xml:space="preserve">(2.) </w:t>
      </w:r>
      <w:bookmarkStart w:id="3" w:name="_GoBack"/>
      <w:r w:rsidRPr="00D1652A">
        <w:rPr>
          <w:rStyle w:val="Bodytext"/>
          <w:color w:val="000000"/>
          <w:lang w:eastAsia="en-US"/>
        </w:rPr>
        <w:t>Sections four and five of this Act shall come into operation on such dates as are respectively fixed by Proclamation.</w:t>
      </w:r>
      <w:bookmarkEnd w:id="3"/>
    </w:p>
    <w:p w:rsidR="00445A7D" w:rsidRPr="00D1652A" w:rsidRDefault="00445A7D" w:rsidP="00AE181F">
      <w:pPr>
        <w:pStyle w:val="Bodytext30"/>
        <w:widowControl/>
        <w:shd w:val="clear" w:color="auto" w:fill="auto"/>
        <w:spacing w:before="120" w:after="60" w:line="240" w:lineRule="auto"/>
        <w:rPr>
          <w:b/>
          <w:bCs/>
          <w:sz w:val="20"/>
          <w:szCs w:val="20"/>
        </w:rPr>
      </w:pPr>
      <w:r w:rsidRPr="00D1652A">
        <w:rPr>
          <w:rStyle w:val="Bodytext3"/>
          <w:b/>
          <w:bCs/>
          <w:color w:val="000000"/>
          <w:sz w:val="20"/>
          <w:szCs w:val="20"/>
          <w:lang w:eastAsia="en-US"/>
        </w:rPr>
        <w:t>Employers’ obligations.</w:t>
      </w:r>
    </w:p>
    <w:p w:rsidR="00867B31" w:rsidRPr="00D1652A" w:rsidRDefault="00445A7D" w:rsidP="00D37253">
      <w:pPr>
        <w:pStyle w:val="BodyText1"/>
        <w:widowControl/>
        <w:shd w:val="clear" w:color="auto" w:fill="auto"/>
        <w:spacing w:after="60" w:line="240" w:lineRule="auto"/>
        <w:ind w:firstLine="432"/>
        <w:jc w:val="both"/>
      </w:pPr>
      <w:r w:rsidRPr="00D1652A">
        <w:rPr>
          <w:rStyle w:val="Bodytext"/>
          <w:b/>
          <w:bCs/>
          <w:color w:val="000000"/>
          <w:lang w:eastAsia="en-US"/>
        </w:rPr>
        <w:t>3.</w:t>
      </w:r>
      <w:r w:rsidRPr="00D1652A">
        <w:rPr>
          <w:rStyle w:val="Bodytext"/>
          <w:color w:val="000000"/>
          <w:lang w:eastAsia="en-US"/>
        </w:rPr>
        <w:t xml:space="preserve"> </w:t>
      </w:r>
      <w:r w:rsidR="00867B31" w:rsidRPr="00D1652A">
        <w:rPr>
          <w:rStyle w:val="Bodytext"/>
          <w:color w:val="000000"/>
          <w:lang w:eastAsia="en-US"/>
        </w:rPr>
        <w:t>Section thirty-three of the Principal Act is amended—</w:t>
      </w:r>
    </w:p>
    <w:p w:rsidR="00867B31" w:rsidRPr="00D1652A" w:rsidRDefault="00445A7D" w:rsidP="00D37253">
      <w:pPr>
        <w:pStyle w:val="BodyText1"/>
        <w:shd w:val="clear" w:color="auto" w:fill="auto"/>
        <w:tabs>
          <w:tab w:val="left" w:pos="770"/>
        </w:tabs>
        <w:spacing w:after="60" w:line="240" w:lineRule="auto"/>
        <w:ind w:left="1080" w:hanging="540"/>
        <w:jc w:val="both"/>
      </w:pPr>
      <w:r w:rsidRPr="00D1652A">
        <w:rPr>
          <w:rStyle w:val="Bodytext"/>
          <w:color w:val="000000"/>
          <w:lang w:eastAsia="en-US"/>
        </w:rPr>
        <w:t>(</w:t>
      </w:r>
      <w:r w:rsidRPr="00D1652A">
        <w:rPr>
          <w:rStyle w:val="Bodytext"/>
          <w:i/>
          <w:iCs/>
          <w:color w:val="000000"/>
          <w:lang w:eastAsia="en-US"/>
        </w:rPr>
        <w:t>a</w:t>
      </w:r>
      <w:r w:rsidRPr="00D1652A">
        <w:rPr>
          <w:rStyle w:val="Bodytext"/>
          <w:color w:val="000000"/>
          <w:lang w:eastAsia="en-US"/>
        </w:rPr>
        <w:t xml:space="preserve">) </w:t>
      </w:r>
      <w:r w:rsidR="00867B31" w:rsidRPr="00D1652A">
        <w:rPr>
          <w:rStyle w:val="Bodytext"/>
          <w:color w:val="000000"/>
          <w:lang w:eastAsia="en-US"/>
        </w:rPr>
        <w:t>by omitting from paragraph (</w:t>
      </w:r>
      <w:r w:rsidR="00867B31" w:rsidRPr="00D1652A">
        <w:rPr>
          <w:rStyle w:val="Bodytext"/>
          <w:i/>
          <w:iCs/>
          <w:color w:val="000000"/>
          <w:lang w:eastAsia="en-US"/>
        </w:rPr>
        <w:t>a</w:t>
      </w:r>
      <w:r w:rsidR="00867B31" w:rsidRPr="00D1652A">
        <w:rPr>
          <w:rStyle w:val="Bodytext"/>
          <w:color w:val="000000"/>
          <w:lang w:eastAsia="en-US"/>
        </w:rPr>
        <w:t>) of sub-section (1.) the</w:t>
      </w:r>
      <w:r w:rsidRPr="00D1652A">
        <w:rPr>
          <w:rStyle w:val="Bodytext"/>
          <w:color w:val="000000"/>
          <w:lang w:eastAsia="en-US"/>
        </w:rPr>
        <w:t xml:space="preserve"> </w:t>
      </w:r>
      <w:r w:rsidR="00867B31" w:rsidRPr="00D1652A">
        <w:rPr>
          <w:rStyle w:val="Bodytext"/>
          <w:color w:val="000000"/>
          <w:lang w:eastAsia="en-US"/>
        </w:rPr>
        <w:t xml:space="preserve">word </w:t>
      </w:r>
      <w:r w:rsidR="004A4344" w:rsidRPr="00D1652A">
        <w:rPr>
          <w:rStyle w:val="Bodytext"/>
          <w:color w:val="000000"/>
          <w:lang w:eastAsia="en-US"/>
        </w:rPr>
        <w:t>“</w:t>
      </w:r>
      <w:r w:rsidR="00867B31" w:rsidRPr="00D1652A">
        <w:rPr>
          <w:rStyle w:val="Bodytext"/>
          <w:color w:val="000000"/>
          <w:lang w:eastAsia="en-US"/>
        </w:rPr>
        <w:t xml:space="preserve">and” and inserting in its stead the word </w:t>
      </w:r>
      <w:r w:rsidR="00867B31" w:rsidRPr="00D1652A">
        <w:rPr>
          <w:rStyle w:val="BodytextSpacing1pt"/>
          <w:color w:val="000000"/>
          <w:lang w:eastAsia="en-US"/>
        </w:rPr>
        <w:t>“or”;</w:t>
      </w:r>
      <w:r w:rsidR="00867B31" w:rsidRPr="00D1652A">
        <w:rPr>
          <w:rStyle w:val="Bodytext"/>
          <w:color w:val="000000"/>
          <w:lang w:eastAsia="en-US"/>
        </w:rPr>
        <w:t xml:space="preserve"> and</w:t>
      </w:r>
    </w:p>
    <w:p w:rsidR="00867B31" w:rsidRPr="00D1652A" w:rsidRDefault="00445A7D" w:rsidP="00D37253">
      <w:pPr>
        <w:pStyle w:val="BodyText1"/>
        <w:shd w:val="clear" w:color="auto" w:fill="auto"/>
        <w:tabs>
          <w:tab w:val="left" w:pos="755"/>
        </w:tabs>
        <w:spacing w:after="60" w:line="240" w:lineRule="auto"/>
        <w:ind w:left="1080" w:hanging="540"/>
        <w:jc w:val="both"/>
      </w:pPr>
      <w:r w:rsidRPr="00D1652A">
        <w:rPr>
          <w:rStyle w:val="Bodytext"/>
          <w:color w:val="000000"/>
          <w:lang w:eastAsia="en-US"/>
        </w:rPr>
        <w:t>(</w:t>
      </w:r>
      <w:r w:rsidRPr="00D1652A">
        <w:rPr>
          <w:rStyle w:val="Bodytext"/>
          <w:i/>
          <w:iCs/>
          <w:color w:val="000000"/>
          <w:lang w:eastAsia="en-US"/>
        </w:rPr>
        <w:t>b</w:t>
      </w:r>
      <w:r w:rsidRPr="00D1652A">
        <w:rPr>
          <w:rStyle w:val="Bodytext"/>
          <w:color w:val="000000"/>
          <w:lang w:eastAsia="en-US"/>
        </w:rPr>
        <w:t xml:space="preserve">) </w:t>
      </w:r>
      <w:r w:rsidR="00867B31" w:rsidRPr="00D1652A">
        <w:rPr>
          <w:rStyle w:val="Bodytext"/>
          <w:color w:val="000000"/>
          <w:lang w:eastAsia="en-US"/>
        </w:rPr>
        <w:t xml:space="preserve">by inserting in paragraph </w:t>
      </w:r>
      <w:r w:rsidR="00867B31" w:rsidRPr="00D1652A">
        <w:rPr>
          <w:rStyle w:val="BodytextItalic"/>
          <w:i w:val="0"/>
          <w:iCs w:val="0"/>
          <w:color w:val="000000"/>
          <w:lang w:eastAsia="en-US"/>
        </w:rPr>
        <w:t>(</w:t>
      </w:r>
      <w:r w:rsidR="00867B31" w:rsidRPr="00D1652A">
        <w:rPr>
          <w:rStyle w:val="BodytextItalic"/>
          <w:color w:val="000000"/>
          <w:lang w:eastAsia="en-US"/>
        </w:rPr>
        <w:t>b</w:t>
      </w:r>
      <w:r w:rsidR="00867B31" w:rsidRPr="00D1652A">
        <w:rPr>
          <w:rStyle w:val="BodytextItalic"/>
          <w:i w:val="0"/>
          <w:iCs w:val="0"/>
          <w:color w:val="000000"/>
          <w:lang w:eastAsia="en-US"/>
        </w:rPr>
        <w:t>)</w:t>
      </w:r>
      <w:r w:rsidR="00867B31" w:rsidRPr="00D1652A">
        <w:rPr>
          <w:rStyle w:val="Bodytext"/>
          <w:color w:val="000000"/>
          <w:lang w:eastAsia="en-US"/>
        </w:rPr>
        <w:t xml:space="preserve"> of sub-section (1.), after</w:t>
      </w:r>
      <w:r w:rsidR="009224FD" w:rsidRPr="00D1652A">
        <w:rPr>
          <w:rStyle w:val="Bodytext"/>
          <w:color w:val="000000"/>
          <w:lang w:eastAsia="en-US"/>
        </w:rPr>
        <w:t xml:space="preserve"> </w:t>
      </w:r>
      <w:r w:rsidR="00867B31" w:rsidRPr="00D1652A">
        <w:rPr>
          <w:rStyle w:val="Bodytext"/>
          <w:color w:val="000000"/>
          <w:lang w:eastAsia="en-US"/>
        </w:rPr>
        <w:t>the word “</w:t>
      </w:r>
      <w:r w:rsidR="00AE181F" w:rsidRPr="00D1652A">
        <w:rPr>
          <w:rStyle w:val="Bodytext"/>
          <w:color w:val="000000"/>
          <w:lang w:eastAsia="en-US"/>
        </w:rPr>
        <w:t>shall</w:t>
      </w:r>
      <w:r w:rsidR="00867B31" w:rsidRPr="00D1652A">
        <w:rPr>
          <w:rStyle w:val="Bodytext"/>
          <w:color w:val="000000"/>
          <w:lang w:eastAsia="en-US"/>
        </w:rPr>
        <w:t>”, the words at all times,”.</w:t>
      </w:r>
    </w:p>
    <w:p w:rsidR="00867B31" w:rsidRPr="00D1652A" w:rsidRDefault="009224FD" w:rsidP="00817CE2">
      <w:pPr>
        <w:pStyle w:val="BodyText1"/>
        <w:widowControl/>
        <w:shd w:val="clear" w:color="auto" w:fill="auto"/>
        <w:spacing w:before="120" w:line="240" w:lineRule="auto"/>
        <w:ind w:firstLine="432"/>
        <w:jc w:val="both"/>
      </w:pPr>
      <w:r w:rsidRPr="00D1652A">
        <w:rPr>
          <w:rStyle w:val="Bodytext"/>
          <w:b/>
          <w:bCs/>
          <w:color w:val="000000"/>
          <w:lang w:eastAsia="en-US"/>
        </w:rPr>
        <w:t>4.</w:t>
      </w:r>
      <w:r w:rsidRPr="00D1652A">
        <w:rPr>
          <w:rStyle w:val="Bodytext"/>
          <w:color w:val="000000"/>
          <w:lang w:eastAsia="en-US"/>
        </w:rPr>
        <w:t xml:space="preserve"> </w:t>
      </w:r>
      <w:r w:rsidR="00867B31" w:rsidRPr="00D1652A">
        <w:rPr>
          <w:rStyle w:val="Bodytext"/>
          <w:color w:val="000000"/>
          <w:lang w:eastAsia="en-US"/>
        </w:rPr>
        <w:t>Section thirty-five of the Principal Act is repealed and the following section inserted in its stead:—</w:t>
      </w:r>
    </w:p>
    <w:p w:rsidR="00867B31" w:rsidRPr="00D1652A" w:rsidRDefault="00867B31" w:rsidP="00AE181F">
      <w:pPr>
        <w:pStyle w:val="Bodytext30"/>
        <w:widowControl/>
        <w:shd w:val="clear" w:color="auto" w:fill="auto"/>
        <w:spacing w:before="120" w:after="60" w:line="240" w:lineRule="auto"/>
        <w:rPr>
          <w:b/>
          <w:bCs/>
          <w:sz w:val="20"/>
          <w:szCs w:val="20"/>
        </w:rPr>
      </w:pPr>
      <w:r w:rsidRPr="00D1652A">
        <w:rPr>
          <w:rStyle w:val="Bodytext3"/>
          <w:b/>
          <w:bCs/>
          <w:color w:val="000000"/>
          <w:sz w:val="20"/>
          <w:szCs w:val="20"/>
          <w:lang w:eastAsia="en-US"/>
        </w:rPr>
        <w:t>Cancellation or suspension of registration of employers.</w:t>
      </w:r>
    </w:p>
    <w:p w:rsidR="00867B31" w:rsidRPr="00D1652A" w:rsidRDefault="00867B31" w:rsidP="00817CE2">
      <w:pPr>
        <w:pStyle w:val="BodyText1"/>
        <w:widowControl/>
        <w:shd w:val="clear" w:color="auto" w:fill="auto"/>
        <w:spacing w:line="240" w:lineRule="auto"/>
        <w:ind w:firstLine="432"/>
        <w:jc w:val="both"/>
      </w:pPr>
      <w:r w:rsidRPr="00D1652A">
        <w:rPr>
          <w:rStyle w:val="Bodytext"/>
          <w:color w:val="000000"/>
          <w:lang w:eastAsia="en-US"/>
        </w:rPr>
        <w:t>“35.—(1.) If the Commission, on the application of the Authority, is satisfied that an employer registered at a port—</w:t>
      </w:r>
    </w:p>
    <w:p w:rsidR="00867B31" w:rsidRPr="00D1652A" w:rsidRDefault="009224FD" w:rsidP="00817CE2">
      <w:pPr>
        <w:pStyle w:val="BodyText1"/>
        <w:shd w:val="clear" w:color="auto" w:fill="auto"/>
        <w:tabs>
          <w:tab w:val="left" w:pos="746"/>
        </w:tabs>
        <w:spacing w:line="240" w:lineRule="auto"/>
        <w:ind w:left="1080" w:hanging="540"/>
        <w:jc w:val="both"/>
      </w:pPr>
      <w:r w:rsidRPr="00D1652A">
        <w:rPr>
          <w:rStyle w:val="Bodytext"/>
          <w:color w:val="000000"/>
          <w:lang w:eastAsia="en-US"/>
        </w:rPr>
        <w:t>(</w:t>
      </w:r>
      <w:r w:rsidRPr="00D1652A">
        <w:rPr>
          <w:rStyle w:val="Bodytext"/>
          <w:i/>
          <w:iCs/>
          <w:color w:val="000000"/>
          <w:lang w:eastAsia="en-US"/>
        </w:rPr>
        <w:t>a</w:t>
      </w:r>
      <w:r w:rsidRPr="00D1652A">
        <w:rPr>
          <w:rStyle w:val="Bodytext"/>
          <w:color w:val="000000"/>
          <w:lang w:eastAsia="en-US"/>
        </w:rPr>
        <w:t xml:space="preserve">) </w:t>
      </w:r>
      <w:r w:rsidR="00867B31" w:rsidRPr="00D1652A">
        <w:rPr>
          <w:rStyle w:val="Bodytext"/>
          <w:color w:val="000000"/>
          <w:lang w:eastAsia="en-US"/>
        </w:rPr>
        <w:t>does not have the means of carrying out stevedoring</w:t>
      </w:r>
      <w:r w:rsidRPr="00D1652A">
        <w:rPr>
          <w:rStyle w:val="Bodytext"/>
          <w:color w:val="000000"/>
          <w:lang w:eastAsia="en-US"/>
        </w:rPr>
        <w:t xml:space="preserve"> </w:t>
      </w:r>
      <w:r w:rsidR="00867B31" w:rsidRPr="00D1652A">
        <w:rPr>
          <w:rStyle w:val="Bodytext"/>
          <w:color w:val="000000"/>
          <w:lang w:eastAsia="en-US"/>
        </w:rPr>
        <w:t>operations at the port in an expeditious, safe and efficient manner or of discharging the duties and obligations of an employer under this Act;</w:t>
      </w:r>
    </w:p>
    <w:p w:rsidR="00867B31" w:rsidRPr="00D1652A" w:rsidRDefault="009224FD" w:rsidP="00817CE2">
      <w:pPr>
        <w:pStyle w:val="BodyText1"/>
        <w:shd w:val="clear" w:color="auto" w:fill="auto"/>
        <w:tabs>
          <w:tab w:val="left" w:pos="770"/>
        </w:tabs>
        <w:spacing w:line="240" w:lineRule="auto"/>
        <w:ind w:left="1080" w:hanging="540"/>
        <w:jc w:val="both"/>
      </w:pPr>
      <w:r w:rsidRPr="00D1652A">
        <w:rPr>
          <w:rStyle w:val="Bodytext"/>
          <w:color w:val="000000"/>
          <w:lang w:eastAsia="en-US"/>
        </w:rPr>
        <w:t>(</w:t>
      </w:r>
      <w:r w:rsidRPr="00D1652A">
        <w:rPr>
          <w:rStyle w:val="Bodytext"/>
          <w:i/>
          <w:iCs/>
          <w:color w:val="000000"/>
          <w:lang w:eastAsia="en-US"/>
        </w:rPr>
        <w:t>b</w:t>
      </w:r>
      <w:r w:rsidRPr="00D1652A">
        <w:rPr>
          <w:rStyle w:val="Bodytext"/>
          <w:color w:val="000000"/>
          <w:lang w:eastAsia="en-US"/>
        </w:rPr>
        <w:t xml:space="preserve">) </w:t>
      </w:r>
      <w:r w:rsidR="00867B31" w:rsidRPr="00D1652A">
        <w:rPr>
          <w:rStyle w:val="Bodytext"/>
          <w:color w:val="000000"/>
          <w:lang w:eastAsia="en-US"/>
        </w:rPr>
        <w:t>has (whether before or after the commencement of this</w:t>
      </w:r>
      <w:r w:rsidRPr="00D1652A">
        <w:rPr>
          <w:rStyle w:val="Bodytext"/>
          <w:color w:val="000000"/>
          <w:lang w:eastAsia="en-US"/>
        </w:rPr>
        <w:t xml:space="preserve"> </w:t>
      </w:r>
      <w:r w:rsidR="00867B31" w:rsidRPr="00D1652A">
        <w:rPr>
          <w:rStyle w:val="Bodytext"/>
          <w:color w:val="000000"/>
          <w:lang w:eastAsia="en-US"/>
        </w:rPr>
        <w:t>section) failed to comply with an order or direction of the Authority under this Act or an award of the Commission; or</w:t>
      </w:r>
    </w:p>
    <w:p w:rsidR="00867B31" w:rsidRPr="00D1652A" w:rsidRDefault="009224FD" w:rsidP="00817CE2">
      <w:pPr>
        <w:pStyle w:val="BodyText1"/>
        <w:shd w:val="clear" w:color="auto" w:fill="auto"/>
        <w:tabs>
          <w:tab w:val="left" w:pos="755"/>
        </w:tabs>
        <w:spacing w:line="240" w:lineRule="auto"/>
        <w:ind w:left="1080" w:hanging="540"/>
        <w:jc w:val="both"/>
      </w:pPr>
      <w:r w:rsidRPr="00D1652A">
        <w:rPr>
          <w:rStyle w:val="Bodytext"/>
          <w:color w:val="000000"/>
          <w:lang w:eastAsia="en-US"/>
        </w:rPr>
        <w:t>(</w:t>
      </w:r>
      <w:r w:rsidRPr="00D1652A">
        <w:rPr>
          <w:rStyle w:val="Bodytext"/>
          <w:i/>
          <w:iCs/>
          <w:color w:val="000000"/>
          <w:lang w:eastAsia="en-US"/>
        </w:rPr>
        <w:t>c</w:t>
      </w:r>
      <w:r w:rsidRPr="00D1652A">
        <w:rPr>
          <w:rStyle w:val="Bodytext"/>
          <w:color w:val="000000"/>
          <w:lang w:eastAsia="en-US"/>
        </w:rPr>
        <w:t xml:space="preserve">) </w:t>
      </w:r>
      <w:r w:rsidR="00867B31" w:rsidRPr="00D1652A">
        <w:rPr>
          <w:rStyle w:val="Bodytext"/>
          <w:color w:val="000000"/>
          <w:lang w:eastAsia="en-US"/>
        </w:rPr>
        <w:t>has (whether before or after the commencement of this</w:t>
      </w:r>
      <w:r w:rsidRPr="00D1652A">
        <w:rPr>
          <w:rStyle w:val="Bodytext"/>
          <w:color w:val="000000"/>
          <w:lang w:eastAsia="en-US"/>
        </w:rPr>
        <w:t xml:space="preserve"> </w:t>
      </w:r>
      <w:r w:rsidR="00867B31" w:rsidRPr="00D1652A">
        <w:rPr>
          <w:rStyle w:val="Bodytext"/>
          <w:color w:val="000000"/>
          <w:lang w:eastAsia="en-US"/>
        </w:rPr>
        <w:t>section) been convicted of an offence against this Act,</w:t>
      </w:r>
    </w:p>
    <w:p w:rsidR="00867B31" w:rsidRPr="00D1652A" w:rsidRDefault="00867B31" w:rsidP="006A29EF">
      <w:pPr>
        <w:pStyle w:val="BodyText1"/>
        <w:shd w:val="clear" w:color="auto" w:fill="auto"/>
        <w:spacing w:before="60" w:after="120" w:line="240" w:lineRule="auto"/>
        <w:ind w:firstLine="0"/>
        <w:jc w:val="both"/>
      </w:pPr>
      <w:r w:rsidRPr="00D1652A">
        <w:rPr>
          <w:rStyle w:val="Bodytext"/>
          <w:color w:val="000000"/>
          <w:lang w:eastAsia="en-US"/>
        </w:rPr>
        <w:t>the Commission may, if it thinks it appropriate to do so in the circumstances, direct the Authority to cancel the registration of the employer or to suspend his registration until the expiration of such period as the Commission directs, and thereupon the Authority shall cancel or suspend the registration of the employer accordingly.</w:t>
      </w:r>
    </w:p>
    <w:p w:rsidR="006451B2" w:rsidRPr="00D1652A" w:rsidRDefault="00867B31" w:rsidP="006451B2">
      <w:pPr>
        <w:pStyle w:val="BodyText1"/>
        <w:widowControl/>
        <w:shd w:val="clear" w:color="auto" w:fill="auto"/>
        <w:spacing w:line="240" w:lineRule="auto"/>
        <w:ind w:firstLine="432"/>
        <w:jc w:val="both"/>
        <w:rPr>
          <w:rStyle w:val="Bodytext"/>
          <w:color w:val="000000"/>
          <w:lang w:eastAsia="en-US"/>
        </w:rPr>
      </w:pPr>
      <w:r w:rsidRPr="00D1652A">
        <w:rPr>
          <w:rStyle w:val="Bodytext"/>
          <w:color w:val="000000"/>
          <w:lang w:eastAsia="en-US"/>
        </w:rPr>
        <w:t>“(2.) The powers of the Commission under the last preceding sub-section are not affected by, and do not affect, any power of the Court to impose a pecuniary penalty upon a registered employer in respect of an offence.</w:t>
      </w:r>
    </w:p>
    <w:p w:rsidR="00867B31" w:rsidRPr="00D1652A" w:rsidRDefault="00867B31" w:rsidP="00A7680D">
      <w:pPr>
        <w:pStyle w:val="BodyText1"/>
        <w:shd w:val="clear" w:color="auto" w:fill="auto"/>
        <w:spacing w:line="240" w:lineRule="auto"/>
        <w:ind w:firstLine="431"/>
        <w:jc w:val="both"/>
      </w:pPr>
      <w:r w:rsidRPr="00D1652A">
        <w:br w:type="page"/>
      </w:r>
    </w:p>
    <w:p w:rsidR="00867B31" w:rsidRPr="00D1652A" w:rsidRDefault="00867B31" w:rsidP="00AE181F">
      <w:pPr>
        <w:pStyle w:val="BodyText1"/>
        <w:widowControl/>
        <w:shd w:val="clear" w:color="auto" w:fill="auto"/>
        <w:spacing w:after="120" w:line="240" w:lineRule="auto"/>
        <w:ind w:firstLine="432"/>
        <w:jc w:val="both"/>
      </w:pPr>
      <w:r w:rsidRPr="00D1652A">
        <w:rPr>
          <w:rStyle w:val="Bodytext"/>
          <w:color w:val="000000"/>
          <w:lang w:eastAsia="en-US"/>
        </w:rPr>
        <w:lastRenderedPageBreak/>
        <w:t>“(3.) The powers of the Commission under this section in relation to an application of the Authority shall be exercised by the President of the Commission or by a Deputy President of the Commission assigned by the President to deal with applications under this section or, if the President nominates a Deputy President other than such a Deputy President to deal with that application, by the Deputy President so nominated.”.</w:t>
      </w:r>
    </w:p>
    <w:p w:rsidR="00867B31" w:rsidRPr="00D1652A" w:rsidRDefault="00ED69B9" w:rsidP="00AE181F">
      <w:pPr>
        <w:pStyle w:val="BodyText1"/>
        <w:widowControl/>
        <w:shd w:val="clear" w:color="auto" w:fill="auto"/>
        <w:spacing w:line="240" w:lineRule="auto"/>
        <w:ind w:firstLine="432"/>
        <w:jc w:val="both"/>
      </w:pPr>
      <w:r w:rsidRPr="00D1652A">
        <w:rPr>
          <w:rStyle w:val="Bodytext"/>
          <w:b/>
          <w:bCs/>
          <w:color w:val="000000"/>
          <w:lang w:eastAsia="en-US"/>
        </w:rPr>
        <w:t>5.</w:t>
      </w:r>
      <w:r w:rsidR="004A4344" w:rsidRPr="00D1652A">
        <w:rPr>
          <w:rStyle w:val="Bodytext"/>
          <w:color w:val="000000"/>
          <w:lang w:eastAsia="en-US"/>
        </w:rPr>
        <w:t>—</w:t>
      </w:r>
      <w:r w:rsidR="00867B31" w:rsidRPr="00D1652A">
        <w:rPr>
          <w:rStyle w:val="Bodytext"/>
          <w:color w:val="000000"/>
          <w:lang w:eastAsia="en-US"/>
        </w:rPr>
        <w:t>(1.) Section thirty-seven of the Principal Act is repealed and the following section inserted in its stead:—</w:t>
      </w:r>
    </w:p>
    <w:p w:rsidR="00867B31" w:rsidRPr="00D1652A" w:rsidRDefault="00867B31" w:rsidP="00AE181F">
      <w:pPr>
        <w:pStyle w:val="Bodytext30"/>
        <w:widowControl/>
        <w:shd w:val="clear" w:color="auto" w:fill="auto"/>
        <w:spacing w:before="120" w:after="60" w:line="240" w:lineRule="auto"/>
        <w:rPr>
          <w:b/>
          <w:bCs/>
          <w:sz w:val="20"/>
          <w:szCs w:val="20"/>
        </w:rPr>
      </w:pPr>
      <w:r w:rsidRPr="00D1652A">
        <w:rPr>
          <w:rStyle w:val="Bodytext3"/>
          <w:b/>
          <w:bCs/>
          <w:color w:val="000000"/>
          <w:sz w:val="20"/>
          <w:szCs w:val="20"/>
          <w:lang w:eastAsia="en-US"/>
        </w:rPr>
        <w:t>Appeals.</w:t>
      </w:r>
    </w:p>
    <w:p w:rsidR="00867B31" w:rsidRPr="00D1652A" w:rsidRDefault="00867B31" w:rsidP="00AE181F">
      <w:pPr>
        <w:pStyle w:val="BodyText1"/>
        <w:widowControl/>
        <w:shd w:val="clear" w:color="auto" w:fill="auto"/>
        <w:spacing w:after="120" w:line="240" w:lineRule="auto"/>
        <w:ind w:firstLine="432"/>
        <w:jc w:val="both"/>
      </w:pPr>
      <w:r w:rsidRPr="00D1652A">
        <w:rPr>
          <w:rStyle w:val="Bodytext"/>
          <w:color w:val="000000"/>
          <w:lang w:eastAsia="en-US"/>
        </w:rPr>
        <w:t>“37.—(1.) Where the registration of a person as a waterside worker is or has been cancelled or suspended under the last preceding section (whether before or after the commencement of this section), that person may, within fourteen days after the date of the cancellation or suspension or within such further period as the Commission allows, appeal to the Commission, by filing a notice of appeal in the prescribed form with the prescribed person, against the cancellation or suspension and, upon consideration of any such appeal, the Commission may, according as it thinks appropriate in the circumstances, confirm, vary or set aside the cancellation or suspension.</w:t>
      </w:r>
    </w:p>
    <w:p w:rsidR="00867B31" w:rsidRPr="00D1652A" w:rsidRDefault="00867B31" w:rsidP="00AE181F">
      <w:pPr>
        <w:pStyle w:val="BodyText1"/>
        <w:widowControl/>
        <w:shd w:val="clear" w:color="auto" w:fill="auto"/>
        <w:spacing w:after="120" w:line="240" w:lineRule="auto"/>
        <w:ind w:firstLine="432"/>
        <w:jc w:val="both"/>
      </w:pPr>
      <w:r w:rsidRPr="00D1652A">
        <w:rPr>
          <w:rStyle w:val="Bodytext"/>
          <w:color w:val="000000"/>
          <w:lang w:eastAsia="en-US"/>
        </w:rPr>
        <w:t>“(2.) Where a person appeals to the Commission against the suspension of his registration as a waterside worker, the suspension shall, subject to the next succeeding sub-section, continue in operation.</w:t>
      </w:r>
    </w:p>
    <w:p w:rsidR="00867B31" w:rsidRPr="00D1652A" w:rsidRDefault="00867B31" w:rsidP="00AE181F">
      <w:pPr>
        <w:pStyle w:val="BodyText1"/>
        <w:widowControl/>
        <w:shd w:val="clear" w:color="auto" w:fill="auto"/>
        <w:spacing w:after="120" w:line="240" w:lineRule="auto"/>
        <w:ind w:firstLine="432"/>
        <w:jc w:val="both"/>
      </w:pPr>
      <w:r w:rsidRPr="00D1652A">
        <w:rPr>
          <w:rStyle w:val="Bodytext"/>
          <w:color w:val="000000"/>
          <w:lang w:eastAsia="en-US"/>
        </w:rPr>
        <w:t>“(3.) The Authority may postpone the operation of the suspension, pending the determination of the appeal, for such period as it thinks fit and the registration shall not be deemed to have been suspended during the period of postponement.</w:t>
      </w:r>
    </w:p>
    <w:p w:rsidR="00867B31" w:rsidRPr="00D1652A" w:rsidRDefault="00867B31" w:rsidP="00AE181F">
      <w:pPr>
        <w:pStyle w:val="BodyText1"/>
        <w:widowControl/>
        <w:shd w:val="clear" w:color="auto" w:fill="auto"/>
        <w:spacing w:after="120" w:line="240" w:lineRule="auto"/>
        <w:ind w:firstLine="432"/>
        <w:jc w:val="both"/>
      </w:pPr>
      <w:r w:rsidRPr="00D1652A">
        <w:rPr>
          <w:rStyle w:val="Bodytext"/>
          <w:color w:val="000000"/>
          <w:lang w:eastAsia="en-US"/>
        </w:rPr>
        <w:t>“(4.) The powers of the Commission under this section in relation to an appeal shall be exercised by the President of the Commission or by a Deputy President of the Commission assigned by the President to deal with appeals under this section or, if the President nominates a Deputy President other than such a Deputy President to deal with that appeal, by the Deputy President so nominated.”.</w:t>
      </w:r>
    </w:p>
    <w:p w:rsidR="00E21BB1" w:rsidRPr="00D1652A" w:rsidRDefault="00867B31" w:rsidP="00AE181F">
      <w:pPr>
        <w:pStyle w:val="BodyText1"/>
        <w:widowControl/>
        <w:shd w:val="clear" w:color="auto" w:fill="auto"/>
        <w:spacing w:line="240" w:lineRule="auto"/>
        <w:ind w:firstLine="432"/>
        <w:jc w:val="both"/>
        <w:rPr>
          <w:rStyle w:val="Bodytext"/>
          <w:color w:val="000000"/>
          <w:lang w:eastAsia="en-US"/>
        </w:rPr>
      </w:pPr>
      <w:r w:rsidRPr="00D1652A">
        <w:rPr>
          <w:rStyle w:val="Bodytext"/>
          <w:color w:val="000000"/>
          <w:lang w:eastAsia="en-US"/>
        </w:rPr>
        <w:t>(2.) Where, before the commencement of this section, an appeal to the Commonwealth Industrial Court under the section repealed by this section had been commenced but had not been determined, the cancellation or suspension to which the appeal related shall, for the purpose of determining the time within which an appeal against that cancellation or suspension may be instituted under the section inserted in the Principal Act by this section, be deemed to have been effected on the date of commencement of this section.</w:t>
      </w:r>
    </w:p>
    <w:p w:rsidR="00867B31" w:rsidRPr="00D1652A" w:rsidRDefault="00867B31" w:rsidP="00A7680D">
      <w:pPr>
        <w:pStyle w:val="BodyText1"/>
        <w:shd w:val="clear" w:color="auto" w:fill="auto"/>
        <w:spacing w:before="120" w:line="240" w:lineRule="auto"/>
        <w:ind w:firstLine="431"/>
        <w:jc w:val="both"/>
      </w:pPr>
      <w:r w:rsidRPr="00D1652A">
        <w:br w:type="page"/>
      </w:r>
    </w:p>
    <w:p w:rsidR="00867B31" w:rsidRPr="00D1652A" w:rsidRDefault="00E21BB1" w:rsidP="00AE181F">
      <w:pPr>
        <w:pStyle w:val="BodyText1"/>
        <w:widowControl/>
        <w:shd w:val="clear" w:color="auto" w:fill="auto"/>
        <w:spacing w:line="240" w:lineRule="auto"/>
        <w:ind w:firstLine="432"/>
        <w:jc w:val="both"/>
      </w:pPr>
      <w:r w:rsidRPr="00D1652A">
        <w:rPr>
          <w:rStyle w:val="Bodytext"/>
          <w:b/>
          <w:bCs/>
          <w:color w:val="000000"/>
          <w:lang w:eastAsia="en-US"/>
        </w:rPr>
        <w:lastRenderedPageBreak/>
        <w:t>6.</w:t>
      </w:r>
      <w:r w:rsidRPr="00D1652A">
        <w:rPr>
          <w:rStyle w:val="Bodytext"/>
          <w:color w:val="000000"/>
          <w:lang w:eastAsia="en-US"/>
        </w:rPr>
        <w:t xml:space="preserve"> </w:t>
      </w:r>
      <w:r w:rsidR="00867B31" w:rsidRPr="00D1652A">
        <w:rPr>
          <w:rStyle w:val="Bodytext"/>
          <w:color w:val="000000"/>
          <w:lang w:eastAsia="en-US"/>
        </w:rPr>
        <w:t>After section thirty-seven of the Principal Act the following section</w:t>
      </w:r>
      <w:r w:rsidR="006E0E25" w:rsidRPr="00D1652A">
        <w:rPr>
          <w:rStyle w:val="Bodytext"/>
          <w:color w:val="000000"/>
          <w:lang w:eastAsia="en-US"/>
        </w:rPr>
        <w:t xml:space="preserve"> </w:t>
      </w:r>
      <w:r w:rsidR="00867B31" w:rsidRPr="00D1652A">
        <w:rPr>
          <w:rStyle w:val="Bodytext"/>
          <w:color w:val="000000"/>
          <w:lang w:eastAsia="en-US"/>
        </w:rPr>
        <w:t>is inserted:—</w:t>
      </w:r>
    </w:p>
    <w:p w:rsidR="00867B31" w:rsidRPr="00D1652A" w:rsidRDefault="00867B31" w:rsidP="00AE181F">
      <w:pPr>
        <w:pStyle w:val="Bodytext30"/>
        <w:widowControl/>
        <w:shd w:val="clear" w:color="auto" w:fill="auto"/>
        <w:spacing w:before="120" w:after="60" w:line="240" w:lineRule="auto"/>
        <w:rPr>
          <w:b/>
          <w:bCs/>
          <w:sz w:val="20"/>
          <w:szCs w:val="20"/>
        </w:rPr>
      </w:pPr>
      <w:r w:rsidRPr="00D1652A">
        <w:rPr>
          <w:rStyle w:val="Bodytext3"/>
          <w:b/>
          <w:bCs/>
          <w:color w:val="000000"/>
          <w:sz w:val="20"/>
          <w:szCs w:val="20"/>
          <w:lang w:eastAsia="en-US"/>
        </w:rPr>
        <w:t>Postponement of suspension pending appeal.</w:t>
      </w:r>
    </w:p>
    <w:p w:rsidR="00867B31" w:rsidRPr="00D1652A" w:rsidRDefault="00867B31" w:rsidP="00AE181F">
      <w:pPr>
        <w:pStyle w:val="BodyText1"/>
        <w:widowControl/>
        <w:shd w:val="clear" w:color="auto" w:fill="auto"/>
        <w:spacing w:line="240" w:lineRule="auto"/>
        <w:ind w:firstLine="432"/>
        <w:jc w:val="both"/>
        <w:rPr>
          <w:rStyle w:val="Bodytext"/>
          <w:color w:val="000000"/>
          <w:lang w:eastAsia="en-US"/>
        </w:rPr>
      </w:pPr>
      <w:r w:rsidRPr="00D1652A">
        <w:rPr>
          <w:rStyle w:val="BodytextSmallCaps"/>
          <w:color w:val="000000"/>
          <w:lang w:eastAsia="en-US"/>
        </w:rPr>
        <w:t>“37a.</w:t>
      </w:r>
      <w:r w:rsidRPr="00D1652A">
        <w:rPr>
          <w:rStyle w:val="Bodytext"/>
          <w:color w:val="000000"/>
          <w:lang w:eastAsia="en-US"/>
        </w:rPr>
        <w:t xml:space="preserve"> Where the Authority is satisfied that a waterside worker whose registration has been suspended intends to appeal under the last preceding section against the suspension, the provisions of sub-section (3.) of the last preceding section apply as if the waterside worker had already so appealed.”.</w:t>
      </w:r>
    </w:p>
    <w:p w:rsidR="00AE181F" w:rsidRPr="00D1652A" w:rsidRDefault="00AE181F" w:rsidP="00027A13">
      <w:pPr>
        <w:pStyle w:val="BodyText1"/>
        <w:widowControl/>
        <w:pBdr>
          <w:bottom w:val="single" w:sz="4" w:space="1" w:color="auto"/>
        </w:pBdr>
        <w:shd w:val="clear" w:color="auto" w:fill="auto"/>
        <w:spacing w:before="360" w:line="240" w:lineRule="auto"/>
        <w:ind w:left="3168" w:right="3168" w:firstLine="0"/>
        <w:jc w:val="center"/>
      </w:pPr>
    </w:p>
    <w:sectPr w:rsidR="00AE181F" w:rsidRPr="00D1652A" w:rsidSect="00B863D9">
      <w:headerReference w:type="even" r:id="rId8"/>
      <w:headerReference w:type="default" r:id="rId9"/>
      <w:footnotePr>
        <w:numFmt w:val="chicago"/>
        <w:numRestart w:val="eachPage"/>
      </w:footnotePr>
      <w:type w:val="continuous"/>
      <w:pgSz w:w="11909" w:h="16834" w:code="9"/>
      <w:pgMar w:top="1440" w:right="1440" w:bottom="1440" w:left="1440" w:header="720" w:footer="6" w:gutter="56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72" w:rsidRDefault="008E4472">
      <w:pPr>
        <w:rPr>
          <w:rFonts w:cs="Mangal"/>
          <w:color w:val="auto"/>
          <w:lang w:eastAsia="en-IN"/>
        </w:rPr>
      </w:pPr>
      <w:r>
        <w:rPr>
          <w:rFonts w:cs="Mangal"/>
          <w:color w:val="auto"/>
          <w:lang w:eastAsia="en-IN"/>
        </w:rPr>
        <w:separator/>
      </w:r>
    </w:p>
  </w:endnote>
  <w:endnote w:type="continuationSeparator" w:id="0">
    <w:p w:rsidR="008E4472" w:rsidRDefault="008E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72" w:rsidRDefault="008E4472">
      <w:pPr>
        <w:rPr>
          <w:rFonts w:cs="Mangal"/>
          <w:color w:val="auto"/>
          <w:lang w:eastAsia="en-IN"/>
        </w:rPr>
      </w:pPr>
      <w:r>
        <w:rPr>
          <w:rFonts w:cs="Mangal"/>
          <w:color w:val="auto"/>
          <w:lang w:eastAsia="en-IN"/>
        </w:rPr>
        <w:separator/>
      </w:r>
    </w:p>
  </w:footnote>
  <w:footnote w:type="continuationSeparator" w:id="0">
    <w:p w:rsidR="008E4472" w:rsidRDefault="008E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5E" w:rsidRPr="007C375E" w:rsidRDefault="007C375E" w:rsidP="00D37253">
    <w:pPr>
      <w:pStyle w:val="Header"/>
      <w:tabs>
        <w:tab w:val="clear" w:pos="9026"/>
        <w:tab w:val="right" w:pos="8370"/>
      </w:tabs>
      <w:rPr>
        <w:rFonts w:ascii="Times New Roman" w:hAnsi="Times New Roman" w:cs="Times New Roman"/>
        <w:sz w:val="20"/>
        <w:szCs w:val="20"/>
      </w:rPr>
    </w:pPr>
    <w:r w:rsidRPr="007C375E">
      <w:rPr>
        <w:rFonts w:ascii="Times New Roman" w:hAnsi="Times New Roman" w:cs="Times New Roman"/>
        <w:color w:val="auto"/>
        <w:sz w:val="20"/>
        <w:szCs w:val="20"/>
        <w:lang w:val="en-IN" w:eastAsia="en-IN"/>
      </w:rPr>
      <w:t>1957.</w:t>
    </w:r>
    <w:r w:rsidRPr="007C375E">
      <w:rPr>
        <w:rFonts w:ascii="Times New Roman" w:hAnsi="Times New Roman" w:cs="Times New Roman"/>
        <w:sz w:val="20"/>
        <w:szCs w:val="20"/>
      </w:rPr>
      <w:ptab w:relativeTo="margin" w:alignment="center" w:leader="none"/>
    </w:r>
    <w:r w:rsidRPr="007C375E">
      <w:rPr>
        <w:rFonts w:ascii="Times New Roman" w:hAnsi="Times New Roman" w:cs="Times New Roman"/>
        <w:i/>
        <w:iCs/>
        <w:color w:val="auto"/>
        <w:sz w:val="20"/>
        <w:szCs w:val="20"/>
        <w:lang w:val="en-IN" w:eastAsia="en-IN"/>
      </w:rPr>
      <w:t>Stevedoring Industry.</w:t>
    </w:r>
    <w:r w:rsidRPr="007C375E">
      <w:rPr>
        <w:rFonts w:ascii="Times New Roman" w:hAnsi="Times New Roman" w:cs="Times New Roman"/>
        <w:sz w:val="20"/>
        <w:szCs w:val="20"/>
      </w:rPr>
      <w:ptab w:relativeTo="margin" w:alignment="right" w:leader="none"/>
    </w:r>
    <w:r w:rsidRPr="007C375E">
      <w:rPr>
        <w:rFonts w:ascii="Times New Roman" w:hAnsi="Times New Roman" w:cs="Times New Roman"/>
        <w:color w:val="auto"/>
        <w:sz w:val="20"/>
        <w:szCs w:val="20"/>
        <w:lang w:val="en-IN" w:eastAsia="en-IN"/>
      </w:rPr>
      <w:t>No. 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CC" w:rsidRPr="00075ECC" w:rsidRDefault="00075ECC" w:rsidP="00A7680D">
    <w:pPr>
      <w:pStyle w:val="Header"/>
      <w:rPr>
        <w:rFonts w:ascii="Times New Roman" w:hAnsi="Times New Roman" w:cs="Times New Roman"/>
        <w:sz w:val="20"/>
        <w:szCs w:val="20"/>
      </w:rPr>
    </w:pPr>
    <w:r w:rsidRPr="00075ECC">
      <w:rPr>
        <w:rFonts w:ascii="Times New Roman" w:hAnsi="Times New Roman" w:cs="Times New Roman"/>
        <w:color w:val="auto"/>
        <w:sz w:val="20"/>
        <w:szCs w:val="20"/>
        <w:lang w:val="en-IN" w:eastAsia="en-IN"/>
      </w:rPr>
      <w:t>No. 93.</w:t>
    </w:r>
    <w:r w:rsidRPr="00075ECC">
      <w:rPr>
        <w:rFonts w:ascii="Times New Roman" w:hAnsi="Times New Roman" w:cs="Times New Roman"/>
        <w:sz w:val="20"/>
        <w:szCs w:val="20"/>
      </w:rPr>
      <w:ptab w:relativeTo="margin" w:alignment="center" w:leader="none"/>
    </w:r>
    <w:r w:rsidRPr="00075ECC">
      <w:rPr>
        <w:rFonts w:ascii="Times New Roman" w:hAnsi="Times New Roman" w:cs="Times New Roman"/>
        <w:i/>
        <w:iCs/>
        <w:color w:val="auto"/>
        <w:sz w:val="20"/>
        <w:szCs w:val="20"/>
        <w:lang w:val="en-IN" w:eastAsia="en-IN"/>
      </w:rPr>
      <w:t>Stevedoring Industry</w:t>
    </w:r>
    <w:r w:rsidRPr="00075ECC">
      <w:rPr>
        <w:rFonts w:ascii="Times New Roman" w:hAnsi="Times New Roman" w:cs="Times New Roman"/>
        <w:sz w:val="20"/>
        <w:szCs w:val="20"/>
      </w:rPr>
      <w:ptab w:relativeTo="margin" w:alignment="right" w:leader="none"/>
    </w:r>
    <w:r w:rsidRPr="00075ECC">
      <w:rPr>
        <w:rFonts w:ascii="Times New Roman" w:hAnsi="Times New Roman" w:cs="Times New Roman"/>
        <w:color w:val="auto"/>
        <w:sz w:val="20"/>
        <w:szCs w:val="20"/>
        <w:lang w:val="en-IN" w:eastAsia="en-IN"/>
      </w:rPr>
      <w:t>1957.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16201C"/>
    <w:rsid w:val="00027A13"/>
    <w:rsid w:val="00075ECC"/>
    <w:rsid w:val="000E050D"/>
    <w:rsid w:val="0016201C"/>
    <w:rsid w:val="00377DCE"/>
    <w:rsid w:val="00445A7D"/>
    <w:rsid w:val="004A4344"/>
    <w:rsid w:val="004E35D9"/>
    <w:rsid w:val="00570E3E"/>
    <w:rsid w:val="00581C44"/>
    <w:rsid w:val="00611C4D"/>
    <w:rsid w:val="006451B2"/>
    <w:rsid w:val="006A29EF"/>
    <w:rsid w:val="006E0E25"/>
    <w:rsid w:val="0073198E"/>
    <w:rsid w:val="007C375E"/>
    <w:rsid w:val="00817CE2"/>
    <w:rsid w:val="00867B31"/>
    <w:rsid w:val="00867F7C"/>
    <w:rsid w:val="008E4472"/>
    <w:rsid w:val="009224FD"/>
    <w:rsid w:val="00990B08"/>
    <w:rsid w:val="009A084E"/>
    <w:rsid w:val="009A55BE"/>
    <w:rsid w:val="00A34245"/>
    <w:rsid w:val="00A7680D"/>
    <w:rsid w:val="00AE181F"/>
    <w:rsid w:val="00B863D9"/>
    <w:rsid w:val="00BA7A5C"/>
    <w:rsid w:val="00C14CA5"/>
    <w:rsid w:val="00C65948"/>
    <w:rsid w:val="00D1652A"/>
    <w:rsid w:val="00D37253"/>
    <w:rsid w:val="00D93127"/>
    <w:rsid w:val="00E21BB1"/>
    <w:rsid w:val="00E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en-IN"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5C"/>
    <w:pPr>
      <w:widowControl w:val="0"/>
    </w:pPr>
    <w:rPr>
      <w:color w:val="000000"/>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7A5C"/>
    <w:rPr>
      <w:rFonts w:cs="Times New Roman"/>
      <w:color w:val="0066CC"/>
      <w:u w:val="single"/>
    </w:rPr>
  </w:style>
  <w:style w:type="character" w:customStyle="1" w:styleId="Footnote">
    <w:name w:val="Footnote_"/>
    <w:basedOn w:val="DefaultParagraphFont"/>
    <w:link w:val="Footnote0"/>
    <w:uiPriority w:val="99"/>
    <w:locked/>
    <w:rsid w:val="00BA7A5C"/>
    <w:rPr>
      <w:rFonts w:ascii="Times New Roman" w:hAnsi="Times New Roman" w:cs="Times New Roman"/>
      <w:sz w:val="13"/>
      <w:szCs w:val="13"/>
      <w:u w:val="none"/>
    </w:rPr>
  </w:style>
  <w:style w:type="character" w:customStyle="1" w:styleId="Bodytext3">
    <w:name w:val="Body text (3)_"/>
    <w:basedOn w:val="DefaultParagraphFont"/>
    <w:link w:val="Bodytext30"/>
    <w:uiPriority w:val="99"/>
    <w:locked/>
    <w:rsid w:val="00BA7A5C"/>
    <w:rPr>
      <w:rFonts w:ascii="Times New Roman" w:hAnsi="Times New Roman" w:cs="Times New Roman"/>
      <w:sz w:val="13"/>
      <w:szCs w:val="13"/>
      <w:u w:val="none"/>
    </w:rPr>
  </w:style>
  <w:style w:type="character" w:customStyle="1" w:styleId="Heading1">
    <w:name w:val="Heading #1_"/>
    <w:basedOn w:val="DefaultParagraphFont"/>
    <w:link w:val="Heading10"/>
    <w:uiPriority w:val="99"/>
    <w:locked/>
    <w:rsid w:val="00BA7A5C"/>
    <w:rPr>
      <w:rFonts w:ascii="Gungsuh" w:eastAsia="Gungsuh" w:cs="Gungsuh"/>
      <w:spacing w:val="-20"/>
      <w:sz w:val="30"/>
      <w:szCs w:val="30"/>
      <w:u w:val="none"/>
    </w:rPr>
  </w:style>
  <w:style w:type="character" w:customStyle="1" w:styleId="Heading2">
    <w:name w:val="Heading #2_"/>
    <w:basedOn w:val="DefaultParagraphFont"/>
    <w:link w:val="Heading20"/>
    <w:uiPriority w:val="99"/>
    <w:locked/>
    <w:rsid w:val="00BA7A5C"/>
    <w:rPr>
      <w:rFonts w:ascii="Times New Roman" w:hAnsi="Times New Roman" w:cs="Times New Roman"/>
      <w:b/>
      <w:bCs/>
      <w:spacing w:val="-10"/>
      <w:sz w:val="25"/>
      <w:szCs w:val="25"/>
      <w:u w:val="none"/>
    </w:rPr>
  </w:style>
  <w:style w:type="character" w:customStyle="1" w:styleId="Heading3">
    <w:name w:val="Heading #3_"/>
    <w:basedOn w:val="DefaultParagraphFont"/>
    <w:link w:val="Heading30"/>
    <w:uiPriority w:val="99"/>
    <w:locked/>
    <w:rsid w:val="00BA7A5C"/>
    <w:rPr>
      <w:rFonts w:ascii="Times New Roman" w:hAnsi="Times New Roman" w:cs="Times New Roman"/>
      <w:b/>
      <w:bCs/>
      <w:sz w:val="26"/>
      <w:szCs w:val="26"/>
      <w:u w:val="none"/>
    </w:rPr>
  </w:style>
  <w:style w:type="character" w:customStyle="1" w:styleId="Heading3125pt">
    <w:name w:val="Heading #3 + 12.5 pt"/>
    <w:aliases w:val="Not Bold"/>
    <w:basedOn w:val="Heading3"/>
    <w:uiPriority w:val="99"/>
    <w:rsid w:val="00BA7A5C"/>
    <w:rPr>
      <w:rFonts w:ascii="Times New Roman" w:hAnsi="Times New Roman" w:cs="Times New Roman"/>
      <w:b/>
      <w:bCs/>
      <w:sz w:val="25"/>
      <w:szCs w:val="25"/>
      <w:u w:val="none"/>
    </w:rPr>
  </w:style>
  <w:style w:type="character" w:customStyle="1" w:styleId="Bodytext2">
    <w:name w:val="Body text (2)_"/>
    <w:basedOn w:val="DefaultParagraphFont"/>
    <w:link w:val="Bodytext20"/>
    <w:uiPriority w:val="99"/>
    <w:locked/>
    <w:rsid w:val="00BA7A5C"/>
    <w:rPr>
      <w:rFonts w:ascii="Times New Roman" w:hAnsi="Times New Roman" w:cs="Times New Roman"/>
      <w:sz w:val="22"/>
      <w:szCs w:val="22"/>
      <w:u w:val="none"/>
    </w:rPr>
  </w:style>
  <w:style w:type="character" w:customStyle="1" w:styleId="Bodytext">
    <w:name w:val="Body text_"/>
    <w:basedOn w:val="DefaultParagraphFont"/>
    <w:link w:val="BodyText1"/>
    <w:uiPriority w:val="99"/>
    <w:locked/>
    <w:rsid w:val="00BA7A5C"/>
    <w:rPr>
      <w:rFonts w:ascii="Times New Roman" w:hAnsi="Times New Roman" w:cs="Times New Roman"/>
      <w:sz w:val="22"/>
      <w:szCs w:val="22"/>
      <w:u w:val="none"/>
    </w:rPr>
  </w:style>
  <w:style w:type="character" w:customStyle="1" w:styleId="BodytextItalic">
    <w:name w:val="Body text + Italic"/>
    <w:basedOn w:val="Bodytext"/>
    <w:uiPriority w:val="99"/>
    <w:rsid w:val="00BA7A5C"/>
    <w:rPr>
      <w:rFonts w:ascii="Times New Roman" w:hAnsi="Times New Roman" w:cs="Times New Roman"/>
      <w:i/>
      <w:iCs/>
      <w:sz w:val="22"/>
      <w:szCs w:val="22"/>
      <w:u w:val="none"/>
    </w:rPr>
  </w:style>
  <w:style w:type="character" w:customStyle="1" w:styleId="BodytextSpacing1pt">
    <w:name w:val="Body text + Spacing 1 pt"/>
    <w:basedOn w:val="Bodytext"/>
    <w:uiPriority w:val="99"/>
    <w:rsid w:val="00BA7A5C"/>
    <w:rPr>
      <w:rFonts w:ascii="Times New Roman" w:hAnsi="Times New Roman" w:cs="Times New Roman"/>
      <w:spacing w:val="30"/>
      <w:sz w:val="22"/>
      <w:szCs w:val="22"/>
      <w:u w:val="none"/>
    </w:rPr>
  </w:style>
  <w:style w:type="character" w:customStyle="1" w:styleId="BodytextSmallCaps">
    <w:name w:val="Body text + Small Caps"/>
    <w:basedOn w:val="Bodytext"/>
    <w:uiPriority w:val="99"/>
    <w:rsid w:val="00BA7A5C"/>
    <w:rPr>
      <w:rFonts w:ascii="Times New Roman" w:hAnsi="Times New Roman" w:cs="Times New Roman"/>
      <w:smallCaps/>
      <w:sz w:val="22"/>
      <w:szCs w:val="22"/>
      <w:u w:val="none"/>
    </w:rPr>
  </w:style>
  <w:style w:type="paragraph" w:customStyle="1" w:styleId="Footnote0">
    <w:name w:val="Footnote"/>
    <w:basedOn w:val="Normal"/>
    <w:link w:val="Footnote"/>
    <w:uiPriority w:val="99"/>
    <w:rsid w:val="00BA7A5C"/>
    <w:pPr>
      <w:shd w:val="clear" w:color="auto" w:fill="FFFFFF"/>
      <w:spacing w:line="240" w:lineRule="atLeast"/>
      <w:jc w:val="center"/>
    </w:pPr>
    <w:rPr>
      <w:rFonts w:ascii="Times New Roman" w:hAnsi="Times New Roman" w:cs="Times New Roman"/>
      <w:color w:val="auto"/>
      <w:sz w:val="13"/>
      <w:szCs w:val="13"/>
      <w:lang w:eastAsia="en-IN"/>
    </w:rPr>
  </w:style>
  <w:style w:type="paragraph" w:customStyle="1" w:styleId="Bodytext30">
    <w:name w:val="Body text (3)"/>
    <w:basedOn w:val="Normal"/>
    <w:link w:val="Bodytext3"/>
    <w:uiPriority w:val="99"/>
    <w:rsid w:val="00BA7A5C"/>
    <w:pPr>
      <w:shd w:val="clear" w:color="auto" w:fill="FFFFFF"/>
      <w:spacing w:line="125" w:lineRule="exact"/>
      <w:jc w:val="both"/>
    </w:pPr>
    <w:rPr>
      <w:rFonts w:ascii="Times New Roman" w:hAnsi="Times New Roman" w:cs="Times New Roman"/>
      <w:color w:val="auto"/>
      <w:sz w:val="13"/>
      <w:szCs w:val="13"/>
      <w:lang w:eastAsia="en-IN"/>
    </w:rPr>
  </w:style>
  <w:style w:type="paragraph" w:customStyle="1" w:styleId="Heading10">
    <w:name w:val="Heading #1"/>
    <w:basedOn w:val="Normal"/>
    <w:link w:val="Heading1"/>
    <w:uiPriority w:val="99"/>
    <w:rsid w:val="00BA7A5C"/>
    <w:pPr>
      <w:shd w:val="clear" w:color="auto" w:fill="FFFFFF"/>
      <w:spacing w:line="240" w:lineRule="atLeast"/>
      <w:jc w:val="center"/>
      <w:outlineLvl w:val="0"/>
    </w:pPr>
    <w:rPr>
      <w:rFonts w:ascii="Gungsuh" w:eastAsia="Gungsuh" w:cs="Gungsuh"/>
      <w:color w:val="auto"/>
      <w:spacing w:val="-20"/>
      <w:sz w:val="30"/>
      <w:szCs w:val="30"/>
      <w:lang w:eastAsia="en-IN"/>
    </w:rPr>
  </w:style>
  <w:style w:type="paragraph" w:customStyle="1" w:styleId="Heading20">
    <w:name w:val="Heading #2"/>
    <w:basedOn w:val="Normal"/>
    <w:link w:val="Heading2"/>
    <w:uiPriority w:val="99"/>
    <w:rsid w:val="00BA7A5C"/>
    <w:pPr>
      <w:shd w:val="clear" w:color="auto" w:fill="FFFFFF"/>
      <w:spacing w:line="461" w:lineRule="exact"/>
      <w:jc w:val="center"/>
      <w:outlineLvl w:val="1"/>
    </w:pPr>
    <w:rPr>
      <w:rFonts w:ascii="Times New Roman" w:hAnsi="Times New Roman" w:cs="Times New Roman"/>
      <w:b/>
      <w:bCs/>
      <w:color w:val="auto"/>
      <w:spacing w:val="-10"/>
      <w:sz w:val="25"/>
      <w:szCs w:val="25"/>
      <w:lang w:eastAsia="en-IN"/>
    </w:rPr>
  </w:style>
  <w:style w:type="paragraph" w:customStyle="1" w:styleId="Heading30">
    <w:name w:val="Heading #3"/>
    <w:basedOn w:val="Normal"/>
    <w:link w:val="Heading3"/>
    <w:uiPriority w:val="99"/>
    <w:rsid w:val="00BA7A5C"/>
    <w:pPr>
      <w:shd w:val="clear" w:color="auto" w:fill="FFFFFF"/>
      <w:spacing w:line="461" w:lineRule="exact"/>
      <w:ind w:hanging="1840"/>
      <w:outlineLvl w:val="2"/>
    </w:pPr>
    <w:rPr>
      <w:rFonts w:ascii="Times New Roman" w:hAnsi="Times New Roman" w:cs="Times New Roman"/>
      <w:b/>
      <w:bCs/>
      <w:color w:val="auto"/>
      <w:sz w:val="26"/>
      <w:szCs w:val="26"/>
      <w:lang w:eastAsia="en-IN"/>
    </w:rPr>
  </w:style>
  <w:style w:type="paragraph" w:customStyle="1" w:styleId="Bodytext20">
    <w:name w:val="Body text (2)"/>
    <w:basedOn w:val="Normal"/>
    <w:link w:val="Bodytext2"/>
    <w:uiPriority w:val="99"/>
    <w:rsid w:val="00BA7A5C"/>
    <w:pPr>
      <w:shd w:val="clear" w:color="auto" w:fill="FFFFFF"/>
      <w:spacing w:line="221" w:lineRule="exact"/>
      <w:jc w:val="both"/>
    </w:pPr>
    <w:rPr>
      <w:rFonts w:ascii="Times New Roman" w:hAnsi="Times New Roman" w:cs="Times New Roman"/>
      <w:color w:val="auto"/>
      <w:sz w:val="22"/>
      <w:szCs w:val="22"/>
      <w:lang w:eastAsia="en-IN"/>
    </w:rPr>
  </w:style>
  <w:style w:type="paragraph" w:customStyle="1" w:styleId="BodyText1">
    <w:name w:val="Body Text1"/>
    <w:basedOn w:val="Normal"/>
    <w:link w:val="Bodytext"/>
    <w:uiPriority w:val="99"/>
    <w:rsid w:val="00BA7A5C"/>
    <w:pPr>
      <w:shd w:val="clear" w:color="auto" w:fill="FFFFFF"/>
      <w:spacing w:line="230" w:lineRule="exact"/>
      <w:ind w:hanging="1320"/>
    </w:pPr>
    <w:rPr>
      <w:rFonts w:ascii="Times New Roman" w:hAnsi="Times New Roman" w:cs="Times New Roman"/>
      <w:color w:val="auto"/>
      <w:sz w:val="22"/>
      <w:szCs w:val="22"/>
      <w:lang w:eastAsia="en-IN"/>
    </w:rPr>
  </w:style>
  <w:style w:type="paragraph" w:styleId="Header">
    <w:name w:val="header"/>
    <w:basedOn w:val="Normal"/>
    <w:link w:val="HeaderChar"/>
    <w:uiPriority w:val="99"/>
    <w:semiHidden/>
    <w:unhideWhenUsed/>
    <w:rsid w:val="007C375E"/>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locked/>
    <w:rsid w:val="007C375E"/>
    <w:rPr>
      <w:rFonts w:cs="Mangal"/>
      <w:color w:val="000000"/>
      <w:sz w:val="21"/>
      <w:szCs w:val="21"/>
      <w:lang w:val="en-US" w:eastAsia="en-US"/>
    </w:rPr>
  </w:style>
  <w:style w:type="paragraph" w:styleId="Footer">
    <w:name w:val="footer"/>
    <w:basedOn w:val="Normal"/>
    <w:link w:val="FooterChar"/>
    <w:uiPriority w:val="99"/>
    <w:semiHidden/>
    <w:unhideWhenUsed/>
    <w:rsid w:val="007C375E"/>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7C375E"/>
    <w:rPr>
      <w:rFonts w:cs="Mangal"/>
      <w:color w:val="000000"/>
      <w:sz w:val="21"/>
      <w:szCs w:val="21"/>
      <w:lang w:val="en-US" w:eastAsia="en-US"/>
    </w:rPr>
  </w:style>
  <w:style w:type="paragraph" w:styleId="BalloonText">
    <w:name w:val="Balloon Text"/>
    <w:basedOn w:val="Normal"/>
    <w:link w:val="BalloonTextChar"/>
    <w:uiPriority w:val="99"/>
    <w:semiHidden/>
    <w:unhideWhenUsed/>
    <w:rsid w:val="007C375E"/>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7C375E"/>
    <w:rPr>
      <w:rFonts w:ascii="Tahoma" w:hAnsi="Tahoma" w:cs="Mangal"/>
      <w:color w:val="000000"/>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887</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CS-03</dc:creator>
  <cp:lastModifiedBy>Harper, Michael</cp:lastModifiedBy>
  <cp:revision>15</cp:revision>
  <dcterms:created xsi:type="dcterms:W3CDTF">2017-04-29T12:05:00Z</dcterms:created>
  <dcterms:modified xsi:type="dcterms:W3CDTF">2018-07-18T22:56:00Z</dcterms:modified>
</cp:coreProperties>
</file>