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BF" w:rsidRPr="00073F92" w:rsidRDefault="008545A8" w:rsidP="00073F92">
      <w:pPr>
        <w:spacing w:before="7000" w:after="0" w:line="240" w:lineRule="auto"/>
        <w:jc w:val="center"/>
        <w:rPr>
          <w:rFonts w:ascii="Times New Roman" w:hAnsi="Times New Roman"/>
          <w:sz w:val="36"/>
        </w:rPr>
      </w:pPr>
      <w:r w:rsidRPr="00073F92">
        <w:rPr>
          <w:rFonts w:ascii="Times New Roman" w:hAnsi="Times New Roman"/>
          <w:sz w:val="36"/>
        </w:rPr>
        <w:t>INSURANCE.</w:t>
      </w:r>
    </w:p>
    <w:p w:rsidR="00073F92" w:rsidRPr="00073F92" w:rsidRDefault="00073F92" w:rsidP="00073F92">
      <w:pPr>
        <w:pBdr>
          <w:bottom w:val="single" w:sz="4" w:space="1" w:color="auto"/>
        </w:pBdr>
        <w:spacing w:before="120" w:after="120" w:line="240" w:lineRule="auto"/>
        <w:ind w:left="3888" w:right="3888"/>
        <w:jc w:val="center"/>
        <w:rPr>
          <w:rFonts w:ascii="Times New Roman" w:hAnsi="Times New Roman"/>
          <w:b/>
          <w:sz w:val="2"/>
        </w:rPr>
      </w:pPr>
    </w:p>
    <w:p w:rsidR="00FE72BF" w:rsidRPr="00073F92" w:rsidRDefault="008545A8" w:rsidP="00073F9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073F92">
        <w:rPr>
          <w:rFonts w:ascii="Times New Roman" w:hAnsi="Times New Roman"/>
          <w:b/>
          <w:sz w:val="28"/>
        </w:rPr>
        <w:t>No. 17 of 1963.</w:t>
      </w:r>
    </w:p>
    <w:p w:rsidR="00FE72BF" w:rsidRPr="00073F92" w:rsidRDefault="00FE72BF" w:rsidP="003C25CF">
      <w:pPr>
        <w:spacing w:before="120" w:after="0" w:line="240" w:lineRule="auto"/>
        <w:ind w:left="720" w:hanging="720"/>
        <w:jc w:val="both"/>
        <w:rPr>
          <w:rFonts w:ascii="Times New Roman" w:hAnsi="Times New Roman"/>
          <w:sz w:val="26"/>
        </w:rPr>
      </w:pPr>
      <w:r w:rsidRPr="00073F92">
        <w:rPr>
          <w:rFonts w:ascii="Times New Roman" w:hAnsi="Times New Roman"/>
          <w:sz w:val="26"/>
        </w:rPr>
        <w:t>An Act relating to the application of Moneys and Securities deposited with the Treasurer by persons carrying on Insurance Business.</w:t>
      </w:r>
    </w:p>
    <w:p w:rsidR="00FE72BF" w:rsidRPr="00073F92" w:rsidRDefault="00FE72BF" w:rsidP="00BF2C81">
      <w:pPr>
        <w:spacing w:after="0" w:line="240" w:lineRule="auto"/>
        <w:jc w:val="right"/>
        <w:rPr>
          <w:rFonts w:ascii="Times New Roman" w:hAnsi="Times New Roman"/>
          <w:sz w:val="26"/>
        </w:rPr>
      </w:pPr>
      <w:r w:rsidRPr="00073F92">
        <w:rPr>
          <w:rFonts w:ascii="Times New Roman" w:hAnsi="Times New Roman"/>
          <w:sz w:val="26"/>
        </w:rPr>
        <w:t>[Assented to 28th May, 1963.]</w:t>
      </w:r>
    </w:p>
    <w:p w:rsidR="00FE72BF" w:rsidRPr="000674DF" w:rsidRDefault="00FE72BF" w:rsidP="00BF2C81">
      <w:pPr>
        <w:spacing w:after="0" w:line="240" w:lineRule="auto"/>
        <w:jc w:val="both"/>
        <w:rPr>
          <w:rFonts w:ascii="Times New Roman" w:hAnsi="Times New Roman"/>
        </w:rPr>
      </w:pPr>
      <w:r w:rsidRPr="000674DF">
        <w:rPr>
          <w:rFonts w:ascii="Times New Roman" w:hAnsi="Times New Roman"/>
        </w:rPr>
        <w:t>BE it enacted by the Queen</w:t>
      </w:r>
      <w:r w:rsidR="00314822" w:rsidRPr="000674DF">
        <w:rPr>
          <w:rFonts w:ascii="Times New Roman" w:hAnsi="Times New Roman"/>
        </w:rPr>
        <w:t>’</w:t>
      </w:r>
      <w:r w:rsidRPr="000674DF">
        <w:rPr>
          <w:rFonts w:ascii="Times New Roman" w:hAnsi="Times New Roman"/>
        </w:rPr>
        <w:t>s Most Excellent Majesty, the Senate,</w:t>
      </w:r>
      <w:r w:rsidR="006D6814" w:rsidRPr="000674DF">
        <w:rPr>
          <w:rFonts w:ascii="Times New Roman" w:hAnsi="Times New Roman"/>
        </w:rPr>
        <w:t xml:space="preserve"> </w:t>
      </w:r>
      <w:r w:rsidRPr="000674DF">
        <w:rPr>
          <w:rFonts w:ascii="Times New Roman" w:hAnsi="Times New Roman"/>
        </w:rPr>
        <w:t>and</w:t>
      </w:r>
      <w:r w:rsidR="006D6814" w:rsidRPr="000674DF">
        <w:rPr>
          <w:rFonts w:ascii="Times New Roman" w:hAnsi="Times New Roman"/>
        </w:rPr>
        <w:t xml:space="preserve"> </w:t>
      </w:r>
      <w:r w:rsidRPr="000674DF">
        <w:rPr>
          <w:rFonts w:ascii="Times New Roman" w:hAnsi="Times New Roman"/>
        </w:rPr>
        <w:t>the</w:t>
      </w:r>
      <w:r w:rsidR="006D6814" w:rsidRPr="000674DF">
        <w:rPr>
          <w:rFonts w:ascii="Times New Roman" w:hAnsi="Times New Roman"/>
        </w:rPr>
        <w:t xml:space="preserve"> </w:t>
      </w:r>
      <w:r w:rsidRPr="000674DF">
        <w:rPr>
          <w:rFonts w:ascii="Times New Roman" w:hAnsi="Times New Roman"/>
        </w:rPr>
        <w:t>House</w:t>
      </w:r>
      <w:r w:rsidR="006D6814" w:rsidRPr="000674DF">
        <w:rPr>
          <w:rFonts w:ascii="Times New Roman" w:hAnsi="Times New Roman"/>
        </w:rPr>
        <w:t xml:space="preserve"> </w:t>
      </w:r>
      <w:r w:rsidRPr="000674DF">
        <w:rPr>
          <w:rFonts w:ascii="Times New Roman" w:hAnsi="Times New Roman"/>
        </w:rPr>
        <w:t>of</w:t>
      </w:r>
      <w:r w:rsidR="006D6814" w:rsidRPr="000674DF">
        <w:rPr>
          <w:rFonts w:ascii="Times New Roman" w:hAnsi="Times New Roman"/>
        </w:rPr>
        <w:t xml:space="preserve"> </w:t>
      </w:r>
      <w:r w:rsidRPr="000674DF">
        <w:rPr>
          <w:rFonts w:ascii="Times New Roman" w:hAnsi="Times New Roman"/>
        </w:rPr>
        <w:t>Representatives</w:t>
      </w:r>
      <w:r w:rsidR="006D6814" w:rsidRPr="000674DF">
        <w:rPr>
          <w:rFonts w:ascii="Times New Roman" w:hAnsi="Times New Roman"/>
        </w:rPr>
        <w:t xml:space="preserve"> </w:t>
      </w:r>
      <w:r w:rsidRPr="000674DF">
        <w:rPr>
          <w:rFonts w:ascii="Times New Roman" w:hAnsi="Times New Roman"/>
        </w:rPr>
        <w:t>of</w:t>
      </w:r>
      <w:r w:rsidR="006D6814" w:rsidRPr="000674DF">
        <w:rPr>
          <w:rFonts w:ascii="Times New Roman" w:hAnsi="Times New Roman"/>
        </w:rPr>
        <w:t xml:space="preserve"> </w:t>
      </w:r>
      <w:r w:rsidRPr="000674DF">
        <w:rPr>
          <w:rFonts w:ascii="Times New Roman" w:hAnsi="Times New Roman"/>
        </w:rPr>
        <w:t>the Commonwealth of Australia, as follows:—</w:t>
      </w:r>
    </w:p>
    <w:p w:rsidR="00FE72BF" w:rsidRPr="006D6814" w:rsidRDefault="008545A8" w:rsidP="006D6814">
      <w:pPr>
        <w:spacing w:before="120" w:after="60" w:line="240" w:lineRule="auto"/>
        <w:rPr>
          <w:rFonts w:ascii="Times New Roman" w:hAnsi="Times New Roman"/>
          <w:sz w:val="20"/>
        </w:rPr>
      </w:pPr>
      <w:r w:rsidRPr="006D6814">
        <w:rPr>
          <w:rFonts w:ascii="Times New Roman" w:hAnsi="Times New Roman"/>
          <w:b/>
          <w:sz w:val="20"/>
        </w:rPr>
        <w:t>Short title and citation.</w:t>
      </w:r>
    </w:p>
    <w:p w:rsidR="00FE72BF" w:rsidRPr="00367962" w:rsidRDefault="008545A8" w:rsidP="006D6814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  <w:b/>
        </w:rPr>
        <w:t>1.</w:t>
      </w:r>
      <w:r w:rsidR="00FE72BF" w:rsidRPr="00367962">
        <w:rPr>
          <w:rFonts w:ascii="Times New Roman" w:hAnsi="Times New Roman"/>
        </w:rPr>
        <w:t>—(1.)</w:t>
      </w:r>
      <w:r w:rsidR="006D6814">
        <w:rPr>
          <w:rFonts w:ascii="Times New Roman" w:hAnsi="Times New Roman"/>
        </w:rPr>
        <w:tab/>
      </w:r>
      <w:r w:rsidR="00FE72BF" w:rsidRPr="00367962">
        <w:rPr>
          <w:rFonts w:ascii="Times New Roman" w:hAnsi="Times New Roman"/>
        </w:rPr>
        <w:t xml:space="preserve">This Act may be cited as the </w:t>
      </w:r>
      <w:r w:rsidRPr="00367962">
        <w:rPr>
          <w:rFonts w:ascii="Times New Roman" w:hAnsi="Times New Roman"/>
          <w:i/>
        </w:rPr>
        <w:t xml:space="preserve">Insurance Act </w:t>
      </w:r>
      <w:r w:rsidR="00FE72BF" w:rsidRPr="00367962">
        <w:rPr>
          <w:rFonts w:ascii="Times New Roman" w:hAnsi="Times New Roman"/>
        </w:rPr>
        <w:t>1963.</w:t>
      </w:r>
    </w:p>
    <w:p w:rsidR="00756A83" w:rsidRDefault="00756A83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56A83" w:rsidRPr="00367962" w:rsidRDefault="00756A83" w:rsidP="00006F63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</w:rPr>
        <w:lastRenderedPageBreak/>
        <w:t>(2.)</w:t>
      </w:r>
      <w:r w:rsidR="00006F63">
        <w:rPr>
          <w:rFonts w:ascii="Times New Roman" w:hAnsi="Times New Roman"/>
        </w:rPr>
        <w:tab/>
      </w:r>
      <w:r w:rsidRPr="00367962">
        <w:rPr>
          <w:rFonts w:ascii="Times New Roman" w:hAnsi="Times New Roman"/>
        </w:rPr>
        <w:t xml:space="preserve">The </w:t>
      </w:r>
      <w:r w:rsidRPr="00367962">
        <w:rPr>
          <w:rFonts w:ascii="Times New Roman" w:hAnsi="Times New Roman"/>
          <w:i/>
        </w:rPr>
        <w:t xml:space="preserve">Insurance Act </w:t>
      </w:r>
      <w:r w:rsidR="000674DF">
        <w:rPr>
          <w:rFonts w:ascii="Times New Roman" w:hAnsi="Times New Roman"/>
        </w:rPr>
        <w:t>1932-1960</w:t>
      </w:r>
      <w:r w:rsidRPr="00367962">
        <w:rPr>
          <w:rFonts w:ascii="Times New Roman" w:hAnsi="Times New Roman"/>
        </w:rPr>
        <w:t xml:space="preserve"> is in this Act referred to as the Principal Act.</w:t>
      </w:r>
    </w:p>
    <w:p w:rsidR="00756A83" w:rsidRPr="00367962" w:rsidRDefault="00756A83" w:rsidP="00373CC9">
      <w:pPr>
        <w:tabs>
          <w:tab w:val="left" w:pos="907"/>
        </w:tabs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</w:rPr>
        <w:t>(3.)</w:t>
      </w:r>
      <w:r w:rsidR="00006F63">
        <w:rPr>
          <w:rFonts w:ascii="Times New Roman" w:hAnsi="Times New Roman"/>
        </w:rPr>
        <w:tab/>
      </w:r>
      <w:r w:rsidRPr="00367962">
        <w:rPr>
          <w:rFonts w:ascii="Times New Roman" w:hAnsi="Times New Roman"/>
        </w:rPr>
        <w:t xml:space="preserve">The Principal Act, as amended by this Act, may be cited as the </w:t>
      </w:r>
      <w:r w:rsidRPr="00367962">
        <w:rPr>
          <w:rFonts w:ascii="Times New Roman" w:hAnsi="Times New Roman"/>
          <w:i/>
        </w:rPr>
        <w:t xml:space="preserve">Insurance Act </w:t>
      </w:r>
      <w:r w:rsidRPr="00367962">
        <w:rPr>
          <w:rFonts w:ascii="Times New Roman" w:hAnsi="Times New Roman"/>
        </w:rPr>
        <w:t>1932-1963.</w:t>
      </w:r>
    </w:p>
    <w:p w:rsidR="00756A83" w:rsidRPr="00006F63" w:rsidRDefault="00756A83" w:rsidP="00006F63">
      <w:pPr>
        <w:spacing w:before="120" w:after="60" w:line="240" w:lineRule="auto"/>
        <w:rPr>
          <w:rFonts w:ascii="Times New Roman" w:hAnsi="Times New Roman"/>
          <w:sz w:val="20"/>
        </w:rPr>
      </w:pPr>
      <w:r w:rsidRPr="00006F63">
        <w:rPr>
          <w:rFonts w:ascii="Times New Roman" w:hAnsi="Times New Roman"/>
          <w:b/>
          <w:sz w:val="20"/>
        </w:rPr>
        <w:t>Commencement.</w:t>
      </w:r>
    </w:p>
    <w:p w:rsidR="00756A83" w:rsidRPr="00367962" w:rsidRDefault="00756A83" w:rsidP="00006F6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  <w:b/>
        </w:rPr>
        <w:t>2.</w:t>
      </w:r>
      <w:r w:rsidR="00006F63">
        <w:rPr>
          <w:rFonts w:ascii="Times New Roman" w:hAnsi="Times New Roman"/>
        </w:rPr>
        <w:tab/>
      </w:r>
      <w:r w:rsidRPr="00367962">
        <w:rPr>
          <w:rFonts w:ascii="Times New Roman" w:hAnsi="Times New Roman"/>
        </w:rPr>
        <w:t>This Act shall come into operation on the day on which it receives the Royal Assent.</w:t>
      </w:r>
    </w:p>
    <w:p w:rsidR="00756A83" w:rsidRPr="00006F63" w:rsidRDefault="00756A83" w:rsidP="00006F6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06F63">
        <w:rPr>
          <w:rFonts w:ascii="Times New Roman" w:hAnsi="Times New Roman"/>
          <w:b/>
          <w:sz w:val="20"/>
        </w:rPr>
        <w:t>Interpretation.</w:t>
      </w:r>
    </w:p>
    <w:p w:rsidR="00756A83" w:rsidRPr="00367962" w:rsidRDefault="00756A83" w:rsidP="00006F6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  <w:b/>
        </w:rPr>
        <w:t>3.</w:t>
      </w:r>
      <w:r w:rsidR="00006F63">
        <w:rPr>
          <w:rFonts w:ascii="Times New Roman" w:hAnsi="Times New Roman"/>
        </w:rPr>
        <w:tab/>
      </w:r>
      <w:r w:rsidRPr="00367962">
        <w:rPr>
          <w:rFonts w:ascii="Times New Roman" w:hAnsi="Times New Roman"/>
        </w:rPr>
        <w:t>Section three of the Principal Act is amended by inserting after sub-section (2.) the following sub-section:—</w:t>
      </w:r>
    </w:p>
    <w:p w:rsidR="00756A83" w:rsidRPr="00367962" w:rsidRDefault="00314822" w:rsidP="00BA4756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56A83" w:rsidRPr="00367962">
        <w:rPr>
          <w:rFonts w:ascii="Times New Roman" w:hAnsi="Times New Roman"/>
        </w:rPr>
        <w:t>(2</w:t>
      </w:r>
      <w:r w:rsidR="00756A83" w:rsidRPr="000674DF">
        <w:rPr>
          <w:rFonts w:ascii="Times New Roman" w:hAnsi="Times New Roman"/>
          <w:smallCaps/>
        </w:rPr>
        <w:t>a</w:t>
      </w:r>
      <w:r w:rsidR="00756A83" w:rsidRPr="00367962">
        <w:rPr>
          <w:rFonts w:ascii="Times New Roman" w:hAnsi="Times New Roman"/>
        </w:rPr>
        <w:t>.)</w:t>
      </w:r>
      <w:r w:rsidR="00214A70">
        <w:rPr>
          <w:rFonts w:ascii="Times New Roman" w:hAnsi="Times New Roman"/>
        </w:rPr>
        <w:tab/>
      </w:r>
      <w:r w:rsidR="00756A83" w:rsidRPr="00367962">
        <w:rPr>
          <w:rFonts w:ascii="Times New Roman" w:hAnsi="Times New Roman"/>
        </w:rPr>
        <w:t>A reference in this Act to a liability under a policy</w:t>
      </w:r>
      <w:r w:rsidR="00756A83">
        <w:rPr>
          <w:rFonts w:ascii="Times New Roman" w:hAnsi="Times New Roman"/>
        </w:rPr>
        <w:t xml:space="preserve"> </w:t>
      </w:r>
      <w:r w:rsidR="00756A83" w:rsidRPr="00367962">
        <w:rPr>
          <w:rFonts w:ascii="Times New Roman" w:hAnsi="Times New Roman"/>
        </w:rPr>
        <w:t>shall be read as not including a reference to a liability to refund the whole or a part of a premium or to any other liability arising otherwise than by way of insurance.</w:t>
      </w:r>
      <w:r>
        <w:rPr>
          <w:rFonts w:ascii="Times New Roman" w:hAnsi="Times New Roman"/>
        </w:rPr>
        <w:t>”</w:t>
      </w:r>
      <w:r w:rsidR="00756A83" w:rsidRPr="00367962">
        <w:rPr>
          <w:rFonts w:ascii="Times New Roman" w:hAnsi="Times New Roman"/>
        </w:rPr>
        <w:t>.</w:t>
      </w:r>
    </w:p>
    <w:p w:rsidR="00756A83" w:rsidRPr="00367962" w:rsidRDefault="00756A83" w:rsidP="00373CC9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  <w:b/>
        </w:rPr>
        <w:t>4.</w:t>
      </w:r>
      <w:r w:rsidR="00006F63">
        <w:rPr>
          <w:rFonts w:ascii="Times New Roman" w:hAnsi="Times New Roman"/>
          <w:b/>
        </w:rPr>
        <w:tab/>
      </w:r>
      <w:r w:rsidRPr="00367962">
        <w:rPr>
          <w:rFonts w:ascii="Times New Roman" w:hAnsi="Times New Roman"/>
        </w:rPr>
        <w:t>Section twenty-one of the Principal Act is repealed and the following section inserted in its stead:—</w:t>
      </w:r>
    </w:p>
    <w:p w:rsidR="00756A83" w:rsidRPr="00373CC9" w:rsidRDefault="00756A83" w:rsidP="00373CC9">
      <w:pPr>
        <w:spacing w:before="120" w:after="60" w:line="240" w:lineRule="auto"/>
        <w:rPr>
          <w:rFonts w:ascii="Times New Roman" w:hAnsi="Times New Roman"/>
          <w:sz w:val="20"/>
        </w:rPr>
      </w:pPr>
      <w:r w:rsidRPr="00373CC9">
        <w:rPr>
          <w:rFonts w:ascii="Times New Roman" w:hAnsi="Times New Roman"/>
          <w:b/>
          <w:sz w:val="20"/>
        </w:rPr>
        <w:t>Deposits to be security to policy owners.</w:t>
      </w:r>
    </w:p>
    <w:p w:rsidR="00756A83" w:rsidRPr="00367962" w:rsidRDefault="00314822" w:rsidP="00AC679B">
      <w:pPr>
        <w:tabs>
          <w:tab w:val="left" w:pos="99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756A83" w:rsidRPr="00367962">
        <w:rPr>
          <w:rFonts w:ascii="Times New Roman" w:hAnsi="Times New Roman"/>
        </w:rPr>
        <w:t>21.</w:t>
      </w:r>
      <w:r w:rsidR="00AC679B">
        <w:rPr>
          <w:rFonts w:ascii="Times New Roman" w:hAnsi="Times New Roman"/>
        </w:rPr>
        <w:tab/>
      </w:r>
      <w:r w:rsidR="00756A83" w:rsidRPr="00367962">
        <w:rPr>
          <w:rFonts w:ascii="Times New Roman" w:hAnsi="Times New Roman"/>
        </w:rPr>
        <w:t xml:space="preserve">All moneys and securities for the time being deposited by any person with the Treasurer under this Act shall, subject to this Act, be and remain as a security for the meeting of liabilities of the person under policies issued </w:t>
      </w:r>
      <w:r w:rsidR="00C90CDB">
        <w:rPr>
          <w:rFonts w:ascii="Times New Roman" w:hAnsi="Times New Roman"/>
        </w:rPr>
        <w:t>by the person and shall not be li</w:t>
      </w:r>
      <w:r w:rsidR="00756A83" w:rsidRPr="00367962">
        <w:rPr>
          <w:rFonts w:ascii="Times New Roman" w:hAnsi="Times New Roman"/>
        </w:rPr>
        <w:t>able for the meeting of any other liabilities of the person until the first-mentioned liabilities have been met in full.</w:t>
      </w:r>
      <w:r>
        <w:rPr>
          <w:rFonts w:ascii="Times New Roman" w:hAnsi="Times New Roman"/>
        </w:rPr>
        <w:t>”</w:t>
      </w:r>
      <w:r w:rsidR="00756A83" w:rsidRPr="00367962">
        <w:rPr>
          <w:rFonts w:ascii="Times New Roman" w:hAnsi="Times New Roman"/>
        </w:rPr>
        <w:t>.</w:t>
      </w:r>
    </w:p>
    <w:p w:rsidR="00756A83" w:rsidRPr="00006F63" w:rsidRDefault="00756A83" w:rsidP="00006F63">
      <w:pPr>
        <w:spacing w:before="120" w:after="60" w:line="240" w:lineRule="auto"/>
        <w:rPr>
          <w:rFonts w:ascii="Times New Roman" w:hAnsi="Times New Roman"/>
          <w:sz w:val="20"/>
        </w:rPr>
      </w:pPr>
      <w:r w:rsidRPr="00006F63">
        <w:rPr>
          <w:rFonts w:ascii="Times New Roman" w:hAnsi="Times New Roman"/>
          <w:b/>
          <w:sz w:val="20"/>
        </w:rPr>
        <w:t>Deposits available to satisfy judgments and meet liabilities.</w:t>
      </w:r>
    </w:p>
    <w:p w:rsidR="00756A83" w:rsidRPr="00367962" w:rsidRDefault="00756A83" w:rsidP="00006F63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  <w:b/>
        </w:rPr>
        <w:t>5.</w:t>
      </w:r>
      <w:r w:rsidR="00006F63">
        <w:rPr>
          <w:rFonts w:ascii="Times New Roman" w:hAnsi="Times New Roman"/>
        </w:rPr>
        <w:tab/>
      </w:r>
      <w:r w:rsidRPr="00367962">
        <w:rPr>
          <w:rFonts w:ascii="Times New Roman" w:hAnsi="Times New Roman"/>
        </w:rPr>
        <w:t xml:space="preserve">Section twenty-two of the Principal Act is amended by inserting in sub-section (1.), after the words </w:t>
      </w:r>
      <w:r w:rsidR="00314822">
        <w:rPr>
          <w:rFonts w:ascii="Times New Roman" w:hAnsi="Times New Roman"/>
        </w:rPr>
        <w:t>“</w:t>
      </w:r>
      <w:r w:rsidRPr="00367962">
        <w:rPr>
          <w:rFonts w:ascii="Times New Roman" w:hAnsi="Times New Roman"/>
        </w:rPr>
        <w:t>in respect of</w:t>
      </w:r>
      <w:r w:rsidR="00314822">
        <w:rPr>
          <w:rFonts w:ascii="Times New Roman" w:hAnsi="Times New Roman"/>
        </w:rPr>
        <w:t>”</w:t>
      </w:r>
      <w:r w:rsidRPr="00367962">
        <w:rPr>
          <w:rFonts w:ascii="Times New Roman" w:hAnsi="Times New Roman"/>
        </w:rPr>
        <w:t xml:space="preserve">, the words </w:t>
      </w:r>
      <w:r w:rsidR="00314822">
        <w:rPr>
          <w:rFonts w:ascii="Times New Roman" w:hAnsi="Times New Roman"/>
        </w:rPr>
        <w:t>“</w:t>
      </w:r>
      <w:r w:rsidRPr="00367962">
        <w:rPr>
          <w:rFonts w:ascii="Times New Roman" w:hAnsi="Times New Roman"/>
        </w:rPr>
        <w:t>a liability under</w:t>
      </w:r>
      <w:r w:rsidR="00314822">
        <w:rPr>
          <w:rFonts w:ascii="Times New Roman" w:hAnsi="Times New Roman"/>
        </w:rPr>
        <w:t>”</w:t>
      </w:r>
      <w:r w:rsidRPr="00367962">
        <w:rPr>
          <w:rFonts w:ascii="Times New Roman" w:hAnsi="Times New Roman"/>
        </w:rPr>
        <w:t>.</w:t>
      </w:r>
    </w:p>
    <w:p w:rsidR="00756A83" w:rsidRPr="00006F63" w:rsidRDefault="00756A83" w:rsidP="00006F63">
      <w:pPr>
        <w:spacing w:before="120" w:after="60" w:line="240" w:lineRule="auto"/>
        <w:jc w:val="both"/>
        <w:rPr>
          <w:rFonts w:ascii="Times New Roman" w:hAnsi="Times New Roman"/>
          <w:sz w:val="20"/>
        </w:rPr>
      </w:pPr>
      <w:r w:rsidRPr="00006F63">
        <w:rPr>
          <w:rFonts w:ascii="Times New Roman" w:hAnsi="Times New Roman"/>
          <w:b/>
          <w:sz w:val="20"/>
        </w:rPr>
        <w:t>Application.</w:t>
      </w:r>
    </w:p>
    <w:p w:rsidR="00756A83" w:rsidRPr="000674DF" w:rsidRDefault="00756A83" w:rsidP="000674DF">
      <w:pPr>
        <w:spacing w:after="120" w:line="240" w:lineRule="auto"/>
        <w:ind w:firstLine="432"/>
        <w:jc w:val="both"/>
        <w:rPr>
          <w:rFonts w:ascii="Times New Roman" w:hAnsi="Times New Roman"/>
        </w:rPr>
      </w:pPr>
      <w:r w:rsidRPr="00367962">
        <w:rPr>
          <w:rFonts w:ascii="Times New Roman" w:hAnsi="Times New Roman"/>
          <w:b/>
        </w:rPr>
        <w:t>6.</w:t>
      </w:r>
      <w:r w:rsidR="00006F63">
        <w:rPr>
          <w:rFonts w:ascii="Times New Roman" w:hAnsi="Times New Roman"/>
        </w:rPr>
        <w:tab/>
      </w:r>
      <w:r w:rsidRPr="00367962">
        <w:rPr>
          <w:rFonts w:ascii="Times New Roman" w:hAnsi="Times New Roman"/>
        </w:rPr>
        <w:t>Notwithstanding the amendments made by this Act, the Principal Act continues to apply in relation to the application of moneys or securities deposited by a person with the Treasurer under that Act for the purpose of meeting liabilities of the person in respect of which a compromise or scheme of arrangement (whether approved by a court or not) has been entered into with the creditors of the person before the date of commencement of this Act, being a compromise or scheme of which the Treasurer was notified in writing before that date.</w:t>
      </w:r>
      <w:bookmarkStart w:id="0" w:name="_GoBack"/>
      <w:bookmarkEnd w:id="0"/>
    </w:p>
    <w:sectPr w:rsidR="00756A83" w:rsidRPr="000674DF" w:rsidSect="00325021">
      <w:headerReference w:type="even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090" w:rsidRDefault="00961090" w:rsidP="00325021">
      <w:pPr>
        <w:spacing w:after="0" w:line="240" w:lineRule="auto"/>
      </w:pPr>
      <w:r>
        <w:separator/>
      </w:r>
    </w:p>
  </w:endnote>
  <w:endnote w:type="continuationSeparator" w:id="0">
    <w:p w:rsidR="00961090" w:rsidRDefault="00961090" w:rsidP="0032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090" w:rsidRDefault="00961090" w:rsidP="00325021">
      <w:pPr>
        <w:spacing w:after="0" w:line="240" w:lineRule="auto"/>
      </w:pPr>
      <w:r>
        <w:separator/>
      </w:r>
    </w:p>
  </w:footnote>
  <w:footnote w:type="continuationSeparator" w:id="0">
    <w:p w:rsidR="00961090" w:rsidRDefault="00961090" w:rsidP="0032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021" w:rsidRPr="00325021" w:rsidRDefault="00325021" w:rsidP="00253CD6">
    <w:pPr>
      <w:tabs>
        <w:tab w:val="left" w:pos="4140"/>
        <w:tab w:val="left" w:pos="8370"/>
      </w:tabs>
      <w:spacing w:after="0" w:line="240" w:lineRule="auto"/>
      <w:jc w:val="both"/>
      <w:rPr>
        <w:rFonts w:ascii="Times New Roman" w:hAnsi="Times New Roman"/>
        <w:sz w:val="20"/>
      </w:rPr>
    </w:pPr>
    <w:r w:rsidRPr="00325021">
      <w:rPr>
        <w:rFonts w:ascii="Times New Roman" w:hAnsi="Times New Roman"/>
        <w:sz w:val="20"/>
      </w:rPr>
      <w:t>1963.</w:t>
    </w:r>
    <w:r>
      <w:rPr>
        <w:rFonts w:ascii="Times New Roman" w:hAnsi="Times New Roman"/>
        <w:sz w:val="20"/>
      </w:rPr>
      <w:tab/>
    </w:r>
    <w:r w:rsidRPr="00325021">
      <w:rPr>
        <w:rFonts w:ascii="Times New Roman" w:hAnsi="Times New Roman"/>
        <w:i/>
        <w:sz w:val="20"/>
      </w:rPr>
      <w:t>Insurance.</w:t>
    </w:r>
    <w:r>
      <w:rPr>
        <w:rFonts w:ascii="Times New Roman" w:hAnsi="Times New Roman"/>
        <w:i/>
        <w:sz w:val="20"/>
      </w:rPr>
      <w:tab/>
    </w:r>
    <w:r w:rsidRPr="00325021">
      <w:rPr>
        <w:rFonts w:ascii="Times New Roman" w:hAnsi="Times New Roman"/>
        <w:sz w:val="20"/>
      </w:rPr>
      <w:t>No. 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/>
  <w:defaultTabStop w:val="720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72BF"/>
    <w:rsid w:val="00006F63"/>
    <w:rsid w:val="000674DF"/>
    <w:rsid w:val="00073F92"/>
    <w:rsid w:val="0015698D"/>
    <w:rsid w:val="00214A70"/>
    <w:rsid w:val="00251801"/>
    <w:rsid w:val="00253CD6"/>
    <w:rsid w:val="00314822"/>
    <w:rsid w:val="003165EE"/>
    <w:rsid w:val="00325021"/>
    <w:rsid w:val="00367962"/>
    <w:rsid w:val="00373CC9"/>
    <w:rsid w:val="003C25CF"/>
    <w:rsid w:val="0063500A"/>
    <w:rsid w:val="006D5267"/>
    <w:rsid w:val="006D6814"/>
    <w:rsid w:val="006F252F"/>
    <w:rsid w:val="00756A83"/>
    <w:rsid w:val="00814B3E"/>
    <w:rsid w:val="008545A8"/>
    <w:rsid w:val="00870AC2"/>
    <w:rsid w:val="00961090"/>
    <w:rsid w:val="009B1639"/>
    <w:rsid w:val="00AC679B"/>
    <w:rsid w:val="00AD037C"/>
    <w:rsid w:val="00BA4756"/>
    <w:rsid w:val="00BF2C81"/>
    <w:rsid w:val="00C90CDB"/>
    <w:rsid w:val="00D8764C"/>
    <w:rsid w:val="00E36959"/>
    <w:rsid w:val="00F26FEB"/>
    <w:rsid w:val="00F526FC"/>
    <w:rsid w:val="00FE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191">
    <w:name w:val="Style1191"/>
    <w:basedOn w:val="Normal"/>
    <w:rsid w:val="00FE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2">
    <w:name w:val="Style1192"/>
    <w:basedOn w:val="Normal"/>
    <w:rsid w:val="00FE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5">
    <w:name w:val="Style1195"/>
    <w:basedOn w:val="Normal"/>
    <w:rsid w:val="00FE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6">
    <w:name w:val="Style1196"/>
    <w:basedOn w:val="Normal"/>
    <w:rsid w:val="00FE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197">
    <w:name w:val="Style1197"/>
    <w:basedOn w:val="Normal"/>
    <w:rsid w:val="00FE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02">
    <w:name w:val="Style1202"/>
    <w:basedOn w:val="Normal"/>
    <w:rsid w:val="00FE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8">
    <w:name w:val="Style1488"/>
    <w:basedOn w:val="Normal"/>
    <w:rsid w:val="00FE7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620">
    <w:name w:val="CharStyle620"/>
    <w:basedOn w:val="DefaultParagraphFont"/>
    <w:rsid w:val="00FE72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2"/>
      <w:szCs w:val="22"/>
    </w:rPr>
  </w:style>
  <w:style w:type="character" w:customStyle="1" w:styleId="CharStyle653">
    <w:name w:val="CharStyle653"/>
    <w:basedOn w:val="DefaultParagraphFont"/>
    <w:rsid w:val="00FE72BF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682">
    <w:name w:val="CharStyle682"/>
    <w:basedOn w:val="DefaultParagraphFont"/>
    <w:rsid w:val="00FE72BF"/>
    <w:rPr>
      <w:rFonts w:ascii="Times New Roman" w:eastAsia="Times New Roman" w:hAnsi="Times New Roman" w:cs="Times New Roman"/>
      <w:b/>
      <w:bCs/>
      <w:i w:val="0"/>
      <w:iCs w:val="0"/>
      <w:smallCaps/>
      <w:sz w:val="22"/>
      <w:szCs w:val="22"/>
    </w:rPr>
  </w:style>
  <w:style w:type="character" w:customStyle="1" w:styleId="CharStyle758">
    <w:name w:val="CharStyle758"/>
    <w:basedOn w:val="DefaultParagraphFont"/>
    <w:rsid w:val="00FE72BF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4"/>
      <w:szCs w:val="24"/>
    </w:rPr>
  </w:style>
  <w:style w:type="character" w:customStyle="1" w:styleId="CharStyle759">
    <w:name w:val="CharStyle759"/>
    <w:basedOn w:val="DefaultParagraphFont"/>
    <w:rsid w:val="00FE72BF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955">
    <w:name w:val="CharStyle955"/>
    <w:basedOn w:val="DefaultParagraphFont"/>
    <w:rsid w:val="00FE72B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14"/>
      <w:szCs w:val="14"/>
    </w:rPr>
  </w:style>
  <w:style w:type="character" w:customStyle="1" w:styleId="CharStyle971">
    <w:name w:val="CharStyle971"/>
    <w:basedOn w:val="DefaultParagraphFont"/>
    <w:rsid w:val="00FE72BF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125">
    <w:name w:val="CharStyle1125"/>
    <w:basedOn w:val="DefaultParagraphFont"/>
    <w:rsid w:val="00FE72BF"/>
    <w:rPr>
      <w:rFonts w:ascii="Palatino Linotype" w:eastAsia="Palatino Linotype" w:hAnsi="Palatino Linotype" w:cs="Palatino Linotype"/>
      <w:b/>
      <w:bCs/>
      <w:i w:val="0"/>
      <w:iCs w:val="0"/>
      <w:smallCaps w:val="0"/>
      <w:sz w:val="48"/>
      <w:szCs w:val="48"/>
    </w:rPr>
  </w:style>
  <w:style w:type="character" w:customStyle="1" w:styleId="CharStyle1189">
    <w:name w:val="CharStyle1189"/>
    <w:basedOn w:val="DefaultParagraphFont"/>
    <w:rsid w:val="00FE72BF"/>
    <w:rPr>
      <w:rFonts w:ascii="Times New Roman" w:eastAsia="Times New Roman" w:hAnsi="Times New Roman" w:cs="Times New Roman"/>
      <w:b w:val="0"/>
      <w:bCs w:val="0"/>
      <w:i/>
      <w:iCs/>
      <w:smallCaps w:val="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2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021"/>
  </w:style>
  <w:style w:type="paragraph" w:styleId="Footer">
    <w:name w:val="footer"/>
    <w:basedOn w:val="Normal"/>
    <w:link w:val="FooterChar"/>
    <w:uiPriority w:val="99"/>
    <w:semiHidden/>
    <w:unhideWhenUsed/>
    <w:rsid w:val="00325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0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38</cp:revision>
  <dcterms:created xsi:type="dcterms:W3CDTF">2017-05-02T06:34:00Z</dcterms:created>
  <dcterms:modified xsi:type="dcterms:W3CDTF">2018-10-09T21:34:00Z</dcterms:modified>
</cp:coreProperties>
</file>