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05F" w:rsidRPr="004D5AD5" w:rsidRDefault="0062005F" w:rsidP="00D7278B">
      <w:pPr>
        <w:spacing w:before="5000" w:after="0" w:line="240" w:lineRule="auto"/>
        <w:jc w:val="center"/>
        <w:rPr>
          <w:rFonts w:ascii="Times New Roman" w:hAnsi="Times New Roman" w:cs="Times New Roman"/>
          <w:sz w:val="36"/>
        </w:rPr>
      </w:pPr>
      <w:r w:rsidRPr="004D5AD5">
        <w:rPr>
          <w:rFonts w:ascii="Times New Roman" w:hAnsi="Times New Roman" w:cs="Times New Roman"/>
          <w:b/>
          <w:sz w:val="36"/>
        </w:rPr>
        <w:t>Pay-roll Tax Assessment</w:t>
      </w:r>
    </w:p>
    <w:p w:rsidR="0062005F" w:rsidRPr="004D5AD5" w:rsidRDefault="0062005F" w:rsidP="0062005F">
      <w:pPr>
        <w:spacing w:before="120" w:after="0" w:line="240" w:lineRule="auto"/>
        <w:jc w:val="center"/>
        <w:rPr>
          <w:rFonts w:ascii="Times New Roman" w:hAnsi="Times New Roman" w:cs="Times New Roman"/>
          <w:sz w:val="28"/>
        </w:rPr>
      </w:pPr>
      <w:r w:rsidRPr="004D5AD5">
        <w:rPr>
          <w:rFonts w:ascii="Times New Roman" w:hAnsi="Times New Roman" w:cs="Times New Roman"/>
          <w:b/>
          <w:sz w:val="28"/>
        </w:rPr>
        <w:t>No. 19 of 1969</w:t>
      </w:r>
    </w:p>
    <w:p w:rsidR="0062005F" w:rsidRPr="004D5AD5" w:rsidRDefault="0062005F" w:rsidP="0062005F">
      <w:pPr>
        <w:spacing w:before="120" w:after="0" w:line="240" w:lineRule="auto"/>
        <w:jc w:val="center"/>
        <w:rPr>
          <w:rFonts w:ascii="Times New Roman" w:hAnsi="Times New Roman" w:cs="Times New Roman"/>
          <w:sz w:val="26"/>
        </w:rPr>
      </w:pPr>
      <w:r w:rsidRPr="004D5AD5">
        <w:rPr>
          <w:rFonts w:ascii="Times New Roman" w:hAnsi="Times New Roman" w:cs="Times New Roman"/>
          <w:sz w:val="26"/>
        </w:rPr>
        <w:t xml:space="preserve">An Act to amend the </w:t>
      </w:r>
      <w:r w:rsidRPr="004D5AD5">
        <w:rPr>
          <w:rFonts w:ascii="Times New Roman" w:hAnsi="Times New Roman" w:cs="Times New Roman"/>
          <w:i/>
          <w:sz w:val="26"/>
        </w:rPr>
        <w:t xml:space="preserve">Pay-roll Tax Assessment Act </w:t>
      </w:r>
      <w:r w:rsidRPr="004D5AD5">
        <w:rPr>
          <w:rFonts w:ascii="Times New Roman" w:hAnsi="Times New Roman" w:cs="Times New Roman"/>
          <w:sz w:val="26"/>
        </w:rPr>
        <w:t>1941-1968 in relation to Rebates of Tax allowable to Producers</w:t>
      </w:r>
      <w:r>
        <w:rPr>
          <w:rFonts w:ascii="Times New Roman" w:hAnsi="Times New Roman" w:cs="Times New Roman"/>
          <w:sz w:val="26"/>
        </w:rPr>
        <w:t xml:space="preserve"> </w:t>
      </w:r>
      <w:r w:rsidRPr="004D5AD5">
        <w:rPr>
          <w:rFonts w:ascii="Times New Roman" w:hAnsi="Times New Roman" w:cs="Times New Roman"/>
          <w:sz w:val="26"/>
        </w:rPr>
        <w:t>of Gold.</w:t>
      </w:r>
    </w:p>
    <w:p w:rsidR="0062005F" w:rsidRPr="00A97472" w:rsidRDefault="0062005F" w:rsidP="0062005F">
      <w:pPr>
        <w:spacing w:before="120" w:after="0" w:line="240" w:lineRule="auto"/>
        <w:jc w:val="right"/>
        <w:rPr>
          <w:rFonts w:ascii="Times New Roman" w:hAnsi="Times New Roman" w:cs="Times New Roman"/>
          <w:sz w:val="26"/>
        </w:rPr>
      </w:pPr>
      <w:r w:rsidRPr="00A97472">
        <w:rPr>
          <w:rFonts w:ascii="Times New Roman" w:hAnsi="Times New Roman" w:cs="Times New Roman"/>
          <w:sz w:val="26"/>
        </w:rPr>
        <w:t>[Assented to 4 June 1969]</w:t>
      </w:r>
    </w:p>
    <w:p w:rsidR="0062005F" w:rsidRPr="00A97472" w:rsidRDefault="0062005F" w:rsidP="001275F7">
      <w:pPr>
        <w:spacing w:before="120" w:after="0" w:line="240" w:lineRule="auto"/>
        <w:jc w:val="both"/>
        <w:rPr>
          <w:rFonts w:ascii="Times New Roman" w:hAnsi="Times New Roman" w:cs="Times New Roman"/>
        </w:rPr>
      </w:pPr>
      <w:r w:rsidRPr="00A97472">
        <w:rPr>
          <w:rFonts w:ascii="Times New Roman" w:hAnsi="Times New Roman" w:cs="Times New Roman"/>
        </w:rPr>
        <w:t>BE it enacted by the Queen’s Most Excellent Majesty, the Senate, and the House of Representatives of the Commonwealth of Austra</w:t>
      </w:r>
      <w:bookmarkStart w:id="0" w:name="_GoBack"/>
      <w:bookmarkEnd w:id="0"/>
      <w:r w:rsidRPr="00A97472">
        <w:rPr>
          <w:rFonts w:ascii="Times New Roman" w:hAnsi="Times New Roman" w:cs="Times New Roman"/>
        </w:rPr>
        <w:t>lia, as follows:—</w:t>
      </w:r>
    </w:p>
    <w:p w:rsidR="0062005F" w:rsidRPr="004D5AD5" w:rsidRDefault="0062005F" w:rsidP="0062005F">
      <w:pPr>
        <w:spacing w:before="120" w:after="60" w:line="240" w:lineRule="auto"/>
        <w:rPr>
          <w:rFonts w:ascii="Times New Roman" w:hAnsi="Times New Roman" w:cs="Times New Roman"/>
          <w:b/>
          <w:sz w:val="20"/>
        </w:rPr>
      </w:pPr>
      <w:r w:rsidRPr="004D5AD5">
        <w:rPr>
          <w:rFonts w:ascii="Times New Roman" w:hAnsi="Times New Roman" w:cs="Times New Roman"/>
          <w:b/>
          <w:sz w:val="20"/>
        </w:rPr>
        <w:t>Short title and citation.</w:t>
      </w:r>
    </w:p>
    <w:p w:rsidR="0062005F" w:rsidRPr="0068733E" w:rsidRDefault="0062005F" w:rsidP="0062005F">
      <w:pPr>
        <w:tabs>
          <w:tab w:val="left" w:pos="1170"/>
        </w:tabs>
        <w:spacing w:after="0" w:line="240" w:lineRule="auto"/>
        <w:ind w:firstLine="288"/>
        <w:rPr>
          <w:rFonts w:ascii="Times New Roman" w:hAnsi="Times New Roman" w:cs="Times New Roman"/>
        </w:rPr>
      </w:pPr>
      <w:r w:rsidRPr="0068733E">
        <w:rPr>
          <w:rFonts w:ascii="Times New Roman" w:hAnsi="Times New Roman" w:cs="Times New Roman"/>
          <w:b/>
        </w:rPr>
        <w:t>1.</w:t>
      </w:r>
      <w:r w:rsidRPr="0068733E">
        <w:rPr>
          <w:rFonts w:ascii="Times New Roman" w:hAnsi="Times New Roman" w:cs="Times New Roman"/>
        </w:rPr>
        <w:t>—(1.)</w:t>
      </w:r>
      <w:r>
        <w:rPr>
          <w:rFonts w:ascii="Times New Roman" w:hAnsi="Times New Roman" w:cs="Times New Roman"/>
        </w:rPr>
        <w:tab/>
      </w:r>
      <w:r w:rsidRPr="0068733E">
        <w:rPr>
          <w:rFonts w:ascii="Times New Roman" w:hAnsi="Times New Roman" w:cs="Times New Roman"/>
        </w:rPr>
        <w:t xml:space="preserve">This Act may be cited as the </w:t>
      </w:r>
      <w:r w:rsidRPr="0068733E">
        <w:rPr>
          <w:rFonts w:ascii="Times New Roman" w:hAnsi="Times New Roman" w:cs="Times New Roman"/>
          <w:i/>
        </w:rPr>
        <w:t xml:space="preserve">Pay-roll Tax Assessment Act </w:t>
      </w:r>
      <w:r w:rsidRPr="0068733E">
        <w:rPr>
          <w:rFonts w:ascii="Times New Roman" w:hAnsi="Times New Roman" w:cs="Times New Roman"/>
        </w:rPr>
        <w:t>1969.</w:t>
      </w:r>
    </w:p>
    <w:p w:rsidR="0062005F" w:rsidRPr="0068733E" w:rsidRDefault="0062005F" w:rsidP="0062005F">
      <w:pPr>
        <w:spacing w:after="0" w:line="240" w:lineRule="auto"/>
        <w:ind w:firstLine="288"/>
        <w:rPr>
          <w:rFonts w:ascii="Times New Roman" w:hAnsi="Times New Roman" w:cs="Times New Roman"/>
        </w:rPr>
      </w:pPr>
      <w:r w:rsidRPr="0068733E">
        <w:rPr>
          <w:rFonts w:ascii="Times New Roman" w:hAnsi="Times New Roman" w:cs="Times New Roman"/>
        </w:rPr>
        <w:t>(2.)</w:t>
      </w:r>
      <w:r>
        <w:rPr>
          <w:rFonts w:ascii="Times New Roman" w:hAnsi="Times New Roman" w:cs="Times New Roman"/>
        </w:rPr>
        <w:tab/>
      </w:r>
      <w:r w:rsidRPr="0068733E">
        <w:rPr>
          <w:rFonts w:ascii="Times New Roman" w:hAnsi="Times New Roman" w:cs="Times New Roman"/>
        </w:rPr>
        <w:t xml:space="preserve">The </w:t>
      </w:r>
      <w:r w:rsidRPr="0068733E">
        <w:rPr>
          <w:rFonts w:ascii="Times New Roman" w:hAnsi="Times New Roman" w:cs="Times New Roman"/>
          <w:i/>
        </w:rPr>
        <w:t xml:space="preserve">Pay-roll Tax Assessment Act </w:t>
      </w:r>
      <w:r w:rsidR="00A97472">
        <w:rPr>
          <w:rFonts w:ascii="Times New Roman" w:hAnsi="Times New Roman" w:cs="Times New Roman"/>
        </w:rPr>
        <w:t>1941-1968</w:t>
      </w:r>
      <w:r w:rsidRPr="0068733E">
        <w:rPr>
          <w:rFonts w:ascii="Times New Roman" w:hAnsi="Times New Roman" w:cs="Times New Roman"/>
        </w:rPr>
        <w:t xml:space="preserve"> is in this Act referred to as the Principal Act.</w:t>
      </w:r>
    </w:p>
    <w:p w:rsidR="0062005F" w:rsidRPr="0068733E" w:rsidRDefault="0062005F" w:rsidP="0062005F">
      <w:pPr>
        <w:spacing w:after="0" w:line="240" w:lineRule="auto"/>
        <w:ind w:firstLine="288"/>
        <w:rPr>
          <w:rFonts w:ascii="Times New Roman" w:hAnsi="Times New Roman" w:cs="Times New Roman"/>
        </w:rPr>
      </w:pPr>
      <w:r w:rsidRPr="0068733E">
        <w:rPr>
          <w:rFonts w:ascii="Times New Roman" w:hAnsi="Times New Roman" w:cs="Times New Roman"/>
        </w:rPr>
        <w:t>(3.)</w:t>
      </w:r>
      <w:r>
        <w:rPr>
          <w:rFonts w:ascii="Times New Roman" w:hAnsi="Times New Roman" w:cs="Times New Roman"/>
        </w:rPr>
        <w:tab/>
      </w:r>
      <w:r w:rsidRPr="0068733E">
        <w:rPr>
          <w:rFonts w:ascii="Times New Roman" w:hAnsi="Times New Roman" w:cs="Times New Roman"/>
        </w:rPr>
        <w:t xml:space="preserve">The Principal Act, as amended by this Act, may be cited as the </w:t>
      </w:r>
      <w:r w:rsidRPr="0068733E">
        <w:rPr>
          <w:rFonts w:ascii="Times New Roman" w:hAnsi="Times New Roman" w:cs="Times New Roman"/>
          <w:i/>
        </w:rPr>
        <w:t xml:space="preserve">Pay-roll Tax Assessment Act </w:t>
      </w:r>
      <w:r w:rsidRPr="0068733E">
        <w:rPr>
          <w:rFonts w:ascii="Times New Roman" w:hAnsi="Times New Roman" w:cs="Times New Roman"/>
        </w:rPr>
        <w:t>1941-1969.</w:t>
      </w:r>
    </w:p>
    <w:p w:rsidR="0062005F" w:rsidRPr="004D5AD5" w:rsidRDefault="0062005F" w:rsidP="0062005F">
      <w:pPr>
        <w:spacing w:before="120" w:after="60" w:line="240" w:lineRule="auto"/>
        <w:rPr>
          <w:rFonts w:ascii="Times New Roman" w:hAnsi="Times New Roman" w:cs="Times New Roman"/>
          <w:b/>
          <w:sz w:val="20"/>
        </w:rPr>
      </w:pPr>
      <w:r w:rsidRPr="004D5AD5">
        <w:rPr>
          <w:rFonts w:ascii="Times New Roman" w:hAnsi="Times New Roman" w:cs="Times New Roman"/>
          <w:b/>
          <w:sz w:val="20"/>
        </w:rPr>
        <w:t>Commencement.</w:t>
      </w:r>
    </w:p>
    <w:p w:rsidR="0062005F" w:rsidRPr="0068733E" w:rsidRDefault="0062005F" w:rsidP="0062005F">
      <w:pPr>
        <w:tabs>
          <w:tab w:val="left" w:pos="630"/>
        </w:tabs>
        <w:spacing w:after="0" w:line="240" w:lineRule="auto"/>
        <w:ind w:firstLine="288"/>
        <w:rPr>
          <w:rFonts w:ascii="Times New Roman" w:hAnsi="Times New Roman" w:cs="Times New Roman"/>
        </w:rPr>
      </w:pPr>
      <w:r w:rsidRPr="0068733E">
        <w:rPr>
          <w:rFonts w:ascii="Times New Roman" w:hAnsi="Times New Roman" w:cs="Times New Roman"/>
          <w:b/>
        </w:rPr>
        <w:t>2.</w:t>
      </w:r>
      <w:r>
        <w:rPr>
          <w:rFonts w:ascii="Times New Roman" w:hAnsi="Times New Roman" w:cs="Times New Roman"/>
          <w:b/>
        </w:rPr>
        <w:tab/>
      </w:r>
      <w:r w:rsidRPr="0068733E">
        <w:rPr>
          <w:rFonts w:ascii="Times New Roman" w:hAnsi="Times New Roman" w:cs="Times New Roman"/>
        </w:rPr>
        <w:t>This Act shall come into operation on the day on which it receives the Royal Assent.</w:t>
      </w:r>
    </w:p>
    <w:p w:rsidR="0062005F" w:rsidRPr="0062005F" w:rsidRDefault="0062005F" w:rsidP="001275F7">
      <w:pPr>
        <w:pBdr>
          <w:top w:val="single" w:sz="4" w:space="1" w:color="auto"/>
        </w:pBdr>
        <w:spacing w:before="60" w:after="0" w:line="240" w:lineRule="auto"/>
        <w:ind w:firstLine="288"/>
        <w:jc w:val="both"/>
        <w:rPr>
          <w:rFonts w:ascii="Times New Roman" w:hAnsi="Times New Roman" w:cs="Times New Roman"/>
          <w:sz w:val="20"/>
        </w:rPr>
      </w:pPr>
      <w:r>
        <w:rPr>
          <w:rFonts w:ascii="Times New Roman" w:hAnsi="Times New Roman" w:cs="Times New Roman"/>
        </w:rPr>
        <w:br w:type="page"/>
      </w:r>
    </w:p>
    <w:p w:rsidR="0062005F" w:rsidRPr="0068733E" w:rsidRDefault="0062005F" w:rsidP="0062005F">
      <w:pPr>
        <w:tabs>
          <w:tab w:val="left" w:pos="630"/>
        </w:tabs>
        <w:spacing w:after="0" w:line="240" w:lineRule="auto"/>
        <w:ind w:firstLine="288"/>
        <w:jc w:val="both"/>
        <w:rPr>
          <w:rFonts w:ascii="Times New Roman" w:hAnsi="Times New Roman" w:cs="Times New Roman"/>
        </w:rPr>
      </w:pPr>
      <w:r w:rsidRPr="0068733E">
        <w:rPr>
          <w:rFonts w:ascii="Times New Roman" w:hAnsi="Times New Roman" w:cs="Times New Roman"/>
          <w:b/>
        </w:rPr>
        <w:lastRenderedPageBreak/>
        <w:t>3.</w:t>
      </w:r>
      <w:r>
        <w:rPr>
          <w:rFonts w:ascii="Times New Roman" w:hAnsi="Times New Roman" w:cs="Times New Roman"/>
          <w:b/>
        </w:rPr>
        <w:tab/>
      </w:r>
      <w:r w:rsidRPr="0068733E">
        <w:rPr>
          <w:rFonts w:ascii="Times New Roman" w:hAnsi="Times New Roman" w:cs="Times New Roman"/>
        </w:rPr>
        <w:t>Section 16</w:t>
      </w:r>
      <w:r w:rsidRPr="00A97472">
        <w:rPr>
          <w:rFonts w:ascii="Times New Roman" w:hAnsi="Times New Roman" w:cs="Times New Roman"/>
          <w:smallCaps/>
        </w:rPr>
        <w:t>x</w:t>
      </w:r>
      <w:r w:rsidRPr="0068733E">
        <w:rPr>
          <w:rFonts w:ascii="Times New Roman" w:hAnsi="Times New Roman" w:cs="Times New Roman"/>
        </w:rPr>
        <w:t xml:space="preserve"> of the Principal Act is repealed and the following section inserted in its stead:—</w:t>
      </w:r>
    </w:p>
    <w:p w:rsidR="0062005F" w:rsidRPr="001D25AA" w:rsidRDefault="0062005F" w:rsidP="0062005F">
      <w:pPr>
        <w:spacing w:before="120" w:after="60" w:line="240" w:lineRule="auto"/>
        <w:rPr>
          <w:rFonts w:ascii="Times New Roman" w:hAnsi="Times New Roman" w:cs="Times New Roman"/>
          <w:b/>
          <w:sz w:val="20"/>
        </w:rPr>
      </w:pPr>
      <w:r w:rsidRPr="001D25AA">
        <w:rPr>
          <w:rFonts w:ascii="Times New Roman" w:hAnsi="Times New Roman" w:cs="Times New Roman"/>
          <w:b/>
          <w:sz w:val="20"/>
        </w:rPr>
        <w:t>Gold.</w:t>
      </w:r>
    </w:p>
    <w:p w:rsidR="0062005F" w:rsidRPr="0068733E" w:rsidRDefault="0062005F" w:rsidP="0062005F">
      <w:pPr>
        <w:spacing w:after="0" w:line="240" w:lineRule="auto"/>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16</w:t>
      </w:r>
      <w:r w:rsidRPr="00A97472">
        <w:rPr>
          <w:rFonts w:ascii="Times New Roman" w:hAnsi="Times New Roman" w:cs="Times New Roman"/>
          <w:smallCaps/>
        </w:rPr>
        <w:t>x</w:t>
      </w:r>
      <w:r w:rsidRPr="0068733E">
        <w:rPr>
          <w:rFonts w:ascii="Times New Roman" w:hAnsi="Times New Roman" w:cs="Times New Roman"/>
        </w:rPr>
        <w:t xml:space="preserve">.—(1.) For the purposes of this Division, where gold has been delivered in accordance with section forty-two of the </w:t>
      </w:r>
      <w:r w:rsidRPr="0068733E">
        <w:rPr>
          <w:rFonts w:ascii="Times New Roman" w:hAnsi="Times New Roman" w:cs="Times New Roman"/>
          <w:i/>
        </w:rPr>
        <w:t xml:space="preserve">Banking Act </w:t>
      </w:r>
      <w:r w:rsidRPr="0068733E">
        <w:rPr>
          <w:rFonts w:ascii="Times New Roman" w:hAnsi="Times New Roman" w:cs="Times New Roman"/>
        </w:rPr>
        <w:t>1959—</w:t>
      </w:r>
    </w:p>
    <w:p w:rsidR="0062005F" w:rsidRPr="0068733E" w:rsidRDefault="0062005F" w:rsidP="0062005F">
      <w:pPr>
        <w:spacing w:before="120" w:after="0" w:line="240" w:lineRule="auto"/>
        <w:ind w:left="778" w:hanging="346"/>
        <w:jc w:val="both"/>
        <w:rPr>
          <w:rFonts w:ascii="Times New Roman" w:hAnsi="Times New Roman" w:cs="Times New Roman"/>
        </w:rPr>
      </w:pPr>
      <w:r w:rsidRPr="0068733E">
        <w:rPr>
          <w:rFonts w:ascii="Times New Roman" w:hAnsi="Times New Roman" w:cs="Times New Roman"/>
        </w:rPr>
        <w:t>(</w:t>
      </w:r>
      <w:r w:rsidRPr="0068733E">
        <w:rPr>
          <w:rFonts w:ascii="Times New Roman" w:hAnsi="Times New Roman" w:cs="Times New Roman"/>
          <w:i/>
        </w:rPr>
        <w:t>a</w:t>
      </w:r>
      <w:r w:rsidRPr="0068733E">
        <w:rPr>
          <w:rFonts w:ascii="Times New Roman" w:hAnsi="Times New Roman" w:cs="Times New Roman"/>
        </w:rPr>
        <w:t>) the gold shall be deemed to have been exported from Australia on the date on which the gold was so delivered;</w:t>
      </w:r>
    </w:p>
    <w:p w:rsidR="0062005F" w:rsidRPr="0068733E" w:rsidRDefault="0062005F" w:rsidP="0062005F">
      <w:pPr>
        <w:spacing w:before="120" w:after="0" w:line="240" w:lineRule="auto"/>
        <w:ind w:left="778" w:hanging="346"/>
        <w:jc w:val="both"/>
        <w:rPr>
          <w:rFonts w:ascii="Times New Roman" w:hAnsi="Times New Roman" w:cs="Times New Roman"/>
        </w:rPr>
      </w:pPr>
      <w:r w:rsidRPr="00C10A76">
        <w:rPr>
          <w:rFonts w:ascii="Times New Roman" w:hAnsi="Times New Roman" w:cs="Times New Roman"/>
        </w:rPr>
        <w:t>(</w:t>
      </w:r>
      <w:r w:rsidRPr="0068733E">
        <w:rPr>
          <w:rFonts w:ascii="Times New Roman" w:hAnsi="Times New Roman" w:cs="Times New Roman"/>
          <w:i/>
        </w:rPr>
        <w:t>b</w:t>
      </w:r>
      <w:r w:rsidRPr="00C10A76">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the person who by mining (including the working of alluvial or surface deposits) produced the minerals from which the gold was obtained, and no other person, shall be deemed to be the producer for export of the gold;</w:t>
      </w:r>
    </w:p>
    <w:p w:rsidR="0062005F" w:rsidRPr="0068733E" w:rsidRDefault="0062005F" w:rsidP="0062005F">
      <w:pPr>
        <w:spacing w:before="120" w:after="0" w:line="240" w:lineRule="auto"/>
        <w:ind w:left="778" w:hanging="346"/>
        <w:jc w:val="both"/>
        <w:rPr>
          <w:rFonts w:ascii="Times New Roman" w:hAnsi="Times New Roman" w:cs="Times New Roman"/>
        </w:rPr>
      </w:pPr>
      <w:r w:rsidRPr="0068733E">
        <w:rPr>
          <w:rFonts w:ascii="Times New Roman" w:hAnsi="Times New Roman" w:cs="Times New Roman"/>
        </w:rPr>
        <w:t>(</w:t>
      </w:r>
      <w:r w:rsidRPr="0068733E">
        <w:rPr>
          <w:rFonts w:ascii="Times New Roman" w:hAnsi="Times New Roman" w:cs="Times New Roman"/>
          <w:i/>
        </w:rPr>
        <w:t>c</w:t>
      </w:r>
      <w:r w:rsidRPr="0068733E">
        <w:rPr>
          <w:rFonts w:ascii="Times New Roman" w:hAnsi="Times New Roman" w:cs="Times New Roman"/>
        </w:rPr>
        <w:t>) except in a case to which the next succeeding paragraph applies, the value of export sales of that producer shall be deemed to include, in relation to the financial year in which the gold was so delivered, the consideration received in respect of the delivery of the gold by the person who so delivered the gold (whether the gold was so delivered by that producer or by another person);</w:t>
      </w:r>
    </w:p>
    <w:p w:rsidR="0062005F" w:rsidRPr="0068733E" w:rsidRDefault="0062005F" w:rsidP="0062005F">
      <w:pPr>
        <w:spacing w:before="120" w:after="0" w:line="240" w:lineRule="auto"/>
        <w:ind w:left="778" w:hanging="346"/>
        <w:jc w:val="both"/>
        <w:rPr>
          <w:rFonts w:ascii="Times New Roman" w:hAnsi="Times New Roman" w:cs="Times New Roman"/>
        </w:rPr>
      </w:pPr>
      <w:r w:rsidRPr="00C10A76">
        <w:rPr>
          <w:rFonts w:ascii="Times New Roman" w:hAnsi="Times New Roman" w:cs="Times New Roman"/>
        </w:rPr>
        <w:t>(</w:t>
      </w:r>
      <w:r w:rsidRPr="0068733E">
        <w:rPr>
          <w:rFonts w:ascii="Times New Roman" w:hAnsi="Times New Roman" w:cs="Times New Roman"/>
          <w:i/>
        </w:rPr>
        <w:t>d</w:t>
      </w:r>
      <w:r w:rsidRPr="00C10A76">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where, at any time during the financial year in which the gold was so delivered, the producer referred to in paragraph </w:t>
      </w:r>
      <w:r w:rsidRPr="00C10A76">
        <w:rPr>
          <w:rFonts w:ascii="Times New Roman" w:hAnsi="Times New Roman" w:cs="Times New Roman"/>
        </w:rPr>
        <w:t>(</w:t>
      </w:r>
      <w:r w:rsidRPr="0068733E">
        <w:rPr>
          <w:rFonts w:ascii="Times New Roman" w:hAnsi="Times New Roman" w:cs="Times New Roman"/>
          <w:i/>
        </w:rPr>
        <w:t>b</w:t>
      </w:r>
      <w:r w:rsidRPr="00C10A76">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of this sub-section was a shareholder in a prescribed company, the value of export sales of that producer shall be deemed to include—</w:t>
      </w:r>
    </w:p>
    <w:p w:rsidR="0062005F" w:rsidRPr="0068733E" w:rsidRDefault="0062005F" w:rsidP="0062005F">
      <w:pPr>
        <w:spacing w:before="120" w:after="0" w:line="240" w:lineRule="auto"/>
        <w:ind w:left="1354" w:hanging="346"/>
        <w:jc w:val="both"/>
        <w:rPr>
          <w:rFonts w:ascii="Times New Roman" w:hAnsi="Times New Roman" w:cs="Times New Roman"/>
        </w:rPr>
      </w:pPr>
      <w:r w:rsidRPr="0068733E">
        <w:rPr>
          <w:rFonts w:ascii="Times New Roman" w:hAnsi="Times New Roman" w:cs="Times New Roman"/>
        </w:rPr>
        <w:t>(</w:t>
      </w:r>
      <w:proofErr w:type="spellStart"/>
      <w:r w:rsidRPr="0068733E">
        <w:rPr>
          <w:rFonts w:ascii="Times New Roman" w:hAnsi="Times New Roman" w:cs="Times New Roman"/>
        </w:rPr>
        <w:t>i</w:t>
      </w:r>
      <w:proofErr w:type="spellEnd"/>
      <w:r w:rsidRPr="0068733E">
        <w:rPr>
          <w:rFonts w:ascii="Times New Roman" w:hAnsi="Times New Roman" w:cs="Times New Roman"/>
        </w:rPr>
        <w:t>) in relation to the financial year in which the gold was so delivered—so much of the consideration received in respect of the delivery of the gold by the person who so delivered the gold (whether the gold was so delivered by that producer or by another person) as exceeds the amount that bears to that consideration the same ratio as the prescribed ratio in relation to that financial year; and</w:t>
      </w:r>
    </w:p>
    <w:p w:rsidR="0062005F" w:rsidRPr="0068733E" w:rsidRDefault="0062005F" w:rsidP="0062005F">
      <w:pPr>
        <w:spacing w:before="120" w:after="0" w:line="240" w:lineRule="auto"/>
        <w:ind w:left="1354" w:hanging="346"/>
        <w:jc w:val="both"/>
        <w:rPr>
          <w:rFonts w:ascii="Times New Roman" w:hAnsi="Times New Roman" w:cs="Times New Roman"/>
        </w:rPr>
      </w:pPr>
      <w:r w:rsidRPr="0068733E">
        <w:rPr>
          <w:rFonts w:ascii="Times New Roman" w:hAnsi="Times New Roman" w:cs="Times New Roman"/>
        </w:rPr>
        <w:t xml:space="preserve">(ii) in relation to any financial year (including the financial year in which the gold was so delivered)—so much of the total of any dividends of the kind referred to in sub-section (2.) of section twenty-three </w:t>
      </w:r>
      <w:r w:rsidRPr="00D87419">
        <w:rPr>
          <w:rFonts w:ascii="Times New Roman" w:hAnsi="Times New Roman" w:cs="Times New Roman"/>
          <w:smallCaps/>
        </w:rPr>
        <w:t>c</w:t>
      </w:r>
      <w:r w:rsidRPr="0068733E">
        <w:rPr>
          <w:rFonts w:ascii="Times New Roman" w:hAnsi="Times New Roman" w:cs="Times New Roman"/>
        </w:rPr>
        <w:t xml:space="preserve"> of the </w:t>
      </w:r>
      <w:r w:rsidRPr="0068733E">
        <w:rPr>
          <w:rFonts w:ascii="Times New Roman" w:hAnsi="Times New Roman" w:cs="Times New Roman"/>
          <w:i/>
        </w:rPr>
        <w:t xml:space="preserve">Income Tax and Social Services Contribution Assessment Act </w:t>
      </w:r>
      <w:r w:rsidRPr="0068733E">
        <w:rPr>
          <w:rFonts w:ascii="Times New Roman" w:hAnsi="Times New Roman" w:cs="Times New Roman"/>
        </w:rPr>
        <w:t>1936-1951, or of that Act as amended and in force for the time being, received by him in that financial year as exceeds the amount that bears to the total of those dividends the same ratio as the prescribed ratio in relation to that financial year; and</w:t>
      </w:r>
    </w:p>
    <w:p w:rsidR="0062005F" w:rsidRPr="0068733E" w:rsidRDefault="0062005F" w:rsidP="00D87419">
      <w:pPr>
        <w:spacing w:before="120" w:after="0" w:line="240" w:lineRule="auto"/>
        <w:ind w:left="778" w:hanging="346"/>
        <w:jc w:val="both"/>
        <w:rPr>
          <w:rFonts w:ascii="Times New Roman" w:hAnsi="Times New Roman" w:cs="Times New Roman"/>
        </w:rPr>
      </w:pPr>
      <w:r w:rsidRPr="0068733E">
        <w:rPr>
          <w:rFonts w:ascii="Times New Roman" w:hAnsi="Times New Roman" w:cs="Times New Roman"/>
        </w:rPr>
        <w:t>(</w:t>
      </w:r>
      <w:r w:rsidRPr="0068733E">
        <w:rPr>
          <w:rFonts w:ascii="Times New Roman" w:hAnsi="Times New Roman" w:cs="Times New Roman"/>
          <w:i/>
        </w:rPr>
        <w:t>e</w:t>
      </w:r>
      <w:r w:rsidRPr="0068733E">
        <w:rPr>
          <w:rFonts w:ascii="Times New Roman" w:hAnsi="Times New Roman" w:cs="Times New Roman"/>
        </w:rPr>
        <w:t>) except for the purpose of calculating the prescribed ratio in relation to a financial year that is a financial year later than the financial year that ended on the thirtieth day of June, One thousand nine hundred and sixty-eight, any actual export of the gold shall not be taken into account for the purposes of this Division.</w:t>
      </w:r>
      <w:r>
        <w:rPr>
          <w:rFonts w:ascii="Times New Roman" w:hAnsi="Times New Roman" w:cs="Times New Roman"/>
        </w:rPr>
        <w:br w:type="page"/>
      </w:r>
    </w:p>
    <w:p w:rsidR="0062005F" w:rsidRPr="0068733E" w:rsidRDefault="0062005F" w:rsidP="0062005F">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lastRenderedPageBreak/>
        <w:t>“</w:t>
      </w:r>
      <w:r w:rsidRPr="0068733E">
        <w:rPr>
          <w:rFonts w:ascii="Times New Roman" w:hAnsi="Times New Roman" w:cs="Times New Roman"/>
        </w:rPr>
        <w:t>(2.)</w:t>
      </w:r>
      <w:r>
        <w:rPr>
          <w:rFonts w:ascii="Times New Roman" w:hAnsi="Times New Roman" w:cs="Times New Roman"/>
        </w:rPr>
        <w:tab/>
      </w:r>
      <w:r w:rsidRPr="0068733E">
        <w:rPr>
          <w:rFonts w:ascii="Times New Roman" w:hAnsi="Times New Roman" w:cs="Times New Roman"/>
        </w:rPr>
        <w:t>Notwithstanding the provisions of the last preceding sub-section, the provisions of this Division apply in relation to the export from Australia of gold that—</w:t>
      </w:r>
    </w:p>
    <w:p w:rsidR="0062005F" w:rsidRPr="0068733E" w:rsidRDefault="0062005F" w:rsidP="0062005F">
      <w:pPr>
        <w:spacing w:after="0" w:line="240" w:lineRule="auto"/>
        <w:ind w:left="778" w:hanging="346"/>
        <w:jc w:val="both"/>
        <w:rPr>
          <w:rFonts w:ascii="Times New Roman" w:hAnsi="Times New Roman" w:cs="Times New Roman"/>
        </w:rPr>
      </w:pPr>
      <w:r w:rsidRPr="008327FD">
        <w:rPr>
          <w:rFonts w:ascii="Times New Roman" w:hAnsi="Times New Roman" w:cs="Times New Roman"/>
        </w:rPr>
        <w:t>(</w:t>
      </w:r>
      <w:r w:rsidRPr="0068733E">
        <w:rPr>
          <w:rFonts w:ascii="Times New Roman" w:hAnsi="Times New Roman" w:cs="Times New Roman"/>
          <w:i/>
        </w:rPr>
        <w:t>a</w:t>
      </w:r>
      <w:r w:rsidRPr="008327FD">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has been purchased from the Reserve Bank; and</w:t>
      </w:r>
    </w:p>
    <w:p w:rsidR="0062005F" w:rsidRPr="0068733E" w:rsidRDefault="0062005F" w:rsidP="0062005F">
      <w:pPr>
        <w:spacing w:after="0" w:line="240" w:lineRule="auto"/>
        <w:ind w:left="778" w:hanging="346"/>
        <w:jc w:val="both"/>
        <w:rPr>
          <w:rFonts w:ascii="Times New Roman" w:hAnsi="Times New Roman" w:cs="Times New Roman"/>
        </w:rPr>
      </w:pPr>
      <w:r w:rsidRPr="008327FD">
        <w:rPr>
          <w:rFonts w:ascii="Times New Roman" w:hAnsi="Times New Roman" w:cs="Times New Roman"/>
        </w:rPr>
        <w:t>(</w:t>
      </w:r>
      <w:r w:rsidRPr="0068733E">
        <w:rPr>
          <w:rFonts w:ascii="Times New Roman" w:hAnsi="Times New Roman" w:cs="Times New Roman"/>
          <w:i/>
        </w:rPr>
        <w:t>b</w:t>
      </w:r>
      <w:r w:rsidRPr="008327FD">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has been exported by a person other than the Reserve Bank or a prescribed company,</w:t>
      </w:r>
    </w:p>
    <w:p w:rsidR="0062005F" w:rsidRPr="0068733E" w:rsidRDefault="0062005F" w:rsidP="0062005F">
      <w:pPr>
        <w:spacing w:after="0" w:line="240" w:lineRule="auto"/>
        <w:jc w:val="both"/>
        <w:rPr>
          <w:rFonts w:ascii="Times New Roman" w:hAnsi="Times New Roman" w:cs="Times New Roman"/>
        </w:rPr>
      </w:pPr>
      <w:r w:rsidRPr="0068733E">
        <w:rPr>
          <w:rFonts w:ascii="Times New Roman" w:hAnsi="Times New Roman" w:cs="Times New Roman"/>
        </w:rPr>
        <w:t>as if this section had not been enacted.</w:t>
      </w:r>
    </w:p>
    <w:p w:rsidR="0062005F" w:rsidRPr="0068733E" w:rsidRDefault="0062005F" w:rsidP="0062005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(3.)</w:t>
      </w:r>
      <w:r>
        <w:rPr>
          <w:rFonts w:ascii="Times New Roman" w:hAnsi="Times New Roman" w:cs="Times New Roman"/>
        </w:rPr>
        <w:tab/>
      </w:r>
      <w:r w:rsidRPr="0068733E">
        <w:rPr>
          <w:rFonts w:ascii="Times New Roman" w:hAnsi="Times New Roman" w:cs="Times New Roman"/>
        </w:rPr>
        <w:t xml:space="preserve">For the purposes of this section, gold delivered in accordance with section forty-two of the </w:t>
      </w:r>
      <w:r w:rsidRPr="0068733E">
        <w:rPr>
          <w:rFonts w:ascii="Times New Roman" w:hAnsi="Times New Roman" w:cs="Times New Roman"/>
          <w:i/>
        </w:rPr>
        <w:t xml:space="preserve">Banking Act </w:t>
      </w:r>
      <w:r w:rsidRPr="0068733E">
        <w:rPr>
          <w:rFonts w:ascii="Times New Roman" w:hAnsi="Times New Roman" w:cs="Times New Roman"/>
        </w:rPr>
        <w:t xml:space="preserve">1959 shall be deemed to have been so delivered at the time treated by the Reserve Bank as the time of delivery of the gold for the purpose of payment of the price fixed and published under section forty-four of the </w:t>
      </w:r>
      <w:r w:rsidRPr="0068733E">
        <w:rPr>
          <w:rFonts w:ascii="Times New Roman" w:hAnsi="Times New Roman" w:cs="Times New Roman"/>
          <w:i/>
        </w:rPr>
        <w:t xml:space="preserve">Banking Act </w:t>
      </w:r>
      <w:r w:rsidRPr="0068733E">
        <w:rPr>
          <w:rFonts w:ascii="Times New Roman" w:hAnsi="Times New Roman" w:cs="Times New Roman"/>
        </w:rPr>
        <w:t>1959.</w:t>
      </w:r>
    </w:p>
    <w:p w:rsidR="0062005F" w:rsidRPr="0068733E" w:rsidRDefault="0062005F" w:rsidP="0062005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(4.)</w:t>
      </w:r>
      <w:r>
        <w:rPr>
          <w:rFonts w:ascii="Times New Roman" w:hAnsi="Times New Roman" w:cs="Times New Roman"/>
        </w:rPr>
        <w:tab/>
      </w:r>
      <w:r w:rsidRPr="0068733E">
        <w:rPr>
          <w:rFonts w:ascii="Times New Roman" w:hAnsi="Times New Roman" w:cs="Times New Roman"/>
        </w:rPr>
        <w:t xml:space="preserve">A reference in this section to the </w:t>
      </w:r>
      <w:r w:rsidRPr="0068733E">
        <w:rPr>
          <w:rFonts w:ascii="Times New Roman" w:hAnsi="Times New Roman" w:cs="Times New Roman"/>
          <w:i/>
        </w:rPr>
        <w:t xml:space="preserve">Banking Act </w:t>
      </w:r>
      <w:r w:rsidRPr="0068733E">
        <w:rPr>
          <w:rFonts w:ascii="Times New Roman" w:hAnsi="Times New Roman" w:cs="Times New Roman"/>
        </w:rPr>
        <w:t>1959 shall be read as including a reference to that Act as amended and in force for the time being.</w:t>
      </w:r>
    </w:p>
    <w:p w:rsidR="0062005F" w:rsidRPr="0068733E" w:rsidRDefault="0062005F" w:rsidP="0062005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(5.) In this section—</w:t>
      </w:r>
    </w:p>
    <w:p w:rsidR="0062005F" w:rsidRPr="0068733E" w:rsidRDefault="0062005F" w:rsidP="0062005F">
      <w:pPr>
        <w:spacing w:before="60" w:after="0" w:line="240" w:lineRule="auto"/>
        <w:ind w:left="706" w:hanging="432"/>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prescribed company</w:t>
      </w:r>
      <w:r>
        <w:rPr>
          <w:rFonts w:ascii="Times New Roman" w:hAnsi="Times New Roman" w:cs="Times New Roman"/>
        </w:rPr>
        <w:t>’</w:t>
      </w:r>
      <w:r w:rsidRPr="0068733E">
        <w:rPr>
          <w:rFonts w:ascii="Times New Roman" w:hAnsi="Times New Roman" w:cs="Times New Roman"/>
        </w:rPr>
        <w:t xml:space="preserve"> means a company approved by the Treasurer for the purposes of section twenty-three c of the </w:t>
      </w:r>
      <w:r w:rsidRPr="0068733E">
        <w:rPr>
          <w:rFonts w:ascii="Times New Roman" w:hAnsi="Times New Roman" w:cs="Times New Roman"/>
          <w:i/>
        </w:rPr>
        <w:t xml:space="preserve">Income Tax and Social Services Contribution Assessment Act </w:t>
      </w:r>
      <w:r w:rsidRPr="0068733E">
        <w:rPr>
          <w:rFonts w:ascii="Times New Roman" w:hAnsi="Times New Roman" w:cs="Times New Roman"/>
        </w:rPr>
        <w:t>1936-1951 or of that Act as amended and in force for the time being;</w:t>
      </w:r>
    </w:p>
    <w:p w:rsidR="0062005F" w:rsidRPr="0068733E" w:rsidRDefault="0062005F" w:rsidP="0062005F">
      <w:pPr>
        <w:spacing w:before="60" w:after="0" w:line="240" w:lineRule="auto"/>
        <w:ind w:left="706" w:hanging="432"/>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the prescribed ratio</w:t>
      </w:r>
      <w:r>
        <w:rPr>
          <w:rFonts w:ascii="Times New Roman" w:hAnsi="Times New Roman" w:cs="Times New Roman"/>
        </w:rPr>
        <w:t>’</w:t>
      </w:r>
      <w:r w:rsidRPr="0068733E">
        <w:rPr>
          <w:rFonts w:ascii="Times New Roman" w:hAnsi="Times New Roman" w:cs="Times New Roman"/>
        </w:rPr>
        <w:t xml:space="preserve"> means—</w:t>
      </w:r>
    </w:p>
    <w:p w:rsidR="0062005F" w:rsidRPr="0068733E" w:rsidRDefault="0062005F" w:rsidP="0062005F">
      <w:pPr>
        <w:spacing w:before="60" w:after="0" w:line="240" w:lineRule="auto"/>
        <w:ind w:left="1296" w:hanging="432"/>
        <w:jc w:val="both"/>
        <w:rPr>
          <w:rFonts w:ascii="Times New Roman" w:hAnsi="Times New Roman" w:cs="Times New Roman"/>
        </w:rPr>
      </w:pPr>
      <w:r w:rsidRPr="008327FD">
        <w:rPr>
          <w:rFonts w:ascii="Times New Roman" w:hAnsi="Times New Roman" w:cs="Times New Roman"/>
        </w:rPr>
        <w:t>(</w:t>
      </w:r>
      <w:r w:rsidRPr="0068733E">
        <w:rPr>
          <w:rFonts w:ascii="Times New Roman" w:hAnsi="Times New Roman" w:cs="Times New Roman"/>
          <w:i/>
        </w:rPr>
        <w:t>a</w:t>
      </w:r>
      <w:r w:rsidRPr="008327FD">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in relation to a financial year that ended on the thirtieth day of June of a year specified in the first column of the table in the First Schedule to this Act—the ratio of the number specified in the second column of that table opposite to that year to the number specified in the third column of that table opposite to that year; and</w:t>
      </w:r>
    </w:p>
    <w:p w:rsidR="0062005F" w:rsidRPr="0068733E" w:rsidRDefault="0062005F" w:rsidP="0062005F">
      <w:pPr>
        <w:spacing w:before="60" w:after="0" w:line="240" w:lineRule="auto"/>
        <w:ind w:left="1296" w:hanging="432"/>
        <w:jc w:val="both"/>
        <w:rPr>
          <w:rFonts w:ascii="Times New Roman" w:hAnsi="Times New Roman" w:cs="Times New Roman"/>
        </w:rPr>
      </w:pPr>
      <w:r w:rsidRPr="008327FD">
        <w:rPr>
          <w:rFonts w:ascii="Times New Roman" w:hAnsi="Times New Roman" w:cs="Times New Roman"/>
        </w:rPr>
        <w:t>(</w:t>
      </w:r>
      <w:r w:rsidRPr="0068733E">
        <w:rPr>
          <w:rFonts w:ascii="Times New Roman" w:hAnsi="Times New Roman" w:cs="Times New Roman"/>
          <w:i/>
        </w:rPr>
        <w:t>b</w:t>
      </w:r>
      <w:r w:rsidRPr="008327FD">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in relation to a financial year that is a financial year later than the financial year that ended on the thirtieth day of June, One thousand nine hundred and sixty-eight—the ratio of the total quantity of gold purchased from the Reserve Bank sold during the immediately preceding financial year by prescribed companies, being gold other than gold exported by or on behalf of a prescribed company, to the total quantity of all gold purchased from the Reserve Bank sold during that immediately preceding financial year by prescribed companies;</w:t>
      </w:r>
    </w:p>
    <w:p w:rsidR="0062005F" w:rsidRPr="0068733E" w:rsidRDefault="0062005F" w:rsidP="0062005F">
      <w:pPr>
        <w:spacing w:before="60" w:after="0" w:line="240" w:lineRule="auto"/>
        <w:ind w:left="706" w:hanging="432"/>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the Reserve Bank</w:t>
      </w:r>
      <w:r>
        <w:rPr>
          <w:rFonts w:ascii="Times New Roman" w:hAnsi="Times New Roman" w:cs="Times New Roman"/>
        </w:rPr>
        <w:t>’</w:t>
      </w:r>
      <w:r w:rsidRPr="0068733E">
        <w:rPr>
          <w:rFonts w:ascii="Times New Roman" w:hAnsi="Times New Roman" w:cs="Times New Roman"/>
        </w:rPr>
        <w:t xml:space="preserve"> means the Reserve Bank of Australia.</w:t>
      </w:r>
      <w:r>
        <w:rPr>
          <w:rFonts w:ascii="Times New Roman" w:hAnsi="Times New Roman" w:cs="Times New Roman"/>
        </w:rPr>
        <w:t>”</w:t>
      </w:r>
      <w:r w:rsidRPr="0068733E">
        <w:rPr>
          <w:rFonts w:ascii="Times New Roman" w:hAnsi="Times New Roman" w:cs="Times New Roman"/>
        </w:rPr>
        <w:t>.</w:t>
      </w:r>
    </w:p>
    <w:p w:rsidR="0062005F" w:rsidRPr="008327FD" w:rsidRDefault="0062005F" w:rsidP="0062005F">
      <w:pPr>
        <w:spacing w:before="120" w:after="60" w:line="240" w:lineRule="auto"/>
        <w:jc w:val="both"/>
        <w:rPr>
          <w:rFonts w:ascii="Times New Roman" w:hAnsi="Times New Roman" w:cs="Times New Roman"/>
          <w:b/>
          <w:sz w:val="20"/>
        </w:rPr>
      </w:pPr>
      <w:r w:rsidRPr="008327FD">
        <w:rPr>
          <w:rFonts w:ascii="Times New Roman" w:hAnsi="Times New Roman" w:cs="Times New Roman"/>
          <w:b/>
          <w:sz w:val="20"/>
        </w:rPr>
        <w:t>Provision for payment of tax by executors or administrators.</w:t>
      </w:r>
    </w:p>
    <w:p w:rsidR="0062005F" w:rsidRPr="0068733E" w:rsidRDefault="0062005F" w:rsidP="00D87419">
      <w:pPr>
        <w:tabs>
          <w:tab w:val="left" w:pos="630"/>
        </w:tabs>
        <w:spacing w:after="0" w:line="240" w:lineRule="auto"/>
        <w:ind w:firstLine="288"/>
        <w:jc w:val="both"/>
        <w:rPr>
          <w:rFonts w:ascii="Times New Roman" w:hAnsi="Times New Roman" w:cs="Times New Roman"/>
        </w:rPr>
      </w:pPr>
      <w:r w:rsidRPr="0068733E">
        <w:rPr>
          <w:rFonts w:ascii="Times New Roman" w:hAnsi="Times New Roman" w:cs="Times New Roman"/>
          <w:b/>
        </w:rPr>
        <w:t>4.</w:t>
      </w:r>
      <w:r>
        <w:rPr>
          <w:rFonts w:ascii="Times New Roman" w:hAnsi="Times New Roman" w:cs="Times New Roman"/>
          <w:b/>
        </w:rPr>
        <w:tab/>
      </w:r>
      <w:r w:rsidRPr="0068733E">
        <w:rPr>
          <w:rFonts w:ascii="Times New Roman" w:hAnsi="Times New Roman" w:cs="Times New Roman"/>
        </w:rPr>
        <w:t xml:space="preserve">Section 33 of the Principal Act is amended by omitting from subsection (8.) the words </w:t>
      </w:r>
      <w:r>
        <w:rPr>
          <w:rFonts w:ascii="Times New Roman" w:hAnsi="Times New Roman" w:cs="Times New Roman"/>
        </w:rPr>
        <w:t>“</w:t>
      </w:r>
      <w:r w:rsidRPr="0068733E">
        <w:rPr>
          <w:rFonts w:ascii="Times New Roman" w:hAnsi="Times New Roman" w:cs="Times New Roman"/>
        </w:rPr>
        <w:t>the Schedule</w:t>
      </w:r>
      <w:r>
        <w:rPr>
          <w:rFonts w:ascii="Times New Roman" w:hAnsi="Times New Roman" w:cs="Times New Roman"/>
        </w:rPr>
        <w:t>”</w:t>
      </w:r>
      <w:r w:rsidRPr="0068733E">
        <w:rPr>
          <w:rFonts w:ascii="Times New Roman" w:hAnsi="Times New Roman" w:cs="Times New Roman"/>
        </w:rPr>
        <w:t xml:space="preserve"> and inserting in their stead the words </w:t>
      </w:r>
      <w:r>
        <w:rPr>
          <w:rFonts w:ascii="Times New Roman" w:hAnsi="Times New Roman" w:cs="Times New Roman"/>
        </w:rPr>
        <w:t>“</w:t>
      </w:r>
      <w:r w:rsidRPr="0068733E">
        <w:rPr>
          <w:rFonts w:ascii="Times New Roman" w:hAnsi="Times New Roman" w:cs="Times New Roman"/>
        </w:rPr>
        <w:t>the Second Schedule</w:t>
      </w:r>
      <w:r>
        <w:rPr>
          <w:rFonts w:ascii="Times New Roman" w:hAnsi="Times New Roman" w:cs="Times New Roman"/>
        </w:rPr>
        <w:t>”</w:t>
      </w:r>
      <w:r w:rsidRPr="0068733E">
        <w:rPr>
          <w:rFonts w:ascii="Times New Roman" w:hAnsi="Times New Roman" w:cs="Times New Roman"/>
        </w:rPr>
        <w:t>.</w:t>
      </w:r>
      <w:r>
        <w:rPr>
          <w:rFonts w:ascii="Times New Roman" w:hAnsi="Times New Roman" w:cs="Times New Roman"/>
        </w:rPr>
        <w:br w:type="page"/>
      </w:r>
    </w:p>
    <w:p w:rsidR="0062005F" w:rsidRPr="001F4BE5" w:rsidRDefault="0062005F" w:rsidP="0062005F">
      <w:pPr>
        <w:spacing w:before="120" w:after="60" w:line="240" w:lineRule="auto"/>
        <w:rPr>
          <w:rFonts w:ascii="Times New Roman" w:hAnsi="Times New Roman" w:cs="Times New Roman"/>
          <w:b/>
          <w:sz w:val="20"/>
        </w:rPr>
      </w:pPr>
      <w:r w:rsidRPr="001F4BE5">
        <w:rPr>
          <w:rFonts w:ascii="Times New Roman" w:hAnsi="Times New Roman" w:cs="Times New Roman"/>
          <w:b/>
          <w:sz w:val="20"/>
        </w:rPr>
        <w:lastRenderedPageBreak/>
        <w:t>First Schedule.</w:t>
      </w:r>
    </w:p>
    <w:p w:rsidR="0062005F" w:rsidRPr="0068733E" w:rsidRDefault="0062005F" w:rsidP="0062005F">
      <w:pPr>
        <w:tabs>
          <w:tab w:val="left" w:pos="630"/>
        </w:tabs>
        <w:spacing w:after="0" w:line="240" w:lineRule="auto"/>
        <w:ind w:firstLine="288"/>
        <w:jc w:val="both"/>
        <w:rPr>
          <w:rFonts w:ascii="Times New Roman" w:hAnsi="Times New Roman" w:cs="Times New Roman"/>
        </w:rPr>
      </w:pPr>
      <w:r w:rsidRPr="0068733E">
        <w:rPr>
          <w:rFonts w:ascii="Times New Roman" w:hAnsi="Times New Roman" w:cs="Times New Roman"/>
          <w:b/>
        </w:rPr>
        <w:t>5.</w:t>
      </w:r>
      <w:r>
        <w:rPr>
          <w:rFonts w:ascii="Times New Roman" w:hAnsi="Times New Roman" w:cs="Times New Roman"/>
          <w:b/>
        </w:rPr>
        <w:tab/>
      </w:r>
      <w:r w:rsidRPr="0068733E">
        <w:rPr>
          <w:rFonts w:ascii="Times New Roman" w:hAnsi="Times New Roman" w:cs="Times New Roman"/>
        </w:rPr>
        <w:t>After section 71 of the Principal Act the following heading and Schedule are inserted:—</w:t>
      </w:r>
    </w:p>
    <w:p w:rsidR="0062005F" w:rsidRPr="001F4BE5" w:rsidRDefault="0062005F" w:rsidP="0062005F">
      <w:pPr>
        <w:spacing w:before="120" w:after="0" w:line="240" w:lineRule="auto"/>
        <w:jc w:val="center"/>
        <w:rPr>
          <w:rFonts w:ascii="Times New Roman" w:hAnsi="Times New Roman" w:cs="Times New Roman"/>
          <w:sz w:val="24"/>
        </w:rPr>
      </w:pPr>
      <w:r w:rsidRPr="001F4BE5">
        <w:rPr>
          <w:rFonts w:ascii="Times New Roman" w:hAnsi="Times New Roman" w:cs="Times New Roman"/>
          <w:sz w:val="24"/>
        </w:rPr>
        <w:t>“THE SCHEDULES</w:t>
      </w:r>
    </w:p>
    <w:p w:rsidR="0062005F" w:rsidRDefault="0062005F" w:rsidP="0062005F">
      <w:pPr>
        <w:tabs>
          <w:tab w:val="left" w:pos="4410"/>
        </w:tabs>
        <w:spacing w:after="0" w:line="240" w:lineRule="auto"/>
        <w:jc w:val="center"/>
        <w:rPr>
          <w:rFonts w:ascii="Times New Roman" w:hAnsi="Times New Roman" w:cs="Times New Roman"/>
          <w:smallCaps/>
        </w:rPr>
      </w:pPr>
      <w:r w:rsidRPr="0068733E">
        <w:rPr>
          <w:rFonts w:ascii="Times New Roman" w:hAnsi="Times New Roman" w:cs="Times New Roman"/>
        </w:rPr>
        <w:t>——</w:t>
      </w:r>
    </w:p>
    <w:p w:rsidR="0062005F" w:rsidRPr="00D87419" w:rsidRDefault="0062005F" w:rsidP="0062005F">
      <w:pPr>
        <w:tabs>
          <w:tab w:val="left" w:pos="4410"/>
        </w:tabs>
        <w:spacing w:after="0" w:line="240" w:lineRule="auto"/>
        <w:jc w:val="right"/>
        <w:rPr>
          <w:rFonts w:ascii="Times New Roman" w:hAnsi="Times New Roman" w:cs="Times New Roman"/>
        </w:rPr>
      </w:pPr>
      <w:r w:rsidRPr="00D87419">
        <w:rPr>
          <w:rFonts w:ascii="Times New Roman" w:hAnsi="Times New Roman" w:cs="Times New Roman"/>
          <w:smallCaps/>
        </w:rPr>
        <w:t>“FIRST SCHEDULE</w:t>
      </w:r>
      <w:r w:rsidRPr="00D87419">
        <w:rPr>
          <w:rFonts w:ascii="Times New Roman" w:hAnsi="Times New Roman" w:cs="Times New Roman"/>
        </w:rPr>
        <w:tab/>
        <w:t>Section 16</w:t>
      </w:r>
      <w:r w:rsidRPr="00A97472">
        <w:rPr>
          <w:rFonts w:ascii="Times New Roman" w:hAnsi="Times New Roman" w:cs="Times New Roman"/>
          <w:smallCaps/>
        </w:rPr>
        <w:t>x</w:t>
      </w:r>
      <w:r w:rsidRPr="00D87419">
        <w:rPr>
          <w:rFonts w:ascii="Times New Roman" w:hAnsi="Times New Roman" w:cs="Times New Roman"/>
        </w:rPr>
        <w:t>.</w:t>
      </w:r>
    </w:p>
    <w:p w:rsidR="0062005F" w:rsidRPr="0068733E" w:rsidRDefault="0062005F" w:rsidP="0062005F">
      <w:pPr>
        <w:spacing w:before="60" w:after="60" w:line="240" w:lineRule="auto"/>
        <w:jc w:val="right"/>
        <w:rPr>
          <w:rFonts w:ascii="Times New Roman" w:hAnsi="Times New Roman" w:cs="Times New Roman"/>
        </w:rPr>
      </w:pPr>
      <w:r w:rsidRPr="0068733E">
        <w:rPr>
          <w:rFonts w:ascii="Times New Roman" w:hAnsi="Times New Roman" w:cs="Times New Roman"/>
          <w:smallCaps/>
        </w:rPr>
        <w:t xml:space="preserve">Table for Ascertaining the Prescribed Ratio for the Purposes of Section </w:t>
      </w:r>
      <w:r w:rsidRPr="0068733E">
        <w:rPr>
          <w:rFonts w:ascii="Times New Roman" w:hAnsi="Times New Roman" w:cs="Times New Roman"/>
        </w:rPr>
        <w:t>16</w:t>
      </w:r>
      <w:r w:rsidRPr="00A97472">
        <w:rPr>
          <w:rFonts w:ascii="Times New Roman" w:hAnsi="Times New Roman" w:cs="Times New Roman"/>
          <w:smallCaps/>
        </w:rPr>
        <w:t>x</w:t>
      </w:r>
    </w:p>
    <w:tbl>
      <w:tblPr>
        <w:tblW w:w="5000" w:type="pct"/>
        <w:tblCellMar>
          <w:left w:w="40" w:type="dxa"/>
          <w:right w:w="40" w:type="dxa"/>
        </w:tblCellMar>
        <w:tblLook w:val="0000" w:firstRow="0" w:lastRow="0" w:firstColumn="0" w:lastColumn="0" w:noHBand="0" w:noVBand="0"/>
      </w:tblPr>
      <w:tblGrid>
        <w:gridCol w:w="5674"/>
        <w:gridCol w:w="1723"/>
        <w:gridCol w:w="1712"/>
      </w:tblGrid>
      <w:tr w:rsidR="0062005F" w:rsidRPr="0068733E" w:rsidTr="00741F17">
        <w:trPr>
          <w:trHeight w:val="408"/>
        </w:trPr>
        <w:tc>
          <w:tcPr>
            <w:tcW w:w="3114" w:type="pct"/>
            <w:tcBorders>
              <w:top w:val="single" w:sz="6" w:space="0" w:color="auto"/>
              <w:bottom w:val="single" w:sz="6" w:space="0" w:color="auto"/>
              <w:right w:val="single" w:sz="6" w:space="0" w:color="auto"/>
            </w:tcBorders>
            <w:vAlign w:val="center"/>
          </w:tcPr>
          <w:p w:rsidR="0062005F" w:rsidRPr="0068733E" w:rsidRDefault="0062005F" w:rsidP="00D87419">
            <w:pPr>
              <w:spacing w:after="0" w:line="240" w:lineRule="auto"/>
              <w:rPr>
                <w:rFonts w:ascii="Times New Roman" w:hAnsi="Times New Roman" w:cs="Times New Roman"/>
              </w:rPr>
            </w:pPr>
            <w:r w:rsidRPr="0068733E">
              <w:rPr>
                <w:rFonts w:ascii="Times New Roman" w:hAnsi="Times New Roman" w:cs="Times New Roman"/>
              </w:rPr>
              <w:t>Column 1</w:t>
            </w:r>
          </w:p>
        </w:tc>
        <w:tc>
          <w:tcPr>
            <w:tcW w:w="946" w:type="pct"/>
            <w:tcBorders>
              <w:top w:val="single" w:sz="6" w:space="0" w:color="auto"/>
              <w:left w:val="single" w:sz="6" w:space="0" w:color="auto"/>
              <w:bottom w:val="single" w:sz="6" w:space="0" w:color="auto"/>
              <w:right w:val="single" w:sz="6" w:space="0" w:color="auto"/>
            </w:tcBorders>
            <w:vAlign w:val="center"/>
          </w:tcPr>
          <w:p w:rsidR="0062005F" w:rsidRPr="0068733E" w:rsidRDefault="0062005F" w:rsidP="00A97472">
            <w:pPr>
              <w:spacing w:after="0" w:line="240" w:lineRule="auto"/>
              <w:jc w:val="center"/>
              <w:rPr>
                <w:rFonts w:ascii="Times New Roman" w:hAnsi="Times New Roman" w:cs="Times New Roman"/>
              </w:rPr>
            </w:pPr>
            <w:r w:rsidRPr="0068733E">
              <w:rPr>
                <w:rFonts w:ascii="Times New Roman" w:hAnsi="Times New Roman" w:cs="Times New Roman"/>
              </w:rPr>
              <w:t>Column 2</w:t>
            </w:r>
          </w:p>
        </w:tc>
        <w:tc>
          <w:tcPr>
            <w:tcW w:w="940" w:type="pct"/>
            <w:tcBorders>
              <w:top w:val="single" w:sz="6" w:space="0" w:color="auto"/>
              <w:left w:val="single" w:sz="6" w:space="0" w:color="auto"/>
              <w:bottom w:val="single" w:sz="6" w:space="0" w:color="auto"/>
            </w:tcBorders>
            <w:vAlign w:val="center"/>
          </w:tcPr>
          <w:p w:rsidR="0062005F" w:rsidRPr="0068733E" w:rsidRDefault="0062005F" w:rsidP="00A97472">
            <w:pPr>
              <w:spacing w:after="0" w:line="240" w:lineRule="auto"/>
              <w:jc w:val="center"/>
              <w:rPr>
                <w:rFonts w:ascii="Times New Roman" w:hAnsi="Times New Roman" w:cs="Times New Roman"/>
              </w:rPr>
            </w:pPr>
            <w:r w:rsidRPr="0068733E">
              <w:rPr>
                <w:rFonts w:ascii="Times New Roman" w:hAnsi="Times New Roman" w:cs="Times New Roman"/>
              </w:rPr>
              <w:t>Column 3</w:t>
            </w:r>
          </w:p>
        </w:tc>
      </w:tr>
      <w:tr w:rsidR="0062005F" w:rsidRPr="0068733E" w:rsidTr="00741F17">
        <w:trPr>
          <w:trHeight w:val="20"/>
        </w:trPr>
        <w:tc>
          <w:tcPr>
            <w:tcW w:w="3114" w:type="pct"/>
            <w:tcBorders>
              <w:top w:val="single" w:sz="6" w:space="0" w:color="auto"/>
              <w:right w:val="single" w:sz="6" w:space="0" w:color="auto"/>
            </w:tcBorders>
          </w:tcPr>
          <w:p w:rsidR="0062005F" w:rsidRPr="0068733E" w:rsidRDefault="0062005F" w:rsidP="00741F17">
            <w:pPr>
              <w:tabs>
                <w:tab w:val="right" w:leader="dot" w:pos="5220"/>
              </w:tabs>
              <w:spacing w:after="0" w:line="240" w:lineRule="auto"/>
              <w:rPr>
                <w:rFonts w:ascii="Times New Roman" w:hAnsi="Times New Roman" w:cs="Times New Roman"/>
              </w:rPr>
            </w:pPr>
            <w:r w:rsidRPr="0068733E">
              <w:rPr>
                <w:rFonts w:ascii="Times New Roman" w:hAnsi="Times New Roman" w:cs="Times New Roman"/>
              </w:rPr>
              <w:t>1961</w:t>
            </w:r>
            <w:r>
              <w:rPr>
                <w:rFonts w:ascii="Times New Roman" w:hAnsi="Times New Roman" w:cs="Times New Roman"/>
              </w:rPr>
              <w:tab/>
            </w:r>
          </w:p>
        </w:tc>
        <w:tc>
          <w:tcPr>
            <w:tcW w:w="946" w:type="pct"/>
            <w:tcBorders>
              <w:top w:val="single" w:sz="6" w:space="0" w:color="auto"/>
              <w:left w:val="single" w:sz="6" w:space="0" w:color="auto"/>
              <w:right w:val="single" w:sz="6" w:space="0" w:color="auto"/>
            </w:tcBorders>
          </w:tcPr>
          <w:p w:rsidR="0062005F" w:rsidRPr="0068733E" w:rsidRDefault="0062005F" w:rsidP="00741F17">
            <w:pPr>
              <w:spacing w:after="0" w:line="240" w:lineRule="auto"/>
              <w:ind w:right="432"/>
              <w:jc w:val="right"/>
              <w:rPr>
                <w:rFonts w:ascii="Times New Roman" w:hAnsi="Times New Roman" w:cs="Times New Roman"/>
              </w:rPr>
            </w:pPr>
            <w:r w:rsidRPr="0068733E">
              <w:rPr>
                <w:rFonts w:ascii="Times New Roman" w:hAnsi="Times New Roman" w:cs="Times New Roman"/>
              </w:rPr>
              <w:t>46,854</w:t>
            </w:r>
          </w:p>
        </w:tc>
        <w:tc>
          <w:tcPr>
            <w:tcW w:w="940" w:type="pct"/>
            <w:tcBorders>
              <w:top w:val="single" w:sz="6" w:space="0" w:color="auto"/>
              <w:left w:val="single" w:sz="6" w:space="0" w:color="auto"/>
            </w:tcBorders>
          </w:tcPr>
          <w:p w:rsidR="0062005F" w:rsidRPr="0068733E" w:rsidRDefault="0062005F" w:rsidP="00741F17">
            <w:pPr>
              <w:spacing w:after="0" w:line="240" w:lineRule="auto"/>
              <w:ind w:right="432"/>
              <w:jc w:val="right"/>
              <w:rPr>
                <w:rFonts w:ascii="Times New Roman" w:hAnsi="Times New Roman" w:cs="Times New Roman"/>
              </w:rPr>
            </w:pPr>
            <w:r w:rsidRPr="0068733E">
              <w:rPr>
                <w:rFonts w:ascii="Times New Roman" w:hAnsi="Times New Roman" w:cs="Times New Roman"/>
              </w:rPr>
              <w:t>1,122,800</w:t>
            </w:r>
          </w:p>
        </w:tc>
      </w:tr>
      <w:tr w:rsidR="0062005F" w:rsidRPr="0068733E" w:rsidTr="00741F17">
        <w:trPr>
          <w:trHeight w:val="20"/>
        </w:trPr>
        <w:tc>
          <w:tcPr>
            <w:tcW w:w="3114" w:type="pct"/>
            <w:tcBorders>
              <w:right w:val="single" w:sz="6" w:space="0" w:color="auto"/>
            </w:tcBorders>
          </w:tcPr>
          <w:p w:rsidR="0062005F" w:rsidRPr="0068733E" w:rsidRDefault="0062005F" w:rsidP="00741F17">
            <w:pPr>
              <w:tabs>
                <w:tab w:val="right" w:leader="dot" w:pos="5220"/>
              </w:tabs>
              <w:spacing w:after="0" w:line="240" w:lineRule="auto"/>
              <w:rPr>
                <w:rFonts w:ascii="Times New Roman" w:hAnsi="Times New Roman" w:cs="Times New Roman"/>
              </w:rPr>
            </w:pPr>
            <w:r w:rsidRPr="0068733E">
              <w:rPr>
                <w:rFonts w:ascii="Times New Roman" w:hAnsi="Times New Roman" w:cs="Times New Roman"/>
              </w:rPr>
              <w:t>1962</w:t>
            </w:r>
            <w:r>
              <w:rPr>
                <w:rFonts w:ascii="Times New Roman" w:hAnsi="Times New Roman" w:cs="Times New Roman"/>
              </w:rPr>
              <w:tab/>
            </w:r>
          </w:p>
        </w:tc>
        <w:tc>
          <w:tcPr>
            <w:tcW w:w="946" w:type="pct"/>
            <w:tcBorders>
              <w:left w:val="single" w:sz="6" w:space="0" w:color="auto"/>
              <w:right w:val="single" w:sz="6" w:space="0" w:color="auto"/>
            </w:tcBorders>
          </w:tcPr>
          <w:p w:rsidR="0062005F" w:rsidRPr="0068733E" w:rsidRDefault="0062005F" w:rsidP="00741F17">
            <w:pPr>
              <w:spacing w:after="0" w:line="240" w:lineRule="auto"/>
              <w:ind w:right="432"/>
              <w:jc w:val="right"/>
              <w:rPr>
                <w:rFonts w:ascii="Times New Roman" w:hAnsi="Times New Roman" w:cs="Times New Roman"/>
              </w:rPr>
            </w:pPr>
            <w:r w:rsidRPr="0068733E">
              <w:rPr>
                <w:rFonts w:ascii="Times New Roman" w:hAnsi="Times New Roman" w:cs="Times New Roman"/>
              </w:rPr>
              <w:t>47,558</w:t>
            </w:r>
          </w:p>
        </w:tc>
        <w:tc>
          <w:tcPr>
            <w:tcW w:w="940" w:type="pct"/>
            <w:tcBorders>
              <w:left w:val="single" w:sz="6" w:space="0" w:color="auto"/>
            </w:tcBorders>
          </w:tcPr>
          <w:p w:rsidR="0062005F" w:rsidRPr="0068733E" w:rsidRDefault="0062005F" w:rsidP="00741F17">
            <w:pPr>
              <w:spacing w:after="0" w:line="240" w:lineRule="auto"/>
              <w:ind w:right="432"/>
              <w:jc w:val="right"/>
              <w:rPr>
                <w:rFonts w:ascii="Times New Roman" w:hAnsi="Times New Roman" w:cs="Times New Roman"/>
              </w:rPr>
            </w:pPr>
            <w:r w:rsidRPr="0068733E">
              <w:rPr>
                <w:rFonts w:ascii="Times New Roman" w:hAnsi="Times New Roman" w:cs="Times New Roman"/>
              </w:rPr>
              <w:t>1,081,253</w:t>
            </w:r>
          </w:p>
        </w:tc>
      </w:tr>
      <w:tr w:rsidR="0062005F" w:rsidRPr="0068733E" w:rsidTr="00741F17">
        <w:trPr>
          <w:trHeight w:val="20"/>
        </w:trPr>
        <w:tc>
          <w:tcPr>
            <w:tcW w:w="3114" w:type="pct"/>
            <w:tcBorders>
              <w:right w:val="single" w:sz="6" w:space="0" w:color="auto"/>
            </w:tcBorders>
          </w:tcPr>
          <w:p w:rsidR="0062005F" w:rsidRPr="0068733E" w:rsidRDefault="0062005F" w:rsidP="00741F17">
            <w:pPr>
              <w:tabs>
                <w:tab w:val="right" w:leader="dot" w:pos="5220"/>
              </w:tabs>
              <w:spacing w:after="0" w:line="240" w:lineRule="auto"/>
              <w:rPr>
                <w:rFonts w:ascii="Times New Roman" w:hAnsi="Times New Roman" w:cs="Times New Roman"/>
              </w:rPr>
            </w:pPr>
            <w:r w:rsidRPr="0068733E">
              <w:rPr>
                <w:rFonts w:ascii="Times New Roman" w:hAnsi="Times New Roman" w:cs="Times New Roman"/>
              </w:rPr>
              <w:t>1963</w:t>
            </w:r>
            <w:r>
              <w:rPr>
                <w:rFonts w:ascii="Times New Roman" w:hAnsi="Times New Roman" w:cs="Times New Roman"/>
              </w:rPr>
              <w:tab/>
            </w:r>
          </w:p>
        </w:tc>
        <w:tc>
          <w:tcPr>
            <w:tcW w:w="946" w:type="pct"/>
            <w:tcBorders>
              <w:left w:val="single" w:sz="6" w:space="0" w:color="auto"/>
              <w:right w:val="single" w:sz="6" w:space="0" w:color="auto"/>
            </w:tcBorders>
          </w:tcPr>
          <w:p w:rsidR="0062005F" w:rsidRPr="0068733E" w:rsidRDefault="0062005F" w:rsidP="00741F17">
            <w:pPr>
              <w:spacing w:after="0" w:line="240" w:lineRule="auto"/>
              <w:ind w:right="432"/>
              <w:jc w:val="right"/>
              <w:rPr>
                <w:rFonts w:ascii="Times New Roman" w:hAnsi="Times New Roman" w:cs="Times New Roman"/>
              </w:rPr>
            </w:pPr>
            <w:r w:rsidRPr="0068733E">
              <w:rPr>
                <w:rFonts w:ascii="Times New Roman" w:hAnsi="Times New Roman" w:cs="Times New Roman"/>
              </w:rPr>
              <w:t>45,793</w:t>
            </w:r>
          </w:p>
        </w:tc>
        <w:tc>
          <w:tcPr>
            <w:tcW w:w="940" w:type="pct"/>
            <w:tcBorders>
              <w:left w:val="single" w:sz="6" w:space="0" w:color="auto"/>
            </w:tcBorders>
          </w:tcPr>
          <w:p w:rsidR="0062005F" w:rsidRPr="0068733E" w:rsidRDefault="0062005F" w:rsidP="00741F17">
            <w:pPr>
              <w:spacing w:after="0" w:line="240" w:lineRule="auto"/>
              <w:ind w:right="432"/>
              <w:jc w:val="right"/>
              <w:rPr>
                <w:rFonts w:ascii="Times New Roman" w:hAnsi="Times New Roman" w:cs="Times New Roman"/>
              </w:rPr>
            </w:pPr>
            <w:r w:rsidRPr="0068733E">
              <w:rPr>
                <w:rFonts w:ascii="Times New Roman" w:hAnsi="Times New Roman" w:cs="Times New Roman"/>
              </w:rPr>
              <w:t>1,064,998</w:t>
            </w:r>
          </w:p>
        </w:tc>
      </w:tr>
      <w:tr w:rsidR="0062005F" w:rsidRPr="0068733E" w:rsidTr="00741F17">
        <w:trPr>
          <w:trHeight w:val="20"/>
        </w:trPr>
        <w:tc>
          <w:tcPr>
            <w:tcW w:w="3114" w:type="pct"/>
            <w:tcBorders>
              <w:right w:val="single" w:sz="6" w:space="0" w:color="auto"/>
            </w:tcBorders>
          </w:tcPr>
          <w:p w:rsidR="0062005F" w:rsidRPr="0068733E" w:rsidRDefault="0062005F" w:rsidP="00741F17">
            <w:pPr>
              <w:tabs>
                <w:tab w:val="right" w:leader="dot" w:pos="5220"/>
              </w:tabs>
              <w:spacing w:after="0" w:line="240" w:lineRule="auto"/>
              <w:rPr>
                <w:rFonts w:ascii="Times New Roman" w:hAnsi="Times New Roman" w:cs="Times New Roman"/>
              </w:rPr>
            </w:pPr>
            <w:r w:rsidRPr="0068733E">
              <w:rPr>
                <w:rFonts w:ascii="Times New Roman" w:hAnsi="Times New Roman" w:cs="Times New Roman"/>
              </w:rPr>
              <w:t>1964</w:t>
            </w:r>
            <w:r>
              <w:rPr>
                <w:rFonts w:ascii="Times New Roman" w:hAnsi="Times New Roman" w:cs="Times New Roman"/>
              </w:rPr>
              <w:tab/>
            </w:r>
          </w:p>
        </w:tc>
        <w:tc>
          <w:tcPr>
            <w:tcW w:w="946" w:type="pct"/>
            <w:tcBorders>
              <w:left w:val="single" w:sz="6" w:space="0" w:color="auto"/>
              <w:right w:val="single" w:sz="6" w:space="0" w:color="auto"/>
            </w:tcBorders>
          </w:tcPr>
          <w:p w:rsidR="0062005F" w:rsidRPr="0068733E" w:rsidRDefault="0062005F" w:rsidP="00741F17">
            <w:pPr>
              <w:spacing w:after="0" w:line="240" w:lineRule="auto"/>
              <w:ind w:right="432"/>
              <w:jc w:val="right"/>
              <w:rPr>
                <w:rFonts w:ascii="Times New Roman" w:hAnsi="Times New Roman" w:cs="Times New Roman"/>
              </w:rPr>
            </w:pPr>
            <w:r w:rsidRPr="0068733E">
              <w:rPr>
                <w:rFonts w:ascii="Times New Roman" w:hAnsi="Times New Roman" w:cs="Times New Roman"/>
              </w:rPr>
              <w:t>60,192</w:t>
            </w:r>
          </w:p>
        </w:tc>
        <w:tc>
          <w:tcPr>
            <w:tcW w:w="940" w:type="pct"/>
            <w:tcBorders>
              <w:left w:val="single" w:sz="6" w:space="0" w:color="auto"/>
            </w:tcBorders>
          </w:tcPr>
          <w:p w:rsidR="0062005F" w:rsidRPr="0068733E" w:rsidRDefault="0062005F" w:rsidP="00741F17">
            <w:pPr>
              <w:spacing w:after="0" w:line="240" w:lineRule="auto"/>
              <w:ind w:right="432"/>
              <w:jc w:val="right"/>
              <w:rPr>
                <w:rFonts w:ascii="Times New Roman" w:hAnsi="Times New Roman" w:cs="Times New Roman"/>
              </w:rPr>
            </w:pPr>
            <w:r w:rsidRPr="0068733E">
              <w:rPr>
                <w:rFonts w:ascii="Times New Roman" w:hAnsi="Times New Roman" w:cs="Times New Roman"/>
              </w:rPr>
              <w:t>1,040,998</w:t>
            </w:r>
          </w:p>
        </w:tc>
      </w:tr>
      <w:tr w:rsidR="0062005F" w:rsidRPr="0068733E" w:rsidTr="00741F17">
        <w:trPr>
          <w:trHeight w:val="20"/>
        </w:trPr>
        <w:tc>
          <w:tcPr>
            <w:tcW w:w="3114" w:type="pct"/>
            <w:tcBorders>
              <w:right w:val="single" w:sz="6" w:space="0" w:color="auto"/>
            </w:tcBorders>
          </w:tcPr>
          <w:p w:rsidR="0062005F" w:rsidRPr="0068733E" w:rsidRDefault="0062005F" w:rsidP="00741F17">
            <w:pPr>
              <w:tabs>
                <w:tab w:val="right" w:leader="dot" w:pos="5220"/>
              </w:tabs>
              <w:spacing w:after="0" w:line="240" w:lineRule="auto"/>
              <w:rPr>
                <w:rFonts w:ascii="Times New Roman" w:hAnsi="Times New Roman" w:cs="Times New Roman"/>
              </w:rPr>
            </w:pPr>
            <w:r w:rsidRPr="0068733E">
              <w:rPr>
                <w:rFonts w:ascii="Times New Roman" w:hAnsi="Times New Roman" w:cs="Times New Roman"/>
              </w:rPr>
              <w:t>1965</w:t>
            </w:r>
            <w:r>
              <w:rPr>
                <w:rFonts w:ascii="Times New Roman" w:hAnsi="Times New Roman" w:cs="Times New Roman"/>
              </w:rPr>
              <w:tab/>
            </w:r>
          </w:p>
        </w:tc>
        <w:tc>
          <w:tcPr>
            <w:tcW w:w="946" w:type="pct"/>
            <w:tcBorders>
              <w:left w:val="single" w:sz="6" w:space="0" w:color="auto"/>
              <w:right w:val="single" w:sz="6" w:space="0" w:color="auto"/>
            </w:tcBorders>
          </w:tcPr>
          <w:p w:rsidR="0062005F" w:rsidRPr="0068733E" w:rsidRDefault="0062005F" w:rsidP="00741F17">
            <w:pPr>
              <w:spacing w:after="0" w:line="240" w:lineRule="auto"/>
              <w:ind w:right="432"/>
              <w:jc w:val="right"/>
              <w:rPr>
                <w:rFonts w:ascii="Times New Roman" w:hAnsi="Times New Roman" w:cs="Times New Roman"/>
              </w:rPr>
            </w:pPr>
            <w:r w:rsidRPr="0068733E">
              <w:rPr>
                <w:rFonts w:ascii="Times New Roman" w:hAnsi="Times New Roman" w:cs="Times New Roman"/>
              </w:rPr>
              <w:t>70,777</w:t>
            </w:r>
          </w:p>
        </w:tc>
        <w:tc>
          <w:tcPr>
            <w:tcW w:w="940" w:type="pct"/>
            <w:tcBorders>
              <w:left w:val="single" w:sz="6" w:space="0" w:color="auto"/>
            </w:tcBorders>
          </w:tcPr>
          <w:p w:rsidR="0062005F" w:rsidRPr="0068733E" w:rsidRDefault="0062005F" w:rsidP="00741F17">
            <w:pPr>
              <w:spacing w:after="0" w:line="240" w:lineRule="auto"/>
              <w:ind w:right="432"/>
              <w:jc w:val="right"/>
              <w:rPr>
                <w:rFonts w:ascii="Times New Roman" w:hAnsi="Times New Roman" w:cs="Times New Roman"/>
              </w:rPr>
            </w:pPr>
            <w:r w:rsidRPr="0068733E">
              <w:rPr>
                <w:rFonts w:ascii="Times New Roman" w:hAnsi="Times New Roman" w:cs="Times New Roman"/>
              </w:rPr>
              <w:t>952,940</w:t>
            </w:r>
          </w:p>
        </w:tc>
      </w:tr>
      <w:tr w:rsidR="0062005F" w:rsidRPr="0068733E" w:rsidTr="00741F17">
        <w:trPr>
          <w:trHeight w:val="20"/>
        </w:trPr>
        <w:tc>
          <w:tcPr>
            <w:tcW w:w="3114" w:type="pct"/>
            <w:tcBorders>
              <w:right w:val="single" w:sz="6" w:space="0" w:color="auto"/>
            </w:tcBorders>
          </w:tcPr>
          <w:p w:rsidR="0062005F" w:rsidRPr="0068733E" w:rsidRDefault="0062005F" w:rsidP="00741F17">
            <w:pPr>
              <w:tabs>
                <w:tab w:val="right" w:leader="dot" w:pos="5220"/>
              </w:tabs>
              <w:spacing w:after="0" w:line="240" w:lineRule="auto"/>
              <w:rPr>
                <w:rFonts w:ascii="Times New Roman" w:hAnsi="Times New Roman" w:cs="Times New Roman"/>
              </w:rPr>
            </w:pPr>
            <w:r w:rsidRPr="0068733E">
              <w:rPr>
                <w:rFonts w:ascii="Times New Roman" w:hAnsi="Times New Roman" w:cs="Times New Roman"/>
              </w:rPr>
              <w:t>1966</w:t>
            </w:r>
            <w:r>
              <w:rPr>
                <w:rFonts w:ascii="Times New Roman" w:hAnsi="Times New Roman" w:cs="Times New Roman"/>
              </w:rPr>
              <w:tab/>
            </w:r>
          </w:p>
        </w:tc>
        <w:tc>
          <w:tcPr>
            <w:tcW w:w="946" w:type="pct"/>
            <w:tcBorders>
              <w:left w:val="single" w:sz="6" w:space="0" w:color="auto"/>
              <w:right w:val="single" w:sz="6" w:space="0" w:color="auto"/>
            </w:tcBorders>
          </w:tcPr>
          <w:p w:rsidR="0062005F" w:rsidRPr="0068733E" w:rsidRDefault="0062005F" w:rsidP="00741F17">
            <w:pPr>
              <w:spacing w:after="0" w:line="240" w:lineRule="auto"/>
              <w:ind w:right="432"/>
              <w:jc w:val="right"/>
              <w:rPr>
                <w:rFonts w:ascii="Times New Roman" w:hAnsi="Times New Roman" w:cs="Times New Roman"/>
              </w:rPr>
            </w:pPr>
            <w:r w:rsidRPr="0068733E">
              <w:rPr>
                <w:rFonts w:ascii="Times New Roman" w:hAnsi="Times New Roman" w:cs="Times New Roman"/>
              </w:rPr>
              <w:t>89,006</w:t>
            </w:r>
          </w:p>
        </w:tc>
        <w:tc>
          <w:tcPr>
            <w:tcW w:w="940" w:type="pct"/>
            <w:tcBorders>
              <w:left w:val="single" w:sz="6" w:space="0" w:color="auto"/>
            </w:tcBorders>
          </w:tcPr>
          <w:p w:rsidR="0062005F" w:rsidRPr="0068733E" w:rsidRDefault="0062005F" w:rsidP="00741F17">
            <w:pPr>
              <w:spacing w:after="0" w:line="240" w:lineRule="auto"/>
              <w:ind w:right="432"/>
              <w:jc w:val="right"/>
              <w:rPr>
                <w:rFonts w:ascii="Times New Roman" w:hAnsi="Times New Roman" w:cs="Times New Roman"/>
              </w:rPr>
            </w:pPr>
            <w:r w:rsidRPr="0068733E">
              <w:rPr>
                <w:rFonts w:ascii="Times New Roman" w:hAnsi="Times New Roman" w:cs="Times New Roman"/>
              </w:rPr>
              <w:t>911,875</w:t>
            </w:r>
          </w:p>
        </w:tc>
      </w:tr>
      <w:tr w:rsidR="0062005F" w:rsidRPr="0068733E" w:rsidTr="00741F17">
        <w:trPr>
          <w:trHeight w:val="20"/>
        </w:trPr>
        <w:tc>
          <w:tcPr>
            <w:tcW w:w="3114" w:type="pct"/>
            <w:tcBorders>
              <w:right w:val="single" w:sz="6" w:space="0" w:color="auto"/>
            </w:tcBorders>
          </w:tcPr>
          <w:p w:rsidR="0062005F" w:rsidRPr="0068733E" w:rsidRDefault="0062005F" w:rsidP="00741F17">
            <w:pPr>
              <w:tabs>
                <w:tab w:val="right" w:leader="dot" w:pos="5220"/>
              </w:tabs>
              <w:spacing w:after="0" w:line="240" w:lineRule="auto"/>
              <w:rPr>
                <w:rFonts w:ascii="Times New Roman" w:hAnsi="Times New Roman" w:cs="Times New Roman"/>
              </w:rPr>
            </w:pPr>
            <w:r w:rsidRPr="0068733E">
              <w:rPr>
                <w:rFonts w:ascii="Times New Roman" w:hAnsi="Times New Roman" w:cs="Times New Roman"/>
              </w:rPr>
              <w:t>1967</w:t>
            </w:r>
            <w:r>
              <w:rPr>
                <w:rFonts w:ascii="Times New Roman" w:hAnsi="Times New Roman" w:cs="Times New Roman"/>
              </w:rPr>
              <w:tab/>
            </w:r>
          </w:p>
        </w:tc>
        <w:tc>
          <w:tcPr>
            <w:tcW w:w="946" w:type="pct"/>
            <w:tcBorders>
              <w:left w:val="single" w:sz="6" w:space="0" w:color="auto"/>
              <w:right w:val="single" w:sz="6" w:space="0" w:color="auto"/>
            </w:tcBorders>
          </w:tcPr>
          <w:p w:rsidR="0062005F" w:rsidRPr="0068733E" w:rsidRDefault="0062005F" w:rsidP="00741F17">
            <w:pPr>
              <w:spacing w:after="0" w:line="240" w:lineRule="auto"/>
              <w:ind w:right="432"/>
              <w:jc w:val="right"/>
              <w:rPr>
                <w:rFonts w:ascii="Times New Roman" w:hAnsi="Times New Roman" w:cs="Times New Roman"/>
              </w:rPr>
            </w:pPr>
            <w:r w:rsidRPr="0068733E">
              <w:rPr>
                <w:rFonts w:ascii="Times New Roman" w:hAnsi="Times New Roman" w:cs="Times New Roman"/>
              </w:rPr>
              <w:t>90,479</w:t>
            </w:r>
          </w:p>
        </w:tc>
        <w:tc>
          <w:tcPr>
            <w:tcW w:w="940" w:type="pct"/>
            <w:tcBorders>
              <w:left w:val="single" w:sz="6" w:space="0" w:color="auto"/>
            </w:tcBorders>
          </w:tcPr>
          <w:p w:rsidR="0062005F" w:rsidRPr="0068733E" w:rsidRDefault="0062005F" w:rsidP="00741F17">
            <w:pPr>
              <w:spacing w:after="0" w:line="240" w:lineRule="auto"/>
              <w:ind w:right="432"/>
              <w:jc w:val="right"/>
              <w:rPr>
                <w:rFonts w:ascii="Times New Roman" w:hAnsi="Times New Roman" w:cs="Times New Roman"/>
              </w:rPr>
            </w:pPr>
            <w:r w:rsidRPr="0068733E">
              <w:rPr>
                <w:rFonts w:ascii="Times New Roman" w:hAnsi="Times New Roman" w:cs="Times New Roman"/>
              </w:rPr>
              <w:t>803,192</w:t>
            </w:r>
          </w:p>
        </w:tc>
      </w:tr>
      <w:tr w:rsidR="0062005F" w:rsidRPr="0068733E" w:rsidTr="00741F17">
        <w:trPr>
          <w:trHeight w:val="20"/>
        </w:trPr>
        <w:tc>
          <w:tcPr>
            <w:tcW w:w="3114" w:type="pct"/>
            <w:tcBorders>
              <w:bottom w:val="single" w:sz="6" w:space="0" w:color="auto"/>
              <w:right w:val="single" w:sz="6" w:space="0" w:color="auto"/>
            </w:tcBorders>
          </w:tcPr>
          <w:p w:rsidR="0062005F" w:rsidRPr="0068733E" w:rsidRDefault="0062005F" w:rsidP="00741F17">
            <w:pPr>
              <w:tabs>
                <w:tab w:val="right" w:leader="dot" w:pos="5220"/>
              </w:tabs>
              <w:spacing w:after="0" w:line="240" w:lineRule="auto"/>
              <w:rPr>
                <w:rFonts w:ascii="Times New Roman" w:hAnsi="Times New Roman" w:cs="Times New Roman"/>
              </w:rPr>
            </w:pPr>
            <w:r w:rsidRPr="0068733E">
              <w:rPr>
                <w:rFonts w:ascii="Times New Roman" w:hAnsi="Times New Roman" w:cs="Times New Roman"/>
              </w:rPr>
              <w:t>1968</w:t>
            </w:r>
            <w:r>
              <w:rPr>
                <w:rFonts w:ascii="Times New Roman" w:hAnsi="Times New Roman" w:cs="Times New Roman"/>
              </w:rPr>
              <w:tab/>
            </w:r>
          </w:p>
        </w:tc>
        <w:tc>
          <w:tcPr>
            <w:tcW w:w="946" w:type="pct"/>
            <w:tcBorders>
              <w:left w:val="single" w:sz="6" w:space="0" w:color="auto"/>
              <w:bottom w:val="single" w:sz="6" w:space="0" w:color="auto"/>
              <w:right w:val="single" w:sz="6" w:space="0" w:color="auto"/>
            </w:tcBorders>
          </w:tcPr>
          <w:p w:rsidR="0062005F" w:rsidRPr="0068733E" w:rsidRDefault="0062005F" w:rsidP="00741F17">
            <w:pPr>
              <w:spacing w:after="0" w:line="240" w:lineRule="auto"/>
              <w:ind w:right="432"/>
              <w:jc w:val="right"/>
              <w:rPr>
                <w:rFonts w:ascii="Times New Roman" w:hAnsi="Times New Roman" w:cs="Times New Roman"/>
              </w:rPr>
            </w:pPr>
            <w:r w:rsidRPr="0068733E">
              <w:rPr>
                <w:rFonts w:ascii="Times New Roman" w:hAnsi="Times New Roman" w:cs="Times New Roman"/>
              </w:rPr>
              <w:t>112,217</w:t>
            </w:r>
          </w:p>
        </w:tc>
        <w:tc>
          <w:tcPr>
            <w:tcW w:w="940" w:type="pct"/>
            <w:tcBorders>
              <w:left w:val="single" w:sz="6" w:space="0" w:color="auto"/>
              <w:bottom w:val="single" w:sz="6" w:space="0" w:color="auto"/>
            </w:tcBorders>
          </w:tcPr>
          <w:p w:rsidR="0062005F" w:rsidRPr="0068733E" w:rsidRDefault="0062005F" w:rsidP="00741F17">
            <w:pPr>
              <w:tabs>
                <w:tab w:val="left" w:pos="1368"/>
              </w:tabs>
              <w:spacing w:after="0" w:line="240" w:lineRule="auto"/>
              <w:ind w:right="259"/>
              <w:jc w:val="right"/>
              <w:rPr>
                <w:rFonts w:ascii="Times New Roman" w:hAnsi="Times New Roman" w:cs="Times New Roman"/>
              </w:rPr>
            </w:pPr>
            <w:r w:rsidRPr="0068733E">
              <w:rPr>
                <w:rFonts w:ascii="Times New Roman" w:hAnsi="Times New Roman" w:cs="Times New Roman"/>
              </w:rPr>
              <w:t>738,952</w:t>
            </w:r>
            <w:r>
              <w:rPr>
                <w:rFonts w:ascii="Times New Roman" w:hAnsi="Times New Roman" w:cs="Times New Roman"/>
              </w:rPr>
              <w:t>”</w:t>
            </w:r>
            <w:r w:rsidRPr="0068733E">
              <w:rPr>
                <w:rFonts w:ascii="Times New Roman" w:hAnsi="Times New Roman" w:cs="Times New Roman"/>
              </w:rPr>
              <w:t>.</w:t>
            </w:r>
          </w:p>
        </w:tc>
      </w:tr>
    </w:tbl>
    <w:p w:rsidR="0062005F" w:rsidRPr="00A7797B" w:rsidRDefault="0062005F" w:rsidP="0062005F">
      <w:pPr>
        <w:spacing w:before="120" w:after="60" w:line="240" w:lineRule="auto"/>
        <w:rPr>
          <w:rFonts w:ascii="Times New Roman" w:hAnsi="Times New Roman" w:cs="Times New Roman"/>
          <w:b/>
          <w:sz w:val="20"/>
        </w:rPr>
      </w:pPr>
      <w:r w:rsidRPr="00A7797B">
        <w:rPr>
          <w:rFonts w:ascii="Times New Roman" w:hAnsi="Times New Roman" w:cs="Times New Roman"/>
          <w:b/>
          <w:sz w:val="20"/>
        </w:rPr>
        <w:t>The Schedule.</w:t>
      </w:r>
    </w:p>
    <w:p w:rsidR="0062005F" w:rsidRPr="0068733E" w:rsidRDefault="0062005F" w:rsidP="0062005F">
      <w:pPr>
        <w:tabs>
          <w:tab w:val="left" w:pos="630"/>
        </w:tabs>
        <w:spacing w:after="0" w:line="240" w:lineRule="auto"/>
        <w:ind w:firstLine="288"/>
        <w:jc w:val="both"/>
        <w:rPr>
          <w:rFonts w:ascii="Times New Roman" w:hAnsi="Times New Roman" w:cs="Times New Roman"/>
        </w:rPr>
      </w:pPr>
      <w:r w:rsidRPr="0068733E">
        <w:rPr>
          <w:rFonts w:ascii="Times New Roman" w:hAnsi="Times New Roman" w:cs="Times New Roman"/>
          <w:b/>
        </w:rPr>
        <w:t>6.</w:t>
      </w:r>
      <w:r>
        <w:rPr>
          <w:rFonts w:ascii="Times New Roman" w:hAnsi="Times New Roman" w:cs="Times New Roman"/>
          <w:b/>
        </w:rPr>
        <w:tab/>
      </w:r>
      <w:r w:rsidRPr="0068733E">
        <w:rPr>
          <w:rFonts w:ascii="Times New Roman" w:hAnsi="Times New Roman" w:cs="Times New Roman"/>
        </w:rPr>
        <w:t>The Schedule to the Principal Act is amended by omitting the heading and inserting in its stead the following heading:—</w:t>
      </w:r>
    </w:p>
    <w:p w:rsidR="0062005F" w:rsidRPr="0068733E" w:rsidRDefault="0062005F" w:rsidP="0062005F">
      <w:pPr>
        <w:spacing w:before="60" w:after="0" w:line="240" w:lineRule="auto"/>
        <w:jc w:val="center"/>
        <w:rPr>
          <w:rFonts w:ascii="Times New Roman" w:hAnsi="Times New Roman" w:cs="Times New Roman"/>
        </w:rPr>
      </w:pPr>
      <w:r>
        <w:rPr>
          <w:rFonts w:ascii="Times New Roman" w:hAnsi="Times New Roman" w:cs="Times New Roman"/>
          <w:smallCaps/>
        </w:rPr>
        <w:t>“</w:t>
      </w:r>
      <w:r w:rsidRPr="0068733E">
        <w:rPr>
          <w:rFonts w:ascii="Times New Roman" w:hAnsi="Times New Roman" w:cs="Times New Roman"/>
          <w:smallCaps/>
        </w:rPr>
        <w:t>SECOND SCHEDULE</w:t>
      </w:r>
      <w:r>
        <w:rPr>
          <w:rFonts w:ascii="Times New Roman" w:hAnsi="Times New Roman" w:cs="Times New Roman"/>
          <w:smallCaps/>
        </w:rPr>
        <w:t>”</w:t>
      </w:r>
      <w:r w:rsidRPr="0068733E">
        <w:rPr>
          <w:rFonts w:ascii="Times New Roman" w:hAnsi="Times New Roman" w:cs="Times New Roman"/>
          <w:smallCaps/>
        </w:rPr>
        <w:t>.</w:t>
      </w:r>
    </w:p>
    <w:p w:rsidR="0062005F" w:rsidRPr="00A7797B" w:rsidRDefault="0062005F" w:rsidP="0062005F">
      <w:pPr>
        <w:spacing w:before="120" w:after="60" w:line="240" w:lineRule="auto"/>
        <w:rPr>
          <w:rFonts w:ascii="Times New Roman" w:hAnsi="Times New Roman" w:cs="Times New Roman"/>
          <w:b/>
          <w:sz w:val="20"/>
        </w:rPr>
      </w:pPr>
      <w:r w:rsidRPr="00A7797B">
        <w:rPr>
          <w:rFonts w:ascii="Times New Roman" w:hAnsi="Times New Roman" w:cs="Times New Roman"/>
          <w:b/>
          <w:sz w:val="20"/>
        </w:rPr>
        <w:t>Application of amendments.</w:t>
      </w:r>
    </w:p>
    <w:p w:rsidR="002440DD" w:rsidRDefault="0062005F" w:rsidP="00D87419">
      <w:pPr>
        <w:tabs>
          <w:tab w:val="left" w:pos="630"/>
        </w:tabs>
        <w:spacing w:after="0" w:line="240" w:lineRule="auto"/>
        <w:ind w:firstLine="288"/>
        <w:jc w:val="both"/>
        <w:rPr>
          <w:rFonts w:ascii="Times New Roman" w:hAnsi="Times New Roman" w:cs="Times New Roman"/>
        </w:rPr>
      </w:pPr>
      <w:r w:rsidRPr="0068733E">
        <w:rPr>
          <w:rFonts w:ascii="Times New Roman" w:hAnsi="Times New Roman" w:cs="Times New Roman"/>
          <w:b/>
        </w:rPr>
        <w:t>7.</w:t>
      </w:r>
      <w:r>
        <w:rPr>
          <w:rFonts w:ascii="Times New Roman" w:hAnsi="Times New Roman" w:cs="Times New Roman"/>
          <w:b/>
        </w:rPr>
        <w:tab/>
      </w:r>
      <w:r w:rsidRPr="0068733E">
        <w:rPr>
          <w:rFonts w:ascii="Times New Roman" w:hAnsi="Times New Roman" w:cs="Times New Roman"/>
        </w:rPr>
        <w:t>The amendments made by this Act apply in relation to rebate in respect of tax imposed on wages paid or payable by an employer and the issue of export certificates in respect of the financial year that began on the first day of July, One thousand nine hundred and sixty-eight, and succeeding financial years.</w:t>
      </w:r>
    </w:p>
    <w:p w:rsidR="00223726" w:rsidRPr="007C31E8" w:rsidRDefault="00223726" w:rsidP="00D87419">
      <w:pPr>
        <w:pBdr>
          <w:bottom w:val="thickThinSmallGap" w:sz="12" w:space="1" w:color="auto"/>
        </w:pBdr>
        <w:tabs>
          <w:tab w:val="left" w:pos="630"/>
        </w:tabs>
        <w:spacing w:after="0" w:line="240" w:lineRule="auto"/>
        <w:jc w:val="both"/>
        <w:rPr>
          <w:rFonts w:ascii="Times New Roman" w:hAnsi="Times New Roman" w:cs="Times New Roman"/>
          <w:sz w:val="16"/>
          <w:szCs w:val="16"/>
        </w:rPr>
      </w:pPr>
    </w:p>
    <w:sectPr w:rsidR="00223726" w:rsidRPr="007C31E8" w:rsidSect="0062005F">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251" w:rsidRDefault="00725251" w:rsidP="0062005F">
      <w:pPr>
        <w:spacing w:after="0" w:line="240" w:lineRule="auto"/>
      </w:pPr>
      <w:r>
        <w:separator/>
      </w:r>
    </w:p>
  </w:endnote>
  <w:endnote w:type="continuationSeparator" w:id="0">
    <w:p w:rsidR="00725251" w:rsidRDefault="00725251" w:rsidP="0062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251" w:rsidRDefault="00725251" w:rsidP="0062005F">
      <w:pPr>
        <w:spacing w:after="0" w:line="240" w:lineRule="auto"/>
      </w:pPr>
      <w:r>
        <w:separator/>
      </w:r>
    </w:p>
  </w:footnote>
  <w:footnote w:type="continuationSeparator" w:id="0">
    <w:p w:rsidR="00725251" w:rsidRDefault="00725251" w:rsidP="00620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05F" w:rsidRPr="0062005F" w:rsidRDefault="0062005F" w:rsidP="0062005F">
    <w:pPr>
      <w:tabs>
        <w:tab w:val="left" w:pos="3690"/>
        <w:tab w:val="left" w:pos="8550"/>
      </w:tabs>
      <w:spacing w:after="0" w:line="240" w:lineRule="auto"/>
      <w:rPr>
        <w:rFonts w:ascii="Times New Roman" w:hAnsi="Times New Roman" w:cs="Times New Roman"/>
        <w:sz w:val="20"/>
      </w:rPr>
    </w:pPr>
    <w:r w:rsidRPr="0062005F">
      <w:rPr>
        <w:rFonts w:ascii="Times New Roman" w:hAnsi="Times New Roman" w:cs="Times New Roman"/>
        <w:sz w:val="20"/>
      </w:rPr>
      <w:t>No. 19</w:t>
    </w:r>
    <w:r>
      <w:rPr>
        <w:rFonts w:ascii="Times New Roman" w:hAnsi="Times New Roman" w:cs="Times New Roman"/>
        <w:sz w:val="20"/>
      </w:rPr>
      <w:tab/>
    </w:r>
    <w:r w:rsidRPr="0062005F">
      <w:rPr>
        <w:rFonts w:ascii="Times New Roman" w:hAnsi="Times New Roman" w:cs="Times New Roman"/>
        <w:i/>
        <w:sz w:val="20"/>
      </w:rPr>
      <w:t>Pay-roll Tax Assessment</w:t>
    </w:r>
    <w:r>
      <w:rPr>
        <w:rFonts w:ascii="Times New Roman" w:hAnsi="Times New Roman" w:cs="Times New Roman"/>
        <w:i/>
        <w:sz w:val="20"/>
      </w:rPr>
      <w:tab/>
    </w:r>
    <w:r w:rsidRPr="0062005F">
      <w:rPr>
        <w:rFonts w:ascii="Times New Roman" w:hAnsi="Times New Roman" w:cs="Times New Roman"/>
        <w:sz w:val="20"/>
      </w:rPr>
      <w:t>1969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05F" w:rsidRPr="0062005F" w:rsidRDefault="0062005F" w:rsidP="0062005F">
    <w:pPr>
      <w:tabs>
        <w:tab w:val="left" w:pos="3690"/>
        <w:tab w:val="left" w:pos="8460"/>
      </w:tabs>
      <w:spacing w:after="0" w:line="240" w:lineRule="auto"/>
      <w:rPr>
        <w:rFonts w:ascii="Times New Roman" w:hAnsi="Times New Roman" w:cs="Times New Roman"/>
        <w:sz w:val="20"/>
      </w:rPr>
    </w:pPr>
    <w:r w:rsidRPr="0062005F">
      <w:rPr>
        <w:rFonts w:ascii="Times New Roman" w:hAnsi="Times New Roman" w:cs="Times New Roman"/>
        <w:sz w:val="20"/>
      </w:rPr>
      <w:t>1969</w:t>
    </w:r>
    <w:r>
      <w:rPr>
        <w:rFonts w:ascii="Times New Roman" w:hAnsi="Times New Roman" w:cs="Times New Roman"/>
        <w:sz w:val="20"/>
      </w:rPr>
      <w:tab/>
    </w:r>
    <w:r w:rsidRPr="0062005F">
      <w:rPr>
        <w:rFonts w:ascii="Times New Roman" w:hAnsi="Times New Roman" w:cs="Times New Roman"/>
        <w:i/>
        <w:sz w:val="20"/>
      </w:rPr>
      <w:t>Pay-roll Tax Assessment</w:t>
    </w:r>
    <w:r>
      <w:rPr>
        <w:rFonts w:ascii="Times New Roman" w:hAnsi="Times New Roman" w:cs="Times New Roman"/>
        <w:i/>
        <w:sz w:val="20"/>
      </w:rPr>
      <w:tab/>
    </w:r>
    <w:r w:rsidRPr="0062005F">
      <w:rPr>
        <w:rFonts w:ascii="Times New Roman" w:hAnsi="Times New Roman" w:cs="Times New Roman"/>
        <w:sz w:val="20"/>
      </w:rPr>
      <w:t>No. 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evenAndOddHeaders/>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62005F"/>
    <w:rsid w:val="00036984"/>
    <w:rsid w:val="00081E87"/>
    <w:rsid w:val="00083A5B"/>
    <w:rsid w:val="000C362E"/>
    <w:rsid w:val="001275F7"/>
    <w:rsid w:val="001459AC"/>
    <w:rsid w:val="001673E3"/>
    <w:rsid w:val="00171BF5"/>
    <w:rsid w:val="001734FC"/>
    <w:rsid w:val="00173D7E"/>
    <w:rsid w:val="001B01E6"/>
    <w:rsid w:val="001C73CB"/>
    <w:rsid w:val="001F1E5C"/>
    <w:rsid w:val="00223726"/>
    <w:rsid w:val="00223CE1"/>
    <w:rsid w:val="002431FA"/>
    <w:rsid w:val="002440DD"/>
    <w:rsid w:val="00374D8C"/>
    <w:rsid w:val="0042162D"/>
    <w:rsid w:val="0044546D"/>
    <w:rsid w:val="004C25F7"/>
    <w:rsid w:val="004C45EE"/>
    <w:rsid w:val="005A362E"/>
    <w:rsid w:val="0062005F"/>
    <w:rsid w:val="0066061E"/>
    <w:rsid w:val="006A0371"/>
    <w:rsid w:val="006A3883"/>
    <w:rsid w:val="006E0748"/>
    <w:rsid w:val="00725251"/>
    <w:rsid w:val="007C31E8"/>
    <w:rsid w:val="008226B5"/>
    <w:rsid w:val="0084710F"/>
    <w:rsid w:val="00855A87"/>
    <w:rsid w:val="008F3A2D"/>
    <w:rsid w:val="00922A2A"/>
    <w:rsid w:val="00A97472"/>
    <w:rsid w:val="00B907C6"/>
    <w:rsid w:val="00BC602E"/>
    <w:rsid w:val="00BC61BF"/>
    <w:rsid w:val="00C756FF"/>
    <w:rsid w:val="00C75A4F"/>
    <w:rsid w:val="00C8166C"/>
    <w:rsid w:val="00C830B6"/>
    <w:rsid w:val="00C844C1"/>
    <w:rsid w:val="00CA2C66"/>
    <w:rsid w:val="00CB251E"/>
    <w:rsid w:val="00CE4723"/>
    <w:rsid w:val="00D20B08"/>
    <w:rsid w:val="00D26567"/>
    <w:rsid w:val="00D36A73"/>
    <w:rsid w:val="00D444D9"/>
    <w:rsid w:val="00D7278B"/>
    <w:rsid w:val="00D87419"/>
    <w:rsid w:val="00DA6C44"/>
    <w:rsid w:val="00DC07B6"/>
    <w:rsid w:val="00DF2274"/>
    <w:rsid w:val="00E246CE"/>
    <w:rsid w:val="00EB2FC8"/>
    <w:rsid w:val="00EB5EA0"/>
    <w:rsid w:val="00FC1AE2"/>
    <w:rsid w:val="00FF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05F"/>
    <w:pPr>
      <w:spacing w:after="160" w:line="259"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5F"/>
    <w:rPr>
      <w:rFonts w:eastAsiaTheme="minorEastAsia"/>
    </w:rPr>
  </w:style>
  <w:style w:type="paragraph" w:styleId="Footer">
    <w:name w:val="footer"/>
    <w:basedOn w:val="Normal"/>
    <w:link w:val="FooterChar"/>
    <w:uiPriority w:val="99"/>
    <w:semiHidden/>
    <w:unhideWhenUsed/>
    <w:rsid w:val="006200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005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27</cp:revision>
  <dcterms:created xsi:type="dcterms:W3CDTF">2017-05-08T10:12:00Z</dcterms:created>
  <dcterms:modified xsi:type="dcterms:W3CDTF">2019-02-11T01:21:00Z</dcterms:modified>
</cp:coreProperties>
</file>