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DE" w:rsidRPr="00ED7F45" w:rsidRDefault="00E204CB" w:rsidP="00ED7F45">
      <w:pPr>
        <w:spacing w:before="5000" w:after="0" w:line="240" w:lineRule="auto"/>
        <w:jc w:val="center"/>
        <w:rPr>
          <w:rFonts w:ascii="Times New Roman" w:hAnsi="Times New Roman" w:cs="Times New Roman"/>
          <w:sz w:val="36"/>
        </w:rPr>
      </w:pPr>
      <w:bookmarkStart w:id="0" w:name="_GoBack"/>
      <w:bookmarkEnd w:id="0"/>
      <w:r w:rsidRPr="00ED7F45">
        <w:rPr>
          <w:rFonts w:ascii="Times New Roman" w:hAnsi="Times New Roman" w:cs="Times New Roman"/>
          <w:b/>
          <w:sz w:val="36"/>
        </w:rPr>
        <w:t>States Grants (Secondary Schools Libraries)</w:t>
      </w:r>
    </w:p>
    <w:p w:rsidR="002007DE" w:rsidRPr="00ED7F45" w:rsidRDefault="00E204CB" w:rsidP="00ED7F45">
      <w:pPr>
        <w:spacing w:before="120" w:after="120" w:line="240" w:lineRule="auto"/>
        <w:jc w:val="center"/>
        <w:rPr>
          <w:rFonts w:ascii="Times New Roman" w:hAnsi="Times New Roman" w:cs="Times New Roman"/>
          <w:b/>
          <w:sz w:val="28"/>
        </w:rPr>
      </w:pPr>
      <w:r w:rsidRPr="00ED7F45">
        <w:rPr>
          <w:rFonts w:ascii="Times New Roman" w:hAnsi="Times New Roman" w:cs="Times New Roman"/>
          <w:b/>
          <w:sz w:val="28"/>
        </w:rPr>
        <w:t>No. 114 of 1971</w:t>
      </w:r>
    </w:p>
    <w:p w:rsidR="002007DE" w:rsidRPr="00ED7F45" w:rsidRDefault="002007DE" w:rsidP="00ED7F45">
      <w:pPr>
        <w:spacing w:after="120" w:line="240" w:lineRule="auto"/>
        <w:ind w:left="432" w:hanging="432"/>
        <w:jc w:val="both"/>
        <w:rPr>
          <w:rFonts w:ascii="Times New Roman" w:hAnsi="Times New Roman" w:cs="Times New Roman"/>
          <w:sz w:val="26"/>
        </w:rPr>
      </w:pPr>
      <w:r w:rsidRPr="00ED7F45">
        <w:rPr>
          <w:rFonts w:ascii="Times New Roman" w:hAnsi="Times New Roman" w:cs="Times New Roman"/>
          <w:sz w:val="26"/>
        </w:rPr>
        <w:t>An Act to grant Financial Assistance to the States for Libraries at Secondary Schools and for the acquisition of Library Material and Equipment for use in such Libraries.</w:t>
      </w:r>
    </w:p>
    <w:p w:rsidR="002007DE" w:rsidRPr="00ED7F45" w:rsidRDefault="002007DE" w:rsidP="00ED7F45">
      <w:pPr>
        <w:spacing w:after="120" w:line="240" w:lineRule="auto"/>
        <w:jc w:val="right"/>
        <w:rPr>
          <w:rFonts w:ascii="Times New Roman" w:hAnsi="Times New Roman" w:cs="Times New Roman"/>
          <w:sz w:val="26"/>
        </w:rPr>
      </w:pPr>
      <w:r w:rsidRPr="00ED7F45">
        <w:rPr>
          <w:rFonts w:ascii="Times New Roman" w:hAnsi="Times New Roman" w:cs="Times New Roman"/>
          <w:sz w:val="26"/>
        </w:rPr>
        <w:t>[</w:t>
      </w:r>
      <w:r w:rsidR="00E204CB" w:rsidRPr="00ED7F45">
        <w:rPr>
          <w:rFonts w:ascii="Times New Roman" w:hAnsi="Times New Roman" w:cs="Times New Roman"/>
          <w:i/>
          <w:sz w:val="26"/>
        </w:rPr>
        <w:t>Assented to 9 December 1971</w:t>
      </w:r>
      <w:r w:rsidRPr="00ED7F45">
        <w:rPr>
          <w:rFonts w:ascii="Times New Roman" w:hAnsi="Times New Roman" w:cs="Times New Roman"/>
          <w:sz w:val="26"/>
        </w:rPr>
        <w:t>]</w:t>
      </w:r>
    </w:p>
    <w:p w:rsidR="002007DE" w:rsidRPr="009A53A1" w:rsidRDefault="002007DE" w:rsidP="00ED7F45">
      <w:pPr>
        <w:spacing w:after="120" w:line="240" w:lineRule="auto"/>
        <w:jc w:val="both"/>
        <w:rPr>
          <w:rFonts w:ascii="Times New Roman" w:hAnsi="Times New Roman" w:cs="Times New Roman"/>
        </w:rPr>
      </w:pPr>
      <w:r w:rsidRPr="009A53A1">
        <w:rPr>
          <w:rFonts w:ascii="Times New Roman" w:hAnsi="Times New Roman" w:cs="Times New Roman"/>
        </w:rPr>
        <w:t>BE it enacted by the Queen</w:t>
      </w:r>
      <w:r w:rsidR="00E8031C" w:rsidRPr="009A53A1">
        <w:rPr>
          <w:rFonts w:ascii="Times New Roman" w:hAnsi="Times New Roman" w:cs="Times New Roman"/>
        </w:rPr>
        <w:t>’</w:t>
      </w:r>
      <w:r w:rsidRPr="009A53A1">
        <w:rPr>
          <w:rFonts w:ascii="Times New Roman" w:hAnsi="Times New Roman" w:cs="Times New Roman"/>
        </w:rPr>
        <w:t>s Most Excellent Majesty, the Senate, and the House of Representatives of the Commonwealth of Australia, as follows:—</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S</w:t>
      </w:r>
      <w:r w:rsidR="000D34C5" w:rsidRPr="00ED7F45">
        <w:rPr>
          <w:rFonts w:ascii="Times New Roman" w:hAnsi="Times New Roman" w:cs="Times New Roman"/>
          <w:b/>
          <w:sz w:val="20"/>
        </w:rPr>
        <w:t>hort</w:t>
      </w:r>
      <w:r w:rsidRPr="00ED7F45">
        <w:rPr>
          <w:rFonts w:ascii="Times New Roman" w:hAnsi="Times New Roman" w:cs="Times New Roman"/>
          <w:b/>
          <w:sz w:val="20"/>
        </w:rPr>
        <w:t xml:space="preserve"> title.</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1.</w:t>
      </w:r>
      <w:r w:rsidR="000D34C5" w:rsidRPr="00ED7F45">
        <w:rPr>
          <w:rFonts w:ascii="Times New Roman" w:hAnsi="Times New Roman" w:cs="Times New Roman"/>
        </w:rPr>
        <w:tab/>
      </w:r>
      <w:r w:rsidR="002007DE" w:rsidRPr="00ED7F45">
        <w:rPr>
          <w:rFonts w:ascii="Times New Roman" w:hAnsi="Times New Roman" w:cs="Times New Roman"/>
        </w:rPr>
        <w:t xml:space="preserve">This Act may be cited as the </w:t>
      </w:r>
      <w:r w:rsidRPr="00ED7F45">
        <w:rPr>
          <w:rFonts w:ascii="Times New Roman" w:hAnsi="Times New Roman" w:cs="Times New Roman"/>
          <w:i/>
        </w:rPr>
        <w:t xml:space="preserve">States Grants </w:t>
      </w:r>
      <w:r w:rsidR="002007DE" w:rsidRPr="00ED7F45">
        <w:rPr>
          <w:rFonts w:ascii="Times New Roman" w:hAnsi="Times New Roman" w:cs="Times New Roman"/>
        </w:rPr>
        <w:t>(</w:t>
      </w:r>
      <w:r w:rsidRPr="00ED7F45">
        <w:rPr>
          <w:rFonts w:ascii="Times New Roman" w:hAnsi="Times New Roman" w:cs="Times New Roman"/>
          <w:i/>
        </w:rPr>
        <w:t>Secondary Schools Libraries</w:t>
      </w:r>
      <w:r w:rsidR="002007DE" w:rsidRPr="00ED7F45">
        <w:rPr>
          <w:rFonts w:ascii="Times New Roman" w:hAnsi="Times New Roman" w:cs="Times New Roman"/>
        </w:rPr>
        <w:t>)</w:t>
      </w:r>
      <w:r w:rsidRPr="00ED7F45">
        <w:rPr>
          <w:rFonts w:ascii="Times New Roman" w:hAnsi="Times New Roman" w:cs="Times New Roman"/>
          <w:i/>
        </w:rPr>
        <w:t xml:space="preserve"> Act </w:t>
      </w:r>
      <w:r w:rsidR="002007DE" w:rsidRPr="00ED7F45">
        <w:rPr>
          <w:rFonts w:ascii="Times New Roman" w:hAnsi="Times New Roman" w:cs="Times New Roman"/>
        </w:rPr>
        <w:t>1971.</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Commencement.</w:t>
      </w:r>
    </w:p>
    <w:p w:rsidR="00A10460"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2.</w:t>
      </w:r>
      <w:r w:rsidR="00663229" w:rsidRPr="00ED7F45">
        <w:rPr>
          <w:rFonts w:ascii="Times New Roman" w:hAnsi="Times New Roman" w:cs="Times New Roman"/>
        </w:rPr>
        <w:tab/>
      </w:r>
      <w:r w:rsidR="002007DE" w:rsidRPr="00ED7F45">
        <w:rPr>
          <w:rFonts w:ascii="Times New Roman" w:hAnsi="Times New Roman" w:cs="Times New Roman"/>
        </w:rPr>
        <w:t>This Act shall come into operation on the day on whi</w:t>
      </w:r>
      <w:r w:rsidR="00CA072E" w:rsidRPr="00ED7F45">
        <w:rPr>
          <w:rFonts w:ascii="Times New Roman" w:hAnsi="Times New Roman" w:cs="Times New Roman"/>
        </w:rPr>
        <w:t>ch it receives the Royal Assent.</w:t>
      </w:r>
    </w:p>
    <w:p w:rsidR="002007DE" w:rsidRPr="00ED7F45" w:rsidRDefault="00A10460"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rPr>
        <w:br w:type="page"/>
      </w:r>
      <w:r w:rsidR="00E204CB" w:rsidRPr="00ED7F45">
        <w:rPr>
          <w:rFonts w:ascii="Times New Roman" w:hAnsi="Times New Roman" w:cs="Times New Roman"/>
          <w:b/>
          <w:sz w:val="20"/>
        </w:rPr>
        <w:lastRenderedPageBreak/>
        <w:t>Definitions.</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3.</w:t>
      </w:r>
      <w:r w:rsidR="00C35481" w:rsidRPr="00ED7F45">
        <w:rPr>
          <w:rFonts w:ascii="Times New Roman" w:hAnsi="Times New Roman" w:cs="Times New Roman"/>
        </w:rPr>
        <w:tab/>
      </w:r>
      <w:r w:rsidR="002007DE" w:rsidRPr="00ED7F45">
        <w:rPr>
          <w:rFonts w:ascii="Times New Roman" w:hAnsi="Times New Roman" w:cs="Times New Roman"/>
        </w:rPr>
        <w:t>In this Act, unless the contrary intention appears—</w:t>
      </w:r>
    </w:p>
    <w:p w:rsidR="002007DE" w:rsidRPr="00ED7F45" w:rsidRDefault="00E8031C"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2007DE" w:rsidRPr="00ED7F45">
        <w:rPr>
          <w:rFonts w:ascii="Times New Roman" w:hAnsi="Times New Roman" w:cs="Times New Roman"/>
        </w:rPr>
        <w:t>building</w:t>
      </w:r>
      <w:r w:rsidRPr="00ED7F45">
        <w:rPr>
          <w:rFonts w:ascii="Times New Roman" w:hAnsi="Times New Roman" w:cs="Times New Roman"/>
        </w:rPr>
        <w:t>”</w:t>
      </w:r>
      <w:r w:rsidR="002007DE" w:rsidRPr="00ED7F45">
        <w:rPr>
          <w:rFonts w:ascii="Times New Roman" w:hAnsi="Times New Roman" w:cs="Times New Roman"/>
        </w:rPr>
        <w:t xml:space="preserve"> includes a part of a building;</w:t>
      </w:r>
    </w:p>
    <w:p w:rsidR="002007DE" w:rsidRPr="00ED7F45" w:rsidRDefault="00E8031C"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2007DE" w:rsidRPr="00ED7F45">
        <w:rPr>
          <w:rFonts w:ascii="Times New Roman" w:hAnsi="Times New Roman" w:cs="Times New Roman"/>
        </w:rPr>
        <w:t>library</w:t>
      </w:r>
      <w:r w:rsidRPr="00ED7F45">
        <w:rPr>
          <w:rFonts w:ascii="Times New Roman" w:hAnsi="Times New Roman" w:cs="Times New Roman"/>
        </w:rPr>
        <w:t>”</w:t>
      </w:r>
      <w:r w:rsidR="002007DE" w:rsidRPr="00ED7F45">
        <w:rPr>
          <w:rFonts w:ascii="Times New Roman" w:hAnsi="Times New Roman" w:cs="Times New Roman"/>
        </w:rPr>
        <w:t xml:space="preserve"> means a building for the accommodation and use of books and other library material;</w:t>
      </w:r>
    </w:p>
    <w:p w:rsidR="002007DE" w:rsidRPr="00ED7F45" w:rsidRDefault="00E8031C"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2007DE" w:rsidRPr="00ED7F45">
        <w:rPr>
          <w:rFonts w:ascii="Times New Roman" w:hAnsi="Times New Roman" w:cs="Times New Roman"/>
        </w:rPr>
        <w:t>library material</w:t>
      </w:r>
      <w:r w:rsidRPr="00ED7F45">
        <w:rPr>
          <w:rFonts w:ascii="Times New Roman" w:hAnsi="Times New Roman" w:cs="Times New Roman"/>
        </w:rPr>
        <w:t>”</w:t>
      </w:r>
      <w:r w:rsidR="002007DE" w:rsidRPr="00ED7F45">
        <w:rPr>
          <w:rFonts w:ascii="Times New Roman" w:hAnsi="Times New Roman" w:cs="Times New Roman"/>
        </w:rPr>
        <w:t xml:space="preserve"> includes books, periodicals, newspapers, films, sound recordings, musical scores, maps, plans, pictures, photographs and prints;</w:t>
      </w:r>
    </w:p>
    <w:p w:rsidR="002007DE" w:rsidRPr="00ED7F45" w:rsidRDefault="00E8031C"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2007DE" w:rsidRPr="00ED7F45">
        <w:rPr>
          <w:rFonts w:ascii="Times New Roman" w:hAnsi="Times New Roman" w:cs="Times New Roman"/>
        </w:rPr>
        <w:t>secondary school</w:t>
      </w:r>
      <w:r w:rsidRPr="00ED7F45">
        <w:rPr>
          <w:rFonts w:ascii="Times New Roman" w:hAnsi="Times New Roman" w:cs="Times New Roman"/>
        </w:rPr>
        <w:t>”</w:t>
      </w:r>
      <w:r w:rsidR="002007DE" w:rsidRPr="00ED7F45">
        <w:rPr>
          <w:rFonts w:ascii="Times New Roman" w:hAnsi="Times New Roman" w:cs="Times New Roman"/>
        </w:rPr>
        <w:t xml:space="preserve"> means a school or similar institution, whether conducted by a State or not, at which some or all of the students who attend the school are taught at a secondary level of education;</w:t>
      </w:r>
    </w:p>
    <w:p w:rsidR="002007DE" w:rsidRPr="00ED7F45" w:rsidRDefault="00E8031C"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2007DE" w:rsidRPr="00ED7F45">
        <w:rPr>
          <w:rFonts w:ascii="Times New Roman" w:hAnsi="Times New Roman" w:cs="Times New Roman"/>
        </w:rPr>
        <w:t>the period to which this Act applies</w:t>
      </w:r>
      <w:r w:rsidRPr="00ED7F45">
        <w:rPr>
          <w:rFonts w:ascii="Times New Roman" w:hAnsi="Times New Roman" w:cs="Times New Roman"/>
        </w:rPr>
        <w:t>”</w:t>
      </w:r>
      <w:r w:rsidR="002007DE" w:rsidRPr="00ED7F45">
        <w:rPr>
          <w:rFonts w:ascii="Times New Roman" w:hAnsi="Times New Roman" w:cs="Times New Roman"/>
        </w:rPr>
        <w:t xml:space="preserve"> means the period commencing on the first day of January, One thousand nine hundred and seventy-two, and ending on the thirty-first day of December, One thousand nine hundred and seventy-four.</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Grants for libraries and for library material and equipment.</w:t>
      </w:r>
    </w:p>
    <w:p w:rsidR="002007DE" w:rsidRPr="00ED7F45" w:rsidRDefault="00E204CB" w:rsidP="00ED7F45">
      <w:pPr>
        <w:tabs>
          <w:tab w:val="left" w:pos="1350"/>
        </w:tabs>
        <w:spacing w:after="0" w:line="240" w:lineRule="auto"/>
        <w:ind w:firstLine="432"/>
        <w:jc w:val="both"/>
        <w:rPr>
          <w:rFonts w:ascii="Times New Roman" w:hAnsi="Times New Roman" w:cs="Times New Roman"/>
        </w:rPr>
      </w:pPr>
      <w:r w:rsidRPr="00ED7F45">
        <w:rPr>
          <w:rFonts w:ascii="Times New Roman" w:hAnsi="Times New Roman" w:cs="Times New Roman"/>
          <w:b/>
        </w:rPr>
        <w:t>4.</w:t>
      </w:r>
      <w:r w:rsidR="002007DE" w:rsidRPr="00ED7F45">
        <w:rPr>
          <w:rFonts w:ascii="Times New Roman" w:hAnsi="Times New Roman" w:cs="Times New Roman"/>
        </w:rPr>
        <w:t>—(1.)</w:t>
      </w:r>
      <w:r w:rsidR="000B7A8E" w:rsidRPr="00ED7F45">
        <w:rPr>
          <w:rFonts w:ascii="Times New Roman" w:hAnsi="Times New Roman" w:cs="Times New Roman"/>
        </w:rPr>
        <w:tab/>
      </w:r>
      <w:r w:rsidR="002007DE" w:rsidRPr="00ED7F45">
        <w:rPr>
          <w:rFonts w:ascii="Times New Roman" w:hAnsi="Times New Roman" w:cs="Times New Roman"/>
        </w:rPr>
        <w:t>The Minister may authorize the payment to a State, under this Act, during the period to which this Act applies, by way of financial assistance, of such amounts as, subject to this section, he determines.</w:t>
      </w:r>
    </w:p>
    <w:p w:rsidR="002007DE" w:rsidRPr="00ED7F45" w:rsidRDefault="002007DE" w:rsidP="00ED7F45">
      <w:pPr>
        <w:tabs>
          <w:tab w:val="left" w:pos="900"/>
        </w:tabs>
        <w:spacing w:after="0" w:line="240" w:lineRule="auto"/>
        <w:ind w:firstLine="432"/>
        <w:jc w:val="both"/>
        <w:rPr>
          <w:rFonts w:ascii="Times New Roman" w:hAnsi="Times New Roman" w:cs="Times New Roman"/>
        </w:rPr>
      </w:pPr>
      <w:r w:rsidRPr="00ED7F45">
        <w:rPr>
          <w:rFonts w:ascii="Times New Roman" w:hAnsi="Times New Roman" w:cs="Times New Roman"/>
        </w:rPr>
        <w:t>(2.)</w:t>
      </w:r>
      <w:r w:rsidR="003E7FB0" w:rsidRPr="00ED7F45">
        <w:rPr>
          <w:rFonts w:ascii="Times New Roman" w:hAnsi="Times New Roman" w:cs="Times New Roman"/>
        </w:rPr>
        <w:tab/>
      </w:r>
      <w:r w:rsidRPr="00ED7F45">
        <w:rPr>
          <w:rFonts w:ascii="Times New Roman" w:hAnsi="Times New Roman" w:cs="Times New Roman"/>
        </w:rPr>
        <w:t>The Minister shall not authorize payments to a State under the last preceding sub-section that—</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a</w:t>
      </w:r>
      <w:r w:rsidRPr="00ED7F45">
        <w:rPr>
          <w:rFonts w:ascii="Times New Roman" w:hAnsi="Times New Roman" w:cs="Times New Roman"/>
        </w:rPr>
        <w:t>) exceed, in the aggregate, the amount specified in the sixth column of the Schedule to this Act opposite to the name of the State;</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b</w:t>
      </w:r>
      <w:r w:rsidRPr="00ED7F45">
        <w:rPr>
          <w:rFonts w:ascii="Times New Roman" w:hAnsi="Times New Roman" w:cs="Times New Roman"/>
        </w:rPr>
        <w:t xml:space="preserve">) in the case of payments authorized on or before the thirty-first day of December, One thousand nine </w:t>
      </w:r>
      <w:r w:rsidR="008D6DC7" w:rsidRPr="00ED7F45">
        <w:rPr>
          <w:rFonts w:ascii="Times New Roman" w:hAnsi="Times New Roman" w:cs="Times New Roman"/>
        </w:rPr>
        <w:t>hundred and seventy-two—</w:t>
      </w:r>
      <w:r w:rsidRPr="00ED7F45">
        <w:rPr>
          <w:rFonts w:ascii="Times New Roman" w:hAnsi="Times New Roman" w:cs="Times New Roman"/>
        </w:rPr>
        <w:t>exceed, in the aggregate, one-third of that amount; or</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c</w:t>
      </w:r>
      <w:r w:rsidRPr="00ED7F45">
        <w:rPr>
          <w:rFonts w:ascii="Times New Roman" w:hAnsi="Times New Roman" w:cs="Times New Roman"/>
        </w:rPr>
        <w:t xml:space="preserve">) in the case of payments authorized on or before the thirty-first day of December, One thousand </w:t>
      </w:r>
      <w:r w:rsidR="008D6DC7" w:rsidRPr="00ED7F45">
        <w:rPr>
          <w:rFonts w:ascii="Times New Roman" w:hAnsi="Times New Roman" w:cs="Times New Roman"/>
        </w:rPr>
        <w:t>nine hundred and seventy-three—</w:t>
      </w:r>
      <w:r w:rsidRPr="00ED7F45">
        <w:rPr>
          <w:rFonts w:ascii="Times New Roman" w:hAnsi="Times New Roman" w:cs="Times New Roman"/>
        </w:rPr>
        <w:t>exceed, in the aggregate, two-thirds of that amount.</w:t>
      </w:r>
    </w:p>
    <w:p w:rsidR="002007DE" w:rsidRPr="00ED7F45" w:rsidRDefault="002007DE" w:rsidP="00ED7F45">
      <w:pPr>
        <w:tabs>
          <w:tab w:val="left" w:pos="900"/>
        </w:tabs>
        <w:spacing w:after="0" w:line="240" w:lineRule="auto"/>
        <w:ind w:firstLine="432"/>
        <w:jc w:val="both"/>
        <w:rPr>
          <w:rFonts w:ascii="Times New Roman" w:hAnsi="Times New Roman" w:cs="Times New Roman"/>
        </w:rPr>
      </w:pPr>
      <w:r w:rsidRPr="00ED7F45">
        <w:rPr>
          <w:rFonts w:ascii="Times New Roman" w:hAnsi="Times New Roman" w:cs="Times New Roman"/>
        </w:rPr>
        <w:t>(3.)</w:t>
      </w:r>
      <w:r w:rsidR="005B2264" w:rsidRPr="00ED7F45">
        <w:rPr>
          <w:rFonts w:ascii="Times New Roman" w:hAnsi="Times New Roman" w:cs="Times New Roman"/>
        </w:rPr>
        <w:tab/>
      </w:r>
      <w:r w:rsidRPr="00ED7F45">
        <w:rPr>
          <w:rFonts w:ascii="Times New Roman" w:hAnsi="Times New Roman" w:cs="Times New Roman"/>
        </w:rPr>
        <w:t>Payment of an amount to a State under this Act is subject to the condition that the amount will be applied by the State, as approved by the Minister, for purposes in connexion with libraries at secondary schools and for the acquisition of library material and equipment for use in such libraries.</w:t>
      </w:r>
    </w:p>
    <w:p w:rsidR="002007DE" w:rsidRPr="00ED7F45" w:rsidRDefault="002007DE" w:rsidP="00ED7F45">
      <w:pPr>
        <w:tabs>
          <w:tab w:val="left" w:pos="900"/>
        </w:tabs>
        <w:spacing w:after="0" w:line="240" w:lineRule="auto"/>
        <w:ind w:firstLine="432"/>
        <w:jc w:val="both"/>
        <w:rPr>
          <w:rFonts w:ascii="Times New Roman" w:hAnsi="Times New Roman" w:cs="Times New Roman"/>
        </w:rPr>
      </w:pPr>
      <w:r w:rsidRPr="00ED7F45">
        <w:rPr>
          <w:rFonts w:ascii="Times New Roman" w:hAnsi="Times New Roman" w:cs="Times New Roman"/>
        </w:rPr>
        <w:t>(4.)</w:t>
      </w:r>
      <w:r w:rsidR="00493AEA" w:rsidRPr="00ED7F45">
        <w:rPr>
          <w:rFonts w:ascii="Times New Roman" w:hAnsi="Times New Roman" w:cs="Times New Roman"/>
        </w:rPr>
        <w:tab/>
      </w:r>
      <w:r w:rsidRPr="00ED7F45">
        <w:rPr>
          <w:rFonts w:ascii="Times New Roman" w:hAnsi="Times New Roman" w:cs="Times New Roman"/>
        </w:rPr>
        <w:t>The Minister shall not grant an approval under the last preceding sub-section for the application of an amount by a State in respect of a secondary school where—</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a</w:t>
      </w:r>
      <w:r w:rsidRPr="00ED7F45">
        <w:rPr>
          <w:rFonts w:ascii="Times New Roman" w:hAnsi="Times New Roman" w:cs="Times New Roman"/>
        </w:rPr>
        <w:t>) in the case of a secondary school conducted by the State—if the approval were granted, the total of the amounts approved in respect of secondary schools conducted by the State would exceed the amount specified in the second column of the Schedule to this Act opposite to the name of the State;</w:t>
      </w:r>
    </w:p>
    <w:p w:rsidR="00E5121A"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b</w:t>
      </w:r>
      <w:r w:rsidRPr="00ED7F45">
        <w:rPr>
          <w:rFonts w:ascii="Times New Roman" w:hAnsi="Times New Roman" w:cs="Times New Roman"/>
        </w:rPr>
        <w:t>) in the case of a secondary school not conducted by the State, being a Roman Catholic secondary school—if the approval were granted, the total of the amounts approved in respect of</w:t>
      </w:r>
    </w:p>
    <w:p w:rsidR="002007DE" w:rsidRPr="00ED7F45" w:rsidRDefault="00E5121A" w:rsidP="00ED7F45">
      <w:pPr>
        <w:spacing w:after="0" w:line="240" w:lineRule="auto"/>
        <w:ind w:left="864"/>
        <w:jc w:val="both"/>
        <w:rPr>
          <w:rFonts w:ascii="Times New Roman" w:hAnsi="Times New Roman" w:cs="Times New Roman"/>
        </w:rPr>
      </w:pPr>
      <w:r w:rsidRPr="00ED7F45">
        <w:rPr>
          <w:rFonts w:ascii="Times New Roman" w:hAnsi="Times New Roman" w:cs="Times New Roman"/>
        </w:rPr>
        <w:br w:type="page"/>
      </w:r>
      <w:r w:rsidR="002007DE" w:rsidRPr="00ED7F45">
        <w:rPr>
          <w:rFonts w:ascii="Times New Roman" w:hAnsi="Times New Roman" w:cs="Times New Roman"/>
        </w:rPr>
        <w:lastRenderedPageBreak/>
        <w:t>secondary schools in the State not conducted by the State, being Roman Catholic secondary schools, would exceed the amount specified in the third column of the Schedule to this Act opposite to the name of the State; or</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c</w:t>
      </w:r>
      <w:r w:rsidRPr="00ED7F45">
        <w:rPr>
          <w:rFonts w:ascii="Times New Roman" w:hAnsi="Times New Roman" w:cs="Times New Roman"/>
        </w:rPr>
        <w:t>) in the case of a secondary school not conducted by the State, not being a Roman Catholic secondary school—if the approval were granted, the total of the amounts approved in respect of secondary schools in the State not conducted by the State, not being Roman Catholic secondary schools, would exceed the amount specified in the fourth column of the Schedule to this Act opposite to the name of the State.</w:t>
      </w:r>
    </w:p>
    <w:p w:rsidR="002007DE" w:rsidRPr="00ED7F45" w:rsidRDefault="008D6DC7"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Regulations</w:t>
      </w:r>
      <w:r w:rsidR="00E204CB" w:rsidRPr="00ED7F45">
        <w:rPr>
          <w:rFonts w:ascii="Times New Roman" w:hAnsi="Times New Roman" w:cs="Times New Roman"/>
          <w:b/>
          <w:sz w:val="20"/>
        </w:rPr>
        <w:t xml:space="preserve"> may vary amounts.</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5.</w:t>
      </w:r>
      <w:r w:rsidR="00186CD0" w:rsidRPr="00ED7F45">
        <w:rPr>
          <w:rFonts w:ascii="Times New Roman" w:hAnsi="Times New Roman" w:cs="Times New Roman"/>
        </w:rPr>
        <w:tab/>
      </w:r>
      <w:r w:rsidR="002007DE" w:rsidRPr="00ED7F45">
        <w:rPr>
          <w:rFonts w:ascii="Times New Roman" w:hAnsi="Times New Roman" w:cs="Times New Roman"/>
        </w:rPr>
        <w:t>At any time during the period to which this Act applies, provision may be made by the regulations that this Act shall have effect as if the amounts specified in the third or fourth column, or both of those columns, and the amounts specified in the fifth and sixth columns, of the Schedule to this Act opposite to the names of any States were varied in accordance with the regulations, but not so as to vary the total of the amounts specified in the fifth column, or the total of the amounts specified in the sixth column, of that Schedule.</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Annual statement by Minister.</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6.</w:t>
      </w:r>
      <w:r w:rsidR="002D44A5" w:rsidRPr="00ED7F45">
        <w:rPr>
          <w:rFonts w:ascii="Times New Roman" w:hAnsi="Times New Roman" w:cs="Times New Roman"/>
        </w:rPr>
        <w:tab/>
      </w:r>
      <w:r w:rsidR="002007DE" w:rsidRPr="00ED7F45">
        <w:rPr>
          <w:rFonts w:ascii="Times New Roman" w:hAnsi="Times New Roman" w:cs="Times New Roman"/>
        </w:rPr>
        <w:t>The Minister shall cause a statement to be laid before each House of the Parliament as soon as practicable after the end of each year during the period to which this Act applies describing the arrangements in accordance with which payments under this Act have been authorized in that year and stating, in respect of each State—</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a</w:t>
      </w:r>
      <w:r w:rsidRPr="00ED7F45">
        <w:rPr>
          <w:rFonts w:ascii="Times New Roman" w:hAnsi="Times New Roman" w:cs="Times New Roman"/>
        </w:rPr>
        <w:t>) in relation to secondary schools conducted by the State—</w:t>
      </w:r>
    </w:p>
    <w:p w:rsidR="002007DE" w:rsidRPr="00ED7F45" w:rsidRDefault="002007DE" w:rsidP="00ED7F45">
      <w:pPr>
        <w:spacing w:after="0" w:line="240" w:lineRule="auto"/>
        <w:ind w:left="1512" w:hanging="288"/>
        <w:jc w:val="both"/>
        <w:rPr>
          <w:rFonts w:ascii="Times New Roman" w:hAnsi="Times New Roman" w:cs="Times New Roman"/>
        </w:rPr>
      </w:pPr>
      <w:r w:rsidRPr="00ED7F45">
        <w:rPr>
          <w:rFonts w:ascii="Times New Roman" w:hAnsi="Times New Roman" w:cs="Times New Roman"/>
        </w:rPr>
        <w:t>(</w:t>
      </w:r>
      <w:proofErr w:type="spellStart"/>
      <w:r w:rsidRPr="00ED7F45">
        <w:rPr>
          <w:rFonts w:ascii="Times New Roman" w:hAnsi="Times New Roman" w:cs="Times New Roman"/>
        </w:rPr>
        <w:t>i</w:t>
      </w:r>
      <w:proofErr w:type="spellEnd"/>
      <w:r w:rsidRPr="00ED7F45">
        <w:rPr>
          <w:rFonts w:ascii="Times New Roman" w:hAnsi="Times New Roman" w:cs="Times New Roman"/>
        </w:rPr>
        <w:t>) the total amount paid to the State under this Act in that year; and</w:t>
      </w:r>
    </w:p>
    <w:p w:rsidR="002007DE" w:rsidRPr="00ED7F45" w:rsidRDefault="002007DE" w:rsidP="00ED7F45">
      <w:pPr>
        <w:spacing w:after="0" w:line="240" w:lineRule="auto"/>
        <w:ind w:left="1512" w:hanging="288"/>
        <w:jc w:val="both"/>
        <w:rPr>
          <w:rFonts w:ascii="Times New Roman" w:hAnsi="Times New Roman" w:cs="Times New Roman"/>
        </w:rPr>
      </w:pPr>
      <w:r w:rsidRPr="00ED7F45">
        <w:rPr>
          <w:rFonts w:ascii="Times New Roman" w:hAnsi="Times New Roman" w:cs="Times New Roman"/>
        </w:rPr>
        <w:t>(ii) the names of the secondary schools in respect of which the State has, during that year, applied amounts paid to the State under this Act; and</w:t>
      </w:r>
    </w:p>
    <w:p w:rsidR="002007DE" w:rsidRPr="00ED7F45" w:rsidRDefault="002007DE" w:rsidP="00ED7F45">
      <w:pPr>
        <w:spacing w:after="0" w:line="240" w:lineRule="auto"/>
        <w:ind w:left="864" w:hanging="360"/>
        <w:jc w:val="both"/>
        <w:rPr>
          <w:rFonts w:ascii="Times New Roman" w:hAnsi="Times New Roman" w:cs="Times New Roman"/>
        </w:rPr>
      </w:pPr>
      <w:r w:rsidRPr="00ED7F45">
        <w:rPr>
          <w:rFonts w:ascii="Times New Roman" w:hAnsi="Times New Roman" w:cs="Times New Roman"/>
        </w:rPr>
        <w:t>(</w:t>
      </w:r>
      <w:r w:rsidR="00E204CB" w:rsidRPr="00ED7F45">
        <w:rPr>
          <w:rFonts w:ascii="Times New Roman" w:hAnsi="Times New Roman" w:cs="Times New Roman"/>
          <w:i/>
        </w:rPr>
        <w:t>b</w:t>
      </w:r>
      <w:r w:rsidRPr="00ED7F45">
        <w:rPr>
          <w:rFonts w:ascii="Times New Roman" w:hAnsi="Times New Roman" w:cs="Times New Roman"/>
        </w:rPr>
        <w:t>) in relation to other secondary schools—</w:t>
      </w:r>
    </w:p>
    <w:p w:rsidR="002007DE" w:rsidRPr="00ED7F45" w:rsidRDefault="002007DE" w:rsidP="00ED7F45">
      <w:pPr>
        <w:spacing w:after="0" w:line="240" w:lineRule="auto"/>
        <w:ind w:left="1512" w:hanging="288"/>
        <w:jc w:val="both"/>
        <w:rPr>
          <w:rFonts w:ascii="Times New Roman" w:hAnsi="Times New Roman" w:cs="Times New Roman"/>
        </w:rPr>
      </w:pPr>
      <w:r w:rsidRPr="00ED7F45">
        <w:rPr>
          <w:rFonts w:ascii="Times New Roman" w:hAnsi="Times New Roman" w:cs="Times New Roman"/>
        </w:rPr>
        <w:t>(</w:t>
      </w:r>
      <w:proofErr w:type="spellStart"/>
      <w:r w:rsidRPr="00ED7F45">
        <w:rPr>
          <w:rFonts w:ascii="Times New Roman" w:hAnsi="Times New Roman" w:cs="Times New Roman"/>
        </w:rPr>
        <w:t>i</w:t>
      </w:r>
      <w:proofErr w:type="spellEnd"/>
      <w:r w:rsidRPr="00ED7F45">
        <w:rPr>
          <w:rFonts w:ascii="Times New Roman" w:hAnsi="Times New Roman" w:cs="Times New Roman"/>
        </w:rPr>
        <w:t>) the total amount paid to the State under this Act in that year; and</w:t>
      </w:r>
    </w:p>
    <w:p w:rsidR="002007DE" w:rsidRPr="00ED7F45" w:rsidRDefault="002007DE" w:rsidP="00ED7F45">
      <w:pPr>
        <w:spacing w:after="0" w:line="240" w:lineRule="auto"/>
        <w:ind w:left="1512" w:hanging="288"/>
        <w:jc w:val="both"/>
        <w:rPr>
          <w:rFonts w:ascii="Times New Roman" w:hAnsi="Times New Roman" w:cs="Times New Roman"/>
        </w:rPr>
      </w:pPr>
      <w:r w:rsidRPr="00ED7F45">
        <w:rPr>
          <w:rFonts w:ascii="Times New Roman" w:hAnsi="Times New Roman" w:cs="Times New Roman"/>
        </w:rPr>
        <w:t>(ii) the names of the secondary schools in respect of which approvals for the application of moneys included in that amount have been given, and the amount approved for expenditure in respect of each such school.</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Appropriation.</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7.</w:t>
      </w:r>
      <w:r w:rsidR="009440F6" w:rsidRPr="00ED7F45">
        <w:rPr>
          <w:rFonts w:ascii="Times New Roman" w:hAnsi="Times New Roman" w:cs="Times New Roman"/>
        </w:rPr>
        <w:tab/>
      </w:r>
      <w:r w:rsidR="002007DE" w:rsidRPr="00ED7F45">
        <w:rPr>
          <w:rFonts w:ascii="Times New Roman" w:hAnsi="Times New Roman" w:cs="Times New Roman"/>
        </w:rPr>
        <w:t>Payments under this Act shall be made out of the Consolidated Revenue Fund, which is appropriated accordingly.</w:t>
      </w:r>
    </w:p>
    <w:p w:rsidR="002007DE" w:rsidRPr="00ED7F45" w:rsidRDefault="00E204CB" w:rsidP="00ED7F45">
      <w:pPr>
        <w:spacing w:before="120" w:after="60" w:line="240" w:lineRule="auto"/>
        <w:jc w:val="both"/>
        <w:rPr>
          <w:rFonts w:ascii="Times New Roman" w:hAnsi="Times New Roman" w:cs="Times New Roman"/>
          <w:b/>
          <w:sz w:val="20"/>
        </w:rPr>
      </w:pPr>
      <w:r w:rsidRPr="00ED7F45">
        <w:rPr>
          <w:rFonts w:ascii="Times New Roman" w:hAnsi="Times New Roman" w:cs="Times New Roman"/>
          <w:b/>
          <w:sz w:val="20"/>
        </w:rPr>
        <w:t>Regulations.</w:t>
      </w:r>
    </w:p>
    <w:p w:rsidR="002007DE" w:rsidRPr="00ED7F45" w:rsidRDefault="00E204CB" w:rsidP="00ED7F45">
      <w:pPr>
        <w:spacing w:after="0" w:line="240" w:lineRule="auto"/>
        <w:ind w:firstLine="432"/>
        <w:jc w:val="both"/>
        <w:rPr>
          <w:rFonts w:ascii="Times New Roman" w:hAnsi="Times New Roman" w:cs="Times New Roman"/>
        </w:rPr>
      </w:pPr>
      <w:r w:rsidRPr="00ED7F45">
        <w:rPr>
          <w:rFonts w:ascii="Times New Roman" w:hAnsi="Times New Roman" w:cs="Times New Roman"/>
          <w:b/>
        </w:rPr>
        <w:t>8.</w:t>
      </w:r>
      <w:r w:rsidR="009D569D" w:rsidRPr="00ED7F45">
        <w:rPr>
          <w:rFonts w:ascii="Times New Roman" w:hAnsi="Times New Roman" w:cs="Times New Roman"/>
        </w:rPr>
        <w:tab/>
      </w:r>
      <w:r w:rsidR="002007DE" w:rsidRPr="00ED7F45">
        <w:rPr>
          <w:rFonts w:ascii="Times New Roman" w:hAnsi="Times New Roman" w:cs="Times New Roman"/>
        </w:rPr>
        <w:t>The Governor-General may make regulations for the purposes of section 5 of this Act, including regulations repealing or amending regulations previously made under this section.</w:t>
      </w:r>
    </w:p>
    <w:p w:rsidR="0082512A" w:rsidRPr="00ED7F45" w:rsidRDefault="0082512A" w:rsidP="00ED7F45">
      <w:pPr>
        <w:tabs>
          <w:tab w:val="left" w:pos="7740"/>
        </w:tabs>
        <w:spacing w:after="120" w:line="240" w:lineRule="auto"/>
        <w:ind w:left="3456"/>
        <w:jc w:val="center"/>
        <w:rPr>
          <w:rFonts w:ascii="Times New Roman" w:hAnsi="Times New Roman" w:cs="Times New Roman"/>
        </w:rPr>
      </w:pPr>
      <w:r w:rsidRPr="00ED7F45">
        <w:rPr>
          <w:rFonts w:ascii="Times New Roman" w:hAnsi="Times New Roman" w:cs="Times New Roman"/>
        </w:rPr>
        <w:br w:type="page"/>
        <w:t>THE SCHEDULE</w:t>
      </w:r>
      <w:r w:rsidR="00F573E5" w:rsidRPr="00ED7F45">
        <w:rPr>
          <w:rFonts w:ascii="Times New Roman" w:hAnsi="Times New Roman" w:cs="Times New Roman"/>
        </w:rPr>
        <w:tab/>
      </w:r>
      <w:r w:rsidRPr="00ED7F45">
        <w:rPr>
          <w:rFonts w:ascii="Times New Roman" w:hAnsi="Times New Roman" w:cs="Times New Roman"/>
        </w:rPr>
        <w:t>Section 4.</w:t>
      </w:r>
    </w:p>
    <w:p w:rsidR="0082512A" w:rsidRPr="00ED7F45" w:rsidRDefault="0082512A" w:rsidP="00ED7F45">
      <w:pPr>
        <w:spacing w:after="120" w:line="240" w:lineRule="auto"/>
        <w:jc w:val="center"/>
        <w:rPr>
          <w:rFonts w:ascii="Times New Roman" w:hAnsi="Times New Roman" w:cs="Times New Roman"/>
          <w:smallCaps/>
        </w:rPr>
      </w:pPr>
      <w:r w:rsidRPr="00ED7F45">
        <w:rPr>
          <w:rFonts w:ascii="Times New Roman" w:hAnsi="Times New Roman" w:cs="Times New Roman"/>
          <w:smallCaps/>
        </w:rPr>
        <w:t>Limit of Grants</w:t>
      </w:r>
    </w:p>
    <w:tbl>
      <w:tblPr>
        <w:tblW w:w="5000" w:type="pct"/>
        <w:tblCellMar>
          <w:left w:w="40" w:type="dxa"/>
          <w:right w:w="40" w:type="dxa"/>
        </w:tblCellMar>
        <w:tblLook w:val="0000" w:firstRow="0" w:lastRow="0" w:firstColumn="0" w:lastColumn="0" w:noHBand="0" w:noVBand="0"/>
      </w:tblPr>
      <w:tblGrid>
        <w:gridCol w:w="2596"/>
        <w:gridCol w:w="1273"/>
        <w:gridCol w:w="1312"/>
        <w:gridCol w:w="1273"/>
        <w:gridCol w:w="1292"/>
        <w:gridCol w:w="1363"/>
      </w:tblGrid>
      <w:tr w:rsidR="0082512A" w:rsidRPr="00ED7F45" w:rsidTr="00695F14">
        <w:trPr>
          <w:trHeight w:val="20"/>
        </w:trPr>
        <w:tc>
          <w:tcPr>
            <w:tcW w:w="1425" w:type="pct"/>
            <w:tcBorders>
              <w:top w:val="single" w:sz="6" w:space="0" w:color="auto"/>
              <w:right w:val="single" w:sz="6" w:space="0" w:color="auto"/>
            </w:tcBorders>
            <w:vAlign w:val="center"/>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First Column</w:t>
            </w:r>
          </w:p>
        </w:tc>
        <w:tc>
          <w:tcPr>
            <w:tcW w:w="699" w:type="pct"/>
            <w:tcBorders>
              <w:top w:val="single" w:sz="6" w:space="0" w:color="auto"/>
              <w:left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Second Column</w:t>
            </w:r>
          </w:p>
        </w:tc>
        <w:tc>
          <w:tcPr>
            <w:tcW w:w="720" w:type="pct"/>
            <w:tcBorders>
              <w:top w:val="single" w:sz="6" w:space="0" w:color="auto"/>
              <w:left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Third Column</w:t>
            </w:r>
          </w:p>
        </w:tc>
        <w:tc>
          <w:tcPr>
            <w:tcW w:w="699" w:type="pct"/>
            <w:tcBorders>
              <w:top w:val="single" w:sz="6" w:space="0" w:color="auto"/>
              <w:left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Fourth Column</w:t>
            </w:r>
          </w:p>
        </w:tc>
        <w:tc>
          <w:tcPr>
            <w:tcW w:w="709" w:type="pct"/>
            <w:tcBorders>
              <w:top w:val="single" w:sz="6" w:space="0" w:color="auto"/>
              <w:left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Fifth Column</w:t>
            </w:r>
          </w:p>
        </w:tc>
        <w:tc>
          <w:tcPr>
            <w:tcW w:w="748" w:type="pct"/>
            <w:tcBorders>
              <w:top w:val="single" w:sz="6" w:space="0" w:color="auto"/>
              <w:lef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Sixth Column</w:t>
            </w:r>
          </w:p>
        </w:tc>
      </w:tr>
      <w:tr w:rsidR="0082512A" w:rsidRPr="00ED7F45" w:rsidTr="00695F14">
        <w:trPr>
          <w:trHeight w:val="20"/>
        </w:trPr>
        <w:tc>
          <w:tcPr>
            <w:tcW w:w="1425" w:type="pct"/>
            <w:tcBorders>
              <w:bottom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Name of State</w:t>
            </w:r>
          </w:p>
        </w:tc>
        <w:tc>
          <w:tcPr>
            <w:tcW w:w="699" w:type="pct"/>
            <w:tcBorders>
              <w:left w:val="single" w:sz="6" w:space="0" w:color="auto"/>
              <w:bottom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Maximum grants payable in respect of secondary schools conducted by a State</w:t>
            </w:r>
          </w:p>
        </w:tc>
        <w:tc>
          <w:tcPr>
            <w:tcW w:w="720" w:type="pct"/>
            <w:tcBorders>
              <w:left w:val="single" w:sz="6" w:space="0" w:color="auto"/>
              <w:bottom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Maximum grants payable in respect of secondary schools not conducted by a State being Roman Catholic secondary schools</w:t>
            </w:r>
          </w:p>
        </w:tc>
        <w:tc>
          <w:tcPr>
            <w:tcW w:w="699" w:type="pct"/>
            <w:tcBorders>
              <w:left w:val="single" w:sz="6" w:space="0" w:color="auto"/>
              <w:bottom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Maximum grants payable in respect of secondary schools not conducted by a State other than Roman Catholic secondary schools</w:t>
            </w:r>
          </w:p>
        </w:tc>
        <w:tc>
          <w:tcPr>
            <w:tcW w:w="709" w:type="pct"/>
            <w:tcBorders>
              <w:left w:val="single" w:sz="6" w:space="0" w:color="auto"/>
              <w:bottom w:val="single" w:sz="6" w:space="0" w:color="auto"/>
              <w:right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Totals of maximum grants payable in respect of secondary schools not conducted</w:t>
            </w:r>
            <w:r w:rsidR="00447201" w:rsidRPr="00ED7F45">
              <w:rPr>
                <w:rFonts w:ascii="Times New Roman" w:hAnsi="Times New Roman" w:cs="Times New Roman"/>
              </w:rPr>
              <w:t xml:space="preserve"> </w:t>
            </w:r>
            <w:r w:rsidRPr="00ED7F45">
              <w:rPr>
                <w:rFonts w:ascii="Times New Roman" w:hAnsi="Times New Roman" w:cs="Times New Roman"/>
              </w:rPr>
              <w:t>by a State</w:t>
            </w:r>
          </w:p>
        </w:tc>
        <w:tc>
          <w:tcPr>
            <w:tcW w:w="748" w:type="pct"/>
            <w:tcBorders>
              <w:left w:val="single" w:sz="6" w:space="0" w:color="auto"/>
              <w:bottom w:val="single" w:sz="6" w:space="0" w:color="auto"/>
            </w:tcBorders>
          </w:tcPr>
          <w:p w:rsidR="0082512A" w:rsidRPr="00ED7F45" w:rsidRDefault="0082512A" w:rsidP="00ED7F45">
            <w:pPr>
              <w:spacing w:before="120" w:after="120" w:line="240" w:lineRule="auto"/>
              <w:jc w:val="center"/>
              <w:rPr>
                <w:rFonts w:ascii="Times New Roman" w:hAnsi="Times New Roman" w:cs="Times New Roman"/>
              </w:rPr>
            </w:pPr>
            <w:r w:rsidRPr="00ED7F45">
              <w:rPr>
                <w:rFonts w:ascii="Times New Roman" w:hAnsi="Times New Roman" w:cs="Times New Roman"/>
              </w:rPr>
              <w:t>Totals of maximum grants payable in respect of all secondary schools</w:t>
            </w:r>
          </w:p>
        </w:tc>
      </w:tr>
      <w:tr w:rsidR="0082512A" w:rsidRPr="00ED7F45" w:rsidTr="00695F14">
        <w:trPr>
          <w:trHeight w:val="20"/>
        </w:trPr>
        <w:tc>
          <w:tcPr>
            <w:tcW w:w="1425" w:type="pct"/>
            <w:tcBorders>
              <w:top w:val="single" w:sz="6" w:space="0" w:color="auto"/>
              <w:right w:val="single" w:sz="6" w:space="0" w:color="auto"/>
            </w:tcBorders>
          </w:tcPr>
          <w:p w:rsidR="0082512A" w:rsidRPr="00ED7F45" w:rsidRDefault="0082512A" w:rsidP="00ED7F45">
            <w:pPr>
              <w:spacing w:after="0" w:line="240" w:lineRule="auto"/>
              <w:jc w:val="both"/>
              <w:rPr>
                <w:rFonts w:ascii="Times New Roman" w:hAnsi="Times New Roman" w:cs="Times New Roman"/>
              </w:rPr>
            </w:pPr>
          </w:p>
        </w:tc>
        <w:tc>
          <w:tcPr>
            <w:tcW w:w="699" w:type="pct"/>
            <w:tcBorders>
              <w:top w:val="single" w:sz="6" w:space="0" w:color="auto"/>
              <w:left w:val="single" w:sz="6" w:space="0" w:color="auto"/>
              <w:right w:val="single" w:sz="6" w:space="0" w:color="auto"/>
            </w:tcBorders>
          </w:tcPr>
          <w:p w:rsidR="0082512A" w:rsidRPr="00ED7F45" w:rsidRDefault="0082512A" w:rsidP="00ED7F45">
            <w:pPr>
              <w:spacing w:after="0" w:line="240" w:lineRule="auto"/>
              <w:jc w:val="center"/>
              <w:rPr>
                <w:rFonts w:ascii="Times New Roman" w:hAnsi="Times New Roman" w:cs="Times New Roman"/>
              </w:rPr>
            </w:pPr>
            <w:r w:rsidRPr="00ED7F45">
              <w:rPr>
                <w:rFonts w:ascii="Times New Roman" w:hAnsi="Times New Roman" w:cs="Times New Roman"/>
              </w:rPr>
              <w:t>$</w:t>
            </w:r>
          </w:p>
        </w:tc>
        <w:tc>
          <w:tcPr>
            <w:tcW w:w="720" w:type="pct"/>
            <w:tcBorders>
              <w:top w:val="single" w:sz="6" w:space="0" w:color="auto"/>
              <w:left w:val="single" w:sz="6" w:space="0" w:color="auto"/>
              <w:right w:val="single" w:sz="6" w:space="0" w:color="auto"/>
            </w:tcBorders>
          </w:tcPr>
          <w:p w:rsidR="0082512A" w:rsidRPr="00ED7F45" w:rsidRDefault="0082512A" w:rsidP="00ED7F45">
            <w:pPr>
              <w:spacing w:after="0" w:line="240" w:lineRule="auto"/>
              <w:jc w:val="center"/>
              <w:rPr>
                <w:rFonts w:ascii="Times New Roman" w:hAnsi="Times New Roman" w:cs="Times New Roman"/>
              </w:rPr>
            </w:pPr>
            <w:r w:rsidRPr="00ED7F45">
              <w:rPr>
                <w:rFonts w:ascii="Times New Roman" w:hAnsi="Times New Roman" w:cs="Times New Roman"/>
              </w:rPr>
              <w:t>$</w:t>
            </w:r>
          </w:p>
        </w:tc>
        <w:tc>
          <w:tcPr>
            <w:tcW w:w="699" w:type="pct"/>
            <w:tcBorders>
              <w:top w:val="single" w:sz="6" w:space="0" w:color="auto"/>
              <w:left w:val="single" w:sz="6" w:space="0" w:color="auto"/>
              <w:right w:val="single" w:sz="6" w:space="0" w:color="auto"/>
            </w:tcBorders>
          </w:tcPr>
          <w:p w:rsidR="0082512A" w:rsidRPr="00ED7F45" w:rsidRDefault="0082512A" w:rsidP="00ED7F45">
            <w:pPr>
              <w:spacing w:after="0" w:line="240" w:lineRule="auto"/>
              <w:jc w:val="center"/>
              <w:rPr>
                <w:rFonts w:ascii="Times New Roman" w:hAnsi="Times New Roman" w:cs="Times New Roman"/>
              </w:rPr>
            </w:pPr>
            <w:r w:rsidRPr="00ED7F45">
              <w:rPr>
                <w:rFonts w:ascii="Times New Roman" w:hAnsi="Times New Roman" w:cs="Times New Roman"/>
              </w:rPr>
              <w:t>$</w:t>
            </w:r>
          </w:p>
        </w:tc>
        <w:tc>
          <w:tcPr>
            <w:tcW w:w="709" w:type="pct"/>
            <w:tcBorders>
              <w:top w:val="single" w:sz="6" w:space="0" w:color="auto"/>
              <w:left w:val="single" w:sz="6" w:space="0" w:color="auto"/>
              <w:right w:val="single" w:sz="6" w:space="0" w:color="auto"/>
            </w:tcBorders>
          </w:tcPr>
          <w:p w:rsidR="0082512A" w:rsidRPr="00ED7F45" w:rsidRDefault="0082512A" w:rsidP="00ED7F45">
            <w:pPr>
              <w:spacing w:after="0" w:line="240" w:lineRule="auto"/>
              <w:jc w:val="center"/>
              <w:rPr>
                <w:rFonts w:ascii="Times New Roman" w:hAnsi="Times New Roman" w:cs="Times New Roman"/>
              </w:rPr>
            </w:pPr>
            <w:r w:rsidRPr="00ED7F45">
              <w:rPr>
                <w:rFonts w:ascii="Times New Roman" w:hAnsi="Times New Roman" w:cs="Times New Roman"/>
              </w:rPr>
              <w:t>$</w:t>
            </w:r>
          </w:p>
        </w:tc>
        <w:tc>
          <w:tcPr>
            <w:tcW w:w="748" w:type="pct"/>
            <w:tcBorders>
              <w:top w:val="single" w:sz="6" w:space="0" w:color="auto"/>
              <w:left w:val="single" w:sz="6" w:space="0" w:color="auto"/>
            </w:tcBorders>
          </w:tcPr>
          <w:p w:rsidR="0082512A" w:rsidRPr="00ED7F45" w:rsidRDefault="0082512A" w:rsidP="00ED7F45">
            <w:pPr>
              <w:spacing w:after="0" w:line="240" w:lineRule="auto"/>
              <w:jc w:val="center"/>
              <w:rPr>
                <w:rFonts w:ascii="Times New Roman" w:hAnsi="Times New Roman" w:cs="Times New Roman"/>
              </w:rPr>
            </w:pPr>
            <w:r w:rsidRPr="00ED7F45">
              <w:rPr>
                <w:rFonts w:ascii="Times New Roman" w:hAnsi="Times New Roman" w:cs="Times New Roman"/>
              </w:rPr>
              <w:t>$</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New South Wales</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8,209,992</w:t>
            </w:r>
          </w:p>
        </w:tc>
        <w:tc>
          <w:tcPr>
            <w:tcW w:w="720"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2,121,718</w:t>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565,438</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2,687,156</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10,897,148</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Victoria</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6,947,586</w:t>
            </w:r>
          </w:p>
        </w:tc>
        <w:tc>
          <w:tcPr>
            <w:tcW w:w="720"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1,594,710</w:t>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749,684</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2,344,394</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9,291,980</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Queensland</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2,656,719</w:t>
            </w:r>
          </w:p>
        </w:tc>
        <w:tc>
          <w:tcPr>
            <w:tcW w:w="720"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976,281</w:t>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382,151</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1,358,432</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4,015,151</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South Australia</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2,288,697</w:t>
            </w:r>
          </w:p>
        </w:tc>
        <w:tc>
          <w:tcPr>
            <w:tcW w:w="720"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257,979</w:t>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144,405</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402,384</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2,691,081</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Western Australia</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1,616,826</w:t>
            </w:r>
          </w:p>
        </w:tc>
        <w:tc>
          <w:tcPr>
            <w:tcW w:w="720"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297,928</w:t>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133,163</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431,091</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2,047,917</w:t>
            </w:r>
          </w:p>
        </w:tc>
      </w:tr>
      <w:tr w:rsidR="0082512A" w:rsidRPr="00ED7F45" w:rsidTr="00695F14">
        <w:trPr>
          <w:trHeight w:val="20"/>
        </w:trPr>
        <w:tc>
          <w:tcPr>
            <w:tcW w:w="1425" w:type="pct"/>
            <w:tcBorders>
              <w:right w:val="single" w:sz="6" w:space="0" w:color="auto"/>
            </w:tcBorders>
          </w:tcPr>
          <w:p w:rsidR="0082512A" w:rsidRPr="00ED7F45" w:rsidRDefault="0082512A" w:rsidP="00ED7F45">
            <w:pPr>
              <w:tabs>
                <w:tab w:val="right" w:leader="dot" w:pos="2520"/>
              </w:tabs>
              <w:spacing w:after="0" w:line="240" w:lineRule="auto"/>
              <w:jc w:val="both"/>
              <w:rPr>
                <w:rFonts w:ascii="Times New Roman" w:hAnsi="Times New Roman" w:cs="Times New Roman"/>
              </w:rPr>
            </w:pPr>
            <w:r w:rsidRPr="00ED7F45">
              <w:rPr>
                <w:rFonts w:ascii="Times New Roman" w:hAnsi="Times New Roman" w:cs="Times New Roman"/>
              </w:rPr>
              <w:t>Tasmania</w:t>
            </w:r>
            <w:r w:rsidR="00120B00" w:rsidRPr="00ED7F45">
              <w:rPr>
                <w:rFonts w:ascii="Times New Roman" w:hAnsi="Times New Roman" w:cs="Times New Roman"/>
              </w:rPr>
              <w:tab/>
            </w:r>
          </w:p>
        </w:tc>
        <w:tc>
          <w:tcPr>
            <w:tcW w:w="69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856,518</w:t>
            </w:r>
          </w:p>
        </w:tc>
        <w:tc>
          <w:tcPr>
            <w:tcW w:w="720" w:type="pct"/>
            <w:tcBorders>
              <w:left w:val="single" w:sz="6" w:space="0" w:color="auto"/>
              <w:bottom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145,385</w:t>
            </w:r>
          </w:p>
        </w:tc>
        <w:tc>
          <w:tcPr>
            <w:tcW w:w="699" w:type="pct"/>
            <w:tcBorders>
              <w:left w:val="single" w:sz="6" w:space="0" w:color="auto"/>
              <w:bottom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54,820</w:t>
            </w:r>
          </w:p>
        </w:tc>
        <w:tc>
          <w:tcPr>
            <w:tcW w:w="709" w:type="pct"/>
            <w:tcBorders>
              <w:left w:val="single" w:sz="6" w:space="0" w:color="auto"/>
              <w:righ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200,205</w:t>
            </w:r>
          </w:p>
        </w:tc>
        <w:tc>
          <w:tcPr>
            <w:tcW w:w="748" w:type="pct"/>
            <w:tcBorders>
              <w:left w:val="single" w:sz="6" w:space="0" w:color="auto"/>
            </w:tcBorders>
          </w:tcPr>
          <w:p w:rsidR="0082512A" w:rsidRPr="00ED7F45" w:rsidRDefault="0082512A" w:rsidP="00ED7F45">
            <w:pPr>
              <w:spacing w:after="0" w:line="240" w:lineRule="auto"/>
              <w:ind w:right="144"/>
              <w:jc w:val="right"/>
              <w:rPr>
                <w:rFonts w:ascii="Times New Roman" w:hAnsi="Times New Roman" w:cs="Times New Roman"/>
              </w:rPr>
            </w:pPr>
            <w:r w:rsidRPr="00ED7F45">
              <w:rPr>
                <w:rFonts w:ascii="Times New Roman" w:hAnsi="Times New Roman" w:cs="Times New Roman"/>
              </w:rPr>
              <w:t>1,056,723</w:t>
            </w:r>
          </w:p>
        </w:tc>
      </w:tr>
      <w:tr w:rsidR="0082512A" w:rsidRPr="00ED7F45" w:rsidTr="00695F14">
        <w:trPr>
          <w:trHeight w:val="20"/>
        </w:trPr>
        <w:tc>
          <w:tcPr>
            <w:tcW w:w="1425" w:type="pct"/>
            <w:tcBorders>
              <w:bottom w:val="single" w:sz="6" w:space="0" w:color="auto"/>
              <w:right w:val="single" w:sz="6" w:space="0" w:color="auto"/>
            </w:tcBorders>
          </w:tcPr>
          <w:p w:rsidR="0082512A" w:rsidRPr="00ED7F45" w:rsidRDefault="0082512A" w:rsidP="00ED7F45">
            <w:pPr>
              <w:tabs>
                <w:tab w:val="right" w:leader="dot" w:pos="2520"/>
              </w:tabs>
              <w:spacing w:before="60" w:after="60" w:line="240" w:lineRule="auto"/>
              <w:ind w:firstLine="270"/>
              <w:jc w:val="both"/>
              <w:rPr>
                <w:rFonts w:ascii="Times New Roman" w:hAnsi="Times New Roman" w:cs="Times New Roman"/>
              </w:rPr>
            </w:pPr>
            <w:r w:rsidRPr="00ED7F45">
              <w:rPr>
                <w:rFonts w:ascii="Times New Roman" w:hAnsi="Times New Roman" w:cs="Times New Roman"/>
              </w:rPr>
              <w:t>Totals</w:t>
            </w:r>
            <w:r w:rsidR="00120B00" w:rsidRPr="00ED7F45">
              <w:rPr>
                <w:rFonts w:ascii="Times New Roman" w:hAnsi="Times New Roman" w:cs="Times New Roman"/>
              </w:rPr>
              <w:tab/>
            </w:r>
          </w:p>
        </w:tc>
        <w:tc>
          <w:tcPr>
            <w:tcW w:w="699" w:type="pct"/>
            <w:tcBorders>
              <w:left w:val="single" w:sz="6" w:space="0" w:color="auto"/>
              <w:bottom w:val="single" w:sz="6" w:space="0" w:color="auto"/>
              <w:right w:val="single" w:sz="6" w:space="0" w:color="auto"/>
            </w:tcBorders>
          </w:tcPr>
          <w:p w:rsidR="0082512A" w:rsidRPr="00ED7F45" w:rsidRDefault="00CC16EC"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w:t>
            </w:r>
          </w:p>
        </w:tc>
        <w:tc>
          <w:tcPr>
            <w:tcW w:w="720" w:type="pct"/>
            <w:tcBorders>
              <w:top w:val="single" w:sz="6" w:space="0" w:color="auto"/>
              <w:left w:val="single" w:sz="6" w:space="0" w:color="auto"/>
              <w:bottom w:val="single" w:sz="6" w:space="0" w:color="auto"/>
              <w:right w:val="single" w:sz="6" w:space="0" w:color="auto"/>
            </w:tcBorders>
          </w:tcPr>
          <w:p w:rsidR="0082512A" w:rsidRPr="00ED7F45" w:rsidRDefault="0082512A"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5,394,001</w:t>
            </w:r>
          </w:p>
        </w:tc>
        <w:tc>
          <w:tcPr>
            <w:tcW w:w="699" w:type="pct"/>
            <w:tcBorders>
              <w:top w:val="single" w:sz="6" w:space="0" w:color="auto"/>
              <w:left w:val="single" w:sz="6" w:space="0" w:color="auto"/>
              <w:bottom w:val="single" w:sz="6" w:space="0" w:color="auto"/>
              <w:right w:val="single" w:sz="6" w:space="0" w:color="auto"/>
            </w:tcBorders>
          </w:tcPr>
          <w:p w:rsidR="0082512A" w:rsidRPr="00ED7F45" w:rsidRDefault="0082512A"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2,029,661</w:t>
            </w:r>
          </w:p>
        </w:tc>
        <w:tc>
          <w:tcPr>
            <w:tcW w:w="709" w:type="pct"/>
            <w:tcBorders>
              <w:left w:val="single" w:sz="6" w:space="0" w:color="auto"/>
              <w:bottom w:val="single" w:sz="6" w:space="0" w:color="auto"/>
              <w:right w:val="single" w:sz="6" w:space="0" w:color="auto"/>
            </w:tcBorders>
          </w:tcPr>
          <w:p w:rsidR="0082512A" w:rsidRPr="00ED7F45" w:rsidRDefault="00CC16EC"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w:t>
            </w:r>
          </w:p>
        </w:tc>
        <w:tc>
          <w:tcPr>
            <w:tcW w:w="748" w:type="pct"/>
            <w:tcBorders>
              <w:left w:val="single" w:sz="6" w:space="0" w:color="auto"/>
              <w:bottom w:val="single" w:sz="6" w:space="0" w:color="auto"/>
            </w:tcBorders>
          </w:tcPr>
          <w:p w:rsidR="0082512A" w:rsidRPr="00ED7F45" w:rsidRDefault="00CC16EC"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w:t>
            </w:r>
          </w:p>
        </w:tc>
      </w:tr>
      <w:tr w:rsidR="0082512A" w:rsidRPr="00ED7F45" w:rsidTr="00695F14">
        <w:trPr>
          <w:trHeight w:val="20"/>
        </w:trPr>
        <w:tc>
          <w:tcPr>
            <w:tcW w:w="1425" w:type="pct"/>
            <w:tcBorders>
              <w:top w:val="single" w:sz="6" w:space="0" w:color="auto"/>
              <w:bottom w:val="single" w:sz="6" w:space="0" w:color="auto"/>
              <w:right w:val="single" w:sz="6" w:space="0" w:color="auto"/>
            </w:tcBorders>
          </w:tcPr>
          <w:p w:rsidR="0082512A" w:rsidRPr="00ED7F45" w:rsidRDefault="0082512A" w:rsidP="00ED7F45">
            <w:pPr>
              <w:tabs>
                <w:tab w:val="right" w:leader="dot" w:pos="2520"/>
              </w:tabs>
              <w:spacing w:before="60" w:after="60" w:line="240" w:lineRule="auto"/>
              <w:ind w:firstLine="576"/>
              <w:jc w:val="both"/>
              <w:rPr>
                <w:rFonts w:ascii="Times New Roman" w:hAnsi="Times New Roman" w:cs="Times New Roman"/>
              </w:rPr>
            </w:pPr>
            <w:r w:rsidRPr="00ED7F45">
              <w:rPr>
                <w:rFonts w:ascii="Times New Roman" w:hAnsi="Times New Roman" w:cs="Times New Roman"/>
              </w:rPr>
              <w:t>Totals</w:t>
            </w:r>
            <w:r w:rsidR="00120B00" w:rsidRPr="00ED7F45">
              <w:rPr>
                <w:rFonts w:ascii="Times New Roman" w:hAnsi="Times New Roman" w:cs="Times New Roman"/>
              </w:rPr>
              <w:tab/>
            </w:r>
          </w:p>
        </w:tc>
        <w:tc>
          <w:tcPr>
            <w:tcW w:w="699" w:type="pct"/>
            <w:tcBorders>
              <w:top w:val="single" w:sz="6" w:space="0" w:color="auto"/>
              <w:left w:val="single" w:sz="6" w:space="0" w:color="auto"/>
              <w:bottom w:val="single" w:sz="6" w:space="0" w:color="auto"/>
              <w:right w:val="single" w:sz="6" w:space="0" w:color="auto"/>
            </w:tcBorders>
          </w:tcPr>
          <w:p w:rsidR="0082512A" w:rsidRPr="00ED7F45" w:rsidRDefault="0082512A"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22,576,338</w:t>
            </w:r>
          </w:p>
        </w:tc>
        <w:tc>
          <w:tcPr>
            <w:tcW w:w="720" w:type="pct"/>
            <w:tcBorders>
              <w:top w:val="single" w:sz="6" w:space="0" w:color="auto"/>
              <w:left w:val="single" w:sz="6" w:space="0" w:color="auto"/>
              <w:bottom w:val="single" w:sz="6" w:space="0" w:color="auto"/>
              <w:right w:val="single" w:sz="6" w:space="0" w:color="auto"/>
            </w:tcBorders>
          </w:tcPr>
          <w:p w:rsidR="0082512A" w:rsidRPr="00ED7F45" w:rsidRDefault="00B22677"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w:t>
            </w:r>
          </w:p>
        </w:tc>
        <w:tc>
          <w:tcPr>
            <w:tcW w:w="699" w:type="pct"/>
            <w:tcBorders>
              <w:top w:val="single" w:sz="6" w:space="0" w:color="auto"/>
              <w:left w:val="single" w:sz="6" w:space="0" w:color="auto"/>
              <w:bottom w:val="single" w:sz="6" w:space="0" w:color="auto"/>
              <w:right w:val="single" w:sz="6" w:space="0" w:color="auto"/>
            </w:tcBorders>
          </w:tcPr>
          <w:p w:rsidR="0082512A" w:rsidRPr="00ED7F45" w:rsidRDefault="00B22677"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w:t>
            </w:r>
          </w:p>
        </w:tc>
        <w:tc>
          <w:tcPr>
            <w:tcW w:w="709" w:type="pct"/>
            <w:tcBorders>
              <w:top w:val="single" w:sz="6" w:space="0" w:color="auto"/>
              <w:left w:val="single" w:sz="6" w:space="0" w:color="auto"/>
              <w:bottom w:val="single" w:sz="6" w:space="0" w:color="auto"/>
              <w:right w:val="single" w:sz="6" w:space="0" w:color="auto"/>
            </w:tcBorders>
          </w:tcPr>
          <w:p w:rsidR="0082512A" w:rsidRPr="00ED7F45" w:rsidRDefault="0082512A"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7,423,662</w:t>
            </w:r>
          </w:p>
        </w:tc>
        <w:tc>
          <w:tcPr>
            <w:tcW w:w="748" w:type="pct"/>
            <w:tcBorders>
              <w:top w:val="single" w:sz="6" w:space="0" w:color="auto"/>
              <w:left w:val="single" w:sz="6" w:space="0" w:color="auto"/>
              <w:bottom w:val="single" w:sz="6" w:space="0" w:color="auto"/>
            </w:tcBorders>
          </w:tcPr>
          <w:p w:rsidR="0082512A" w:rsidRPr="00ED7F45" w:rsidRDefault="0082512A" w:rsidP="00ED7F45">
            <w:pPr>
              <w:spacing w:before="60" w:after="60" w:line="240" w:lineRule="auto"/>
              <w:ind w:right="144"/>
              <w:jc w:val="right"/>
              <w:rPr>
                <w:rFonts w:ascii="Times New Roman" w:hAnsi="Times New Roman" w:cs="Times New Roman"/>
              </w:rPr>
            </w:pPr>
            <w:r w:rsidRPr="00ED7F45">
              <w:rPr>
                <w:rFonts w:ascii="Times New Roman" w:hAnsi="Times New Roman" w:cs="Times New Roman"/>
              </w:rPr>
              <w:t>30,000,000</w:t>
            </w:r>
          </w:p>
        </w:tc>
      </w:tr>
    </w:tbl>
    <w:p w:rsidR="0004068B" w:rsidRPr="00ED7F45" w:rsidRDefault="0004068B" w:rsidP="00ED7F45">
      <w:pPr>
        <w:pBdr>
          <w:top w:val="thickThinLargeGap" w:sz="24" w:space="1" w:color="auto"/>
        </w:pBdr>
        <w:spacing w:before="600" w:after="0" w:line="240" w:lineRule="auto"/>
        <w:jc w:val="both"/>
        <w:rPr>
          <w:rFonts w:ascii="Times New Roman" w:hAnsi="Times New Roman" w:cs="Times New Roman"/>
        </w:rPr>
      </w:pPr>
    </w:p>
    <w:sectPr w:rsidR="0004068B" w:rsidRPr="00ED7F45" w:rsidSect="00ED7F45">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36" w:rsidRDefault="00DE6336" w:rsidP="0021501F">
      <w:pPr>
        <w:spacing w:after="0" w:line="240" w:lineRule="auto"/>
      </w:pPr>
      <w:r>
        <w:separator/>
      </w:r>
    </w:p>
  </w:endnote>
  <w:endnote w:type="continuationSeparator" w:id="0">
    <w:p w:rsidR="00DE6336" w:rsidRDefault="00DE6336" w:rsidP="0021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36" w:rsidRDefault="00DE6336" w:rsidP="0021501F">
      <w:pPr>
        <w:spacing w:after="0" w:line="240" w:lineRule="auto"/>
      </w:pPr>
      <w:r>
        <w:separator/>
      </w:r>
    </w:p>
  </w:footnote>
  <w:footnote w:type="continuationSeparator" w:id="0">
    <w:p w:rsidR="00DE6336" w:rsidRDefault="00DE6336" w:rsidP="00215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F" w:rsidRPr="0021501F" w:rsidRDefault="0021501F">
    <w:pPr>
      <w:pStyle w:val="Header"/>
      <w:rPr>
        <w:rFonts w:ascii="Times New Roman" w:hAnsi="Times New Roman"/>
        <w:sz w:val="20"/>
      </w:rPr>
    </w:pPr>
    <w:r w:rsidRPr="0021501F">
      <w:rPr>
        <w:rFonts w:ascii="Times New Roman" w:hAnsi="Times New Roman"/>
        <w:sz w:val="20"/>
      </w:rPr>
      <w:t>1971</w:t>
    </w:r>
    <w:r w:rsidRPr="0021501F">
      <w:rPr>
        <w:rFonts w:ascii="Times New Roman" w:hAnsi="Times New Roman"/>
        <w:sz w:val="20"/>
      </w:rPr>
      <w:ptab w:relativeTo="margin" w:alignment="center" w:leader="none"/>
    </w:r>
    <w:r w:rsidRPr="0021501F">
      <w:rPr>
        <w:rFonts w:ascii="Times New Roman" w:hAnsi="Times New Roman" w:cs="Times New Roman"/>
        <w:i/>
        <w:sz w:val="20"/>
      </w:rPr>
      <w:t xml:space="preserve">States Grants </w:t>
    </w:r>
    <w:r w:rsidRPr="0021501F">
      <w:rPr>
        <w:rFonts w:ascii="Times New Roman" w:hAnsi="Times New Roman" w:cs="Times New Roman"/>
        <w:sz w:val="20"/>
      </w:rPr>
      <w:t>(</w:t>
    </w:r>
    <w:r w:rsidRPr="0021501F">
      <w:rPr>
        <w:rFonts w:ascii="Times New Roman" w:hAnsi="Times New Roman" w:cs="Times New Roman"/>
        <w:i/>
        <w:sz w:val="20"/>
      </w:rPr>
      <w:t>Secondary Schools Libraries</w:t>
    </w:r>
    <w:r w:rsidRPr="0021501F">
      <w:rPr>
        <w:rFonts w:ascii="Times New Roman" w:hAnsi="Times New Roman" w:cs="Times New Roman"/>
        <w:sz w:val="20"/>
      </w:rPr>
      <w:t>)</w:t>
    </w:r>
    <w:r w:rsidRPr="0021501F">
      <w:rPr>
        <w:rFonts w:ascii="Times New Roman" w:hAnsi="Times New Roman"/>
        <w:sz w:val="20"/>
      </w:rPr>
      <w:ptab w:relativeTo="margin" w:alignment="right" w:leader="none"/>
    </w:r>
    <w:r w:rsidRPr="0021501F">
      <w:rPr>
        <w:rFonts w:ascii="Times New Roman" w:hAnsi="Times New Roman"/>
        <w:sz w:val="20"/>
      </w:rPr>
      <w:t>No. 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1F" w:rsidRPr="0021501F" w:rsidRDefault="0021501F">
    <w:pPr>
      <w:pStyle w:val="Header"/>
      <w:rPr>
        <w:rFonts w:ascii="Times New Roman" w:hAnsi="Times New Roman"/>
        <w:sz w:val="20"/>
      </w:rPr>
    </w:pPr>
    <w:r w:rsidRPr="0021501F">
      <w:rPr>
        <w:rFonts w:ascii="Times New Roman" w:hAnsi="Times New Roman"/>
        <w:sz w:val="20"/>
      </w:rPr>
      <w:t>No. 114</w:t>
    </w:r>
    <w:r w:rsidRPr="0021501F">
      <w:rPr>
        <w:rFonts w:ascii="Times New Roman" w:hAnsi="Times New Roman"/>
        <w:sz w:val="20"/>
      </w:rPr>
      <w:ptab w:relativeTo="margin" w:alignment="center" w:leader="none"/>
    </w:r>
    <w:r w:rsidRPr="0021501F">
      <w:rPr>
        <w:rFonts w:ascii="Times New Roman" w:hAnsi="Times New Roman" w:cs="Times New Roman"/>
        <w:i/>
        <w:sz w:val="20"/>
      </w:rPr>
      <w:t xml:space="preserve">States Grants </w:t>
    </w:r>
    <w:r w:rsidRPr="0021501F">
      <w:rPr>
        <w:rFonts w:ascii="Times New Roman" w:hAnsi="Times New Roman" w:cs="Times New Roman"/>
        <w:sz w:val="20"/>
      </w:rPr>
      <w:t>(</w:t>
    </w:r>
    <w:r w:rsidRPr="0021501F">
      <w:rPr>
        <w:rFonts w:ascii="Times New Roman" w:hAnsi="Times New Roman" w:cs="Times New Roman"/>
        <w:i/>
        <w:sz w:val="20"/>
      </w:rPr>
      <w:t>Secondary Schools Libraries</w:t>
    </w:r>
    <w:r w:rsidRPr="0021501F">
      <w:rPr>
        <w:rFonts w:ascii="Times New Roman" w:hAnsi="Times New Roman" w:cs="Times New Roman"/>
        <w:sz w:val="20"/>
      </w:rPr>
      <w:t>)</w:t>
    </w:r>
    <w:r w:rsidRPr="0021501F">
      <w:rPr>
        <w:rFonts w:ascii="Times New Roman" w:hAnsi="Times New Roman"/>
        <w:sz w:val="20"/>
      </w:rPr>
      <w:ptab w:relativeTo="margin" w:alignment="right" w:leader="none"/>
    </w:r>
    <w:r w:rsidRPr="0021501F">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007DE"/>
    <w:rsid w:val="0004068B"/>
    <w:rsid w:val="00075B1F"/>
    <w:rsid w:val="00083C4B"/>
    <w:rsid w:val="000B7A8E"/>
    <w:rsid w:val="000D34C5"/>
    <w:rsid w:val="00120B00"/>
    <w:rsid w:val="00163009"/>
    <w:rsid w:val="00186CD0"/>
    <w:rsid w:val="0019318A"/>
    <w:rsid w:val="001B399C"/>
    <w:rsid w:val="002007DE"/>
    <w:rsid w:val="0021501F"/>
    <w:rsid w:val="00244985"/>
    <w:rsid w:val="00292FBC"/>
    <w:rsid w:val="0029374B"/>
    <w:rsid w:val="00297F89"/>
    <w:rsid w:val="002A68A7"/>
    <w:rsid w:val="002D44A5"/>
    <w:rsid w:val="002E3051"/>
    <w:rsid w:val="00336288"/>
    <w:rsid w:val="00350407"/>
    <w:rsid w:val="00366E97"/>
    <w:rsid w:val="0037190A"/>
    <w:rsid w:val="003E7FB0"/>
    <w:rsid w:val="004241B2"/>
    <w:rsid w:val="004345F3"/>
    <w:rsid w:val="00447201"/>
    <w:rsid w:val="0045311B"/>
    <w:rsid w:val="004876F6"/>
    <w:rsid w:val="00493AEA"/>
    <w:rsid w:val="004946B3"/>
    <w:rsid w:val="0050320B"/>
    <w:rsid w:val="00577695"/>
    <w:rsid w:val="00590207"/>
    <w:rsid w:val="005B2264"/>
    <w:rsid w:val="005D031E"/>
    <w:rsid w:val="00663229"/>
    <w:rsid w:val="00676958"/>
    <w:rsid w:val="006771C1"/>
    <w:rsid w:val="00695F14"/>
    <w:rsid w:val="00762B07"/>
    <w:rsid w:val="0076629F"/>
    <w:rsid w:val="007700AE"/>
    <w:rsid w:val="00786475"/>
    <w:rsid w:val="007D62D7"/>
    <w:rsid w:val="0082512A"/>
    <w:rsid w:val="00885917"/>
    <w:rsid w:val="008A2213"/>
    <w:rsid w:val="008A48B2"/>
    <w:rsid w:val="008C34A0"/>
    <w:rsid w:val="008D6DC7"/>
    <w:rsid w:val="008E6549"/>
    <w:rsid w:val="008F315E"/>
    <w:rsid w:val="00930429"/>
    <w:rsid w:val="00934B42"/>
    <w:rsid w:val="009440F6"/>
    <w:rsid w:val="00967670"/>
    <w:rsid w:val="00977CA7"/>
    <w:rsid w:val="009A53A1"/>
    <w:rsid w:val="009B0077"/>
    <w:rsid w:val="009D569D"/>
    <w:rsid w:val="00A07D46"/>
    <w:rsid w:val="00A10460"/>
    <w:rsid w:val="00A553C9"/>
    <w:rsid w:val="00A67DE3"/>
    <w:rsid w:val="00AD1C95"/>
    <w:rsid w:val="00AD70D1"/>
    <w:rsid w:val="00B10D4F"/>
    <w:rsid w:val="00B22677"/>
    <w:rsid w:val="00B40CFE"/>
    <w:rsid w:val="00B42635"/>
    <w:rsid w:val="00B56D88"/>
    <w:rsid w:val="00BC3A24"/>
    <w:rsid w:val="00C35481"/>
    <w:rsid w:val="00CA072E"/>
    <w:rsid w:val="00CC16EC"/>
    <w:rsid w:val="00CF5CFD"/>
    <w:rsid w:val="00D01FDC"/>
    <w:rsid w:val="00D27272"/>
    <w:rsid w:val="00D977FA"/>
    <w:rsid w:val="00DC5767"/>
    <w:rsid w:val="00DE1D2D"/>
    <w:rsid w:val="00DE2737"/>
    <w:rsid w:val="00DE6336"/>
    <w:rsid w:val="00E204CB"/>
    <w:rsid w:val="00E30578"/>
    <w:rsid w:val="00E5121A"/>
    <w:rsid w:val="00E8031C"/>
    <w:rsid w:val="00ED7F45"/>
    <w:rsid w:val="00EE30F5"/>
    <w:rsid w:val="00F573E5"/>
    <w:rsid w:val="00F76131"/>
    <w:rsid w:val="00FB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007D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007D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007D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07D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007D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007D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007D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07D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007D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007D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007DE"/>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2007D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007DE"/>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007D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007DE"/>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007D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2007DE"/>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2007D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007DE"/>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2007DE"/>
    <w:rPr>
      <w:rFonts w:ascii="Times New Roman" w:eastAsia="Times New Roman" w:hAnsi="Times New Roman" w:cs="Times New Roman"/>
      <w:b/>
      <w:bCs/>
      <w:i w:val="0"/>
      <w:iCs w:val="0"/>
      <w:smallCaps w:val="0"/>
      <w:sz w:val="26"/>
      <w:szCs w:val="26"/>
    </w:rPr>
  </w:style>
  <w:style w:type="character" w:customStyle="1" w:styleId="CharStyle6">
    <w:name w:val="CharStyle6"/>
    <w:basedOn w:val="DefaultParagraphFont"/>
    <w:rsid w:val="002007DE"/>
    <w:rPr>
      <w:rFonts w:ascii="Times New Roman" w:eastAsia="Times New Roman" w:hAnsi="Times New Roman" w:cs="Times New Roman"/>
      <w:b w:val="0"/>
      <w:bCs w:val="0"/>
      <w:i w:val="0"/>
      <w:iCs w:val="0"/>
      <w:smallCaps w:val="0"/>
      <w:sz w:val="16"/>
      <w:szCs w:val="16"/>
    </w:rPr>
  </w:style>
  <w:style w:type="character" w:customStyle="1" w:styleId="CharStyle7">
    <w:name w:val="CharStyle7"/>
    <w:basedOn w:val="DefaultParagraphFont"/>
    <w:rsid w:val="002007DE"/>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2007DE"/>
    <w:rPr>
      <w:rFonts w:ascii="Times New Roman" w:eastAsia="Times New Roman" w:hAnsi="Times New Roman" w:cs="Times New Roman"/>
      <w:b/>
      <w:bCs/>
      <w:i/>
      <w:iCs/>
      <w:smallCaps w:val="0"/>
      <w:spacing w:val="20"/>
      <w:sz w:val="22"/>
      <w:szCs w:val="22"/>
    </w:rPr>
  </w:style>
  <w:style w:type="character" w:customStyle="1" w:styleId="CharStyle23">
    <w:name w:val="CharStyle23"/>
    <w:basedOn w:val="DefaultParagraphFont"/>
    <w:rsid w:val="002007DE"/>
    <w:rPr>
      <w:rFonts w:ascii="Times New Roman" w:eastAsia="Times New Roman" w:hAnsi="Times New Roman" w:cs="Times New Roman"/>
      <w:b w:val="0"/>
      <w:bCs w:val="0"/>
      <w:i w:val="0"/>
      <w:iCs w:val="0"/>
      <w:smallCaps w:val="0"/>
      <w:sz w:val="22"/>
      <w:szCs w:val="22"/>
    </w:rPr>
  </w:style>
  <w:style w:type="character" w:customStyle="1" w:styleId="CharStyle26">
    <w:name w:val="CharStyle26"/>
    <w:basedOn w:val="DefaultParagraphFont"/>
    <w:rsid w:val="002007DE"/>
    <w:rPr>
      <w:rFonts w:ascii="Times New Roman" w:eastAsia="Times New Roman" w:hAnsi="Times New Roman" w:cs="Times New Roman"/>
      <w:b w:val="0"/>
      <w:bCs w:val="0"/>
      <w:i w:val="0"/>
      <w:iCs w:val="0"/>
      <w:smallCaps w:val="0"/>
      <w:sz w:val="14"/>
      <w:szCs w:val="14"/>
    </w:rPr>
  </w:style>
  <w:style w:type="character" w:customStyle="1" w:styleId="CharStyle42">
    <w:name w:val="CharStyle42"/>
    <w:basedOn w:val="DefaultParagraphFont"/>
    <w:rsid w:val="002007DE"/>
    <w:rPr>
      <w:rFonts w:ascii="Times New Roman" w:eastAsia="Times New Roman" w:hAnsi="Times New Roman" w:cs="Times New Roman"/>
      <w:b/>
      <w:bCs/>
      <w:i w:val="0"/>
      <w:iCs w:val="0"/>
      <w:smallCaps w:val="0"/>
      <w:sz w:val="18"/>
      <w:szCs w:val="18"/>
    </w:rPr>
  </w:style>
  <w:style w:type="character" w:customStyle="1" w:styleId="CharStyle45">
    <w:name w:val="CharStyle45"/>
    <w:basedOn w:val="DefaultParagraphFont"/>
    <w:rsid w:val="002007DE"/>
    <w:rPr>
      <w:rFonts w:ascii="Times New Roman" w:eastAsia="Times New Roman" w:hAnsi="Times New Roman" w:cs="Times New Roman"/>
      <w:b/>
      <w:bCs/>
      <w:i w:val="0"/>
      <w:iCs w:val="0"/>
      <w:smallCaps w:val="0"/>
      <w:spacing w:val="-10"/>
      <w:sz w:val="24"/>
      <w:szCs w:val="24"/>
    </w:rPr>
  </w:style>
  <w:style w:type="character" w:customStyle="1" w:styleId="CharStyle48">
    <w:name w:val="CharStyle48"/>
    <w:basedOn w:val="DefaultParagraphFont"/>
    <w:rsid w:val="002007DE"/>
    <w:rPr>
      <w:rFonts w:ascii="Sylfaen" w:eastAsia="Sylfaen" w:hAnsi="Sylfaen" w:cs="Sylfaen"/>
      <w:b/>
      <w:bCs/>
      <w:i w:val="0"/>
      <w:iCs w:val="0"/>
      <w:smallCaps w:val="0"/>
      <w:sz w:val="52"/>
      <w:szCs w:val="52"/>
    </w:rPr>
  </w:style>
  <w:style w:type="character" w:customStyle="1" w:styleId="CharStyle81">
    <w:name w:val="CharStyle81"/>
    <w:basedOn w:val="DefaultParagraphFont"/>
    <w:rsid w:val="002007DE"/>
    <w:rPr>
      <w:rFonts w:ascii="Times New Roman" w:eastAsia="Times New Roman" w:hAnsi="Times New Roman" w:cs="Times New Roman"/>
      <w:b/>
      <w:bCs/>
      <w:i w:val="0"/>
      <w:iCs w:val="0"/>
      <w:smallCaps/>
      <w:sz w:val="14"/>
      <w:szCs w:val="14"/>
    </w:rPr>
  </w:style>
  <w:style w:type="character" w:customStyle="1" w:styleId="CharStyle91">
    <w:name w:val="CharStyle91"/>
    <w:basedOn w:val="DefaultParagraphFont"/>
    <w:rsid w:val="002007DE"/>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2007DE"/>
    <w:rPr>
      <w:rFonts w:ascii="Times New Roman" w:eastAsia="Times New Roman" w:hAnsi="Times New Roman" w:cs="Times New Roman"/>
      <w:b/>
      <w:bCs/>
      <w:i w:val="0"/>
      <w:iCs w:val="0"/>
      <w:smallCaps w:val="0"/>
      <w:spacing w:val="-10"/>
      <w:sz w:val="14"/>
      <w:szCs w:val="14"/>
    </w:rPr>
  </w:style>
  <w:style w:type="paragraph" w:styleId="Header">
    <w:name w:val="header"/>
    <w:basedOn w:val="Normal"/>
    <w:link w:val="HeaderChar"/>
    <w:uiPriority w:val="99"/>
    <w:semiHidden/>
    <w:unhideWhenUsed/>
    <w:rsid w:val="002150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01F"/>
  </w:style>
  <w:style w:type="paragraph" w:styleId="Footer">
    <w:name w:val="footer"/>
    <w:basedOn w:val="Normal"/>
    <w:link w:val="FooterChar"/>
    <w:uiPriority w:val="99"/>
    <w:semiHidden/>
    <w:unhideWhenUsed/>
    <w:rsid w:val="002150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01F"/>
  </w:style>
  <w:style w:type="paragraph" w:styleId="BalloonText">
    <w:name w:val="Balloon Text"/>
    <w:basedOn w:val="Normal"/>
    <w:link w:val="BalloonTextChar"/>
    <w:uiPriority w:val="99"/>
    <w:semiHidden/>
    <w:unhideWhenUsed/>
    <w:rsid w:val="0021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2017-05-11T21:30:00Z</dcterms:created>
  <dcterms:modified xsi:type="dcterms:W3CDTF">2019-03-26T20:07:00Z</dcterms:modified>
</cp:coreProperties>
</file>