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5AE" w:rsidRPr="002A282B" w:rsidRDefault="00BC5A0E" w:rsidP="002A282B">
      <w:pPr>
        <w:spacing w:before="3000" w:after="0" w:line="240" w:lineRule="auto"/>
        <w:jc w:val="center"/>
        <w:rPr>
          <w:rFonts w:ascii="Times New Roman" w:hAnsi="Times New Roman" w:cs="Times New Roman"/>
          <w:sz w:val="36"/>
        </w:rPr>
      </w:pPr>
      <w:r w:rsidRPr="002A282B">
        <w:rPr>
          <w:rFonts w:ascii="Times New Roman" w:hAnsi="Times New Roman" w:cs="Times New Roman"/>
          <w:b/>
          <w:sz w:val="36"/>
        </w:rPr>
        <w:t>States Grants (Universities) Act (No. 2) 1973</w:t>
      </w:r>
    </w:p>
    <w:p w:rsidR="005C15AE" w:rsidRPr="002A282B" w:rsidRDefault="00BC5A0E" w:rsidP="00222E59">
      <w:pPr>
        <w:spacing w:before="360" w:after="120" w:line="240" w:lineRule="auto"/>
        <w:jc w:val="center"/>
        <w:rPr>
          <w:rFonts w:ascii="Times New Roman" w:hAnsi="Times New Roman" w:cs="Times New Roman"/>
          <w:sz w:val="28"/>
        </w:rPr>
      </w:pPr>
      <w:r w:rsidRPr="002A282B">
        <w:rPr>
          <w:rFonts w:ascii="Times New Roman" w:hAnsi="Times New Roman" w:cs="Times New Roman"/>
          <w:b/>
          <w:sz w:val="28"/>
        </w:rPr>
        <w:t>No. 60 of 1973</w:t>
      </w:r>
    </w:p>
    <w:p w:rsidR="002A282B" w:rsidRDefault="002A282B" w:rsidP="002A282B">
      <w:pPr>
        <w:pBdr>
          <w:bottom w:val="thickThinLargeGap" w:sz="12" w:space="1" w:color="auto"/>
        </w:pBdr>
        <w:spacing w:after="0" w:line="240" w:lineRule="auto"/>
        <w:jc w:val="both"/>
        <w:rPr>
          <w:rFonts w:ascii="Times New Roman" w:hAnsi="Times New Roman" w:cs="Times New Roman"/>
          <w:b/>
        </w:rPr>
      </w:pPr>
    </w:p>
    <w:p w:rsidR="005C15AE" w:rsidRPr="002A282B" w:rsidRDefault="00BC5A0E" w:rsidP="00222E59">
      <w:pPr>
        <w:spacing w:before="240" w:after="120" w:line="240" w:lineRule="auto"/>
        <w:jc w:val="center"/>
        <w:rPr>
          <w:rFonts w:ascii="Times New Roman" w:hAnsi="Times New Roman" w:cs="Times New Roman"/>
          <w:sz w:val="28"/>
        </w:rPr>
      </w:pPr>
      <w:r w:rsidRPr="002A282B">
        <w:rPr>
          <w:rFonts w:ascii="Times New Roman" w:hAnsi="Times New Roman" w:cs="Times New Roman"/>
          <w:b/>
          <w:sz w:val="28"/>
        </w:rPr>
        <w:t>AN ACT</w:t>
      </w:r>
    </w:p>
    <w:p w:rsidR="005C15AE" w:rsidRPr="002A282B" w:rsidRDefault="005C15AE" w:rsidP="002A282B">
      <w:pPr>
        <w:spacing w:before="120" w:after="120" w:line="240" w:lineRule="auto"/>
        <w:jc w:val="center"/>
        <w:rPr>
          <w:rFonts w:ascii="Times New Roman" w:hAnsi="Times New Roman" w:cs="Times New Roman"/>
          <w:sz w:val="26"/>
        </w:rPr>
      </w:pPr>
      <w:r w:rsidRPr="002A282B">
        <w:rPr>
          <w:rFonts w:ascii="Times New Roman" w:hAnsi="Times New Roman" w:cs="Times New Roman"/>
          <w:sz w:val="26"/>
        </w:rPr>
        <w:t xml:space="preserve">Relating to the Grant of Financial Assistance to the States in </w:t>
      </w:r>
      <w:proofErr w:type="spellStart"/>
      <w:r w:rsidRPr="002A282B">
        <w:rPr>
          <w:rFonts w:ascii="Times New Roman" w:hAnsi="Times New Roman" w:cs="Times New Roman"/>
          <w:sz w:val="26"/>
        </w:rPr>
        <w:t>Connexion</w:t>
      </w:r>
      <w:proofErr w:type="spellEnd"/>
      <w:r w:rsidRPr="002A282B">
        <w:rPr>
          <w:rFonts w:ascii="Times New Roman" w:hAnsi="Times New Roman" w:cs="Times New Roman"/>
          <w:sz w:val="26"/>
        </w:rPr>
        <w:t xml:space="preserve"> with Universities.</w:t>
      </w:r>
    </w:p>
    <w:p w:rsidR="005C15AE" w:rsidRPr="002A282B" w:rsidRDefault="005C15AE" w:rsidP="002A282B">
      <w:pPr>
        <w:spacing w:before="120" w:after="120" w:line="240" w:lineRule="auto"/>
        <w:jc w:val="right"/>
        <w:rPr>
          <w:rFonts w:ascii="Times New Roman" w:hAnsi="Times New Roman" w:cs="Times New Roman"/>
          <w:sz w:val="26"/>
        </w:rPr>
      </w:pPr>
      <w:r w:rsidRPr="002A282B">
        <w:rPr>
          <w:rFonts w:ascii="Times New Roman" w:hAnsi="Times New Roman" w:cs="Times New Roman"/>
          <w:sz w:val="26"/>
        </w:rPr>
        <w:t>[</w:t>
      </w:r>
      <w:r w:rsidR="00BC5A0E" w:rsidRPr="002A282B">
        <w:rPr>
          <w:rFonts w:ascii="Times New Roman" w:hAnsi="Times New Roman" w:cs="Times New Roman"/>
          <w:i/>
          <w:sz w:val="26"/>
        </w:rPr>
        <w:t>Assented to 18 June 1973</w:t>
      </w:r>
      <w:r w:rsidRPr="002A282B">
        <w:rPr>
          <w:rFonts w:ascii="Times New Roman" w:hAnsi="Times New Roman" w:cs="Times New Roman"/>
          <w:sz w:val="26"/>
        </w:rPr>
        <w:t>]</w:t>
      </w:r>
    </w:p>
    <w:p w:rsidR="005C15AE" w:rsidRPr="00B82F3F" w:rsidRDefault="005C15AE" w:rsidP="00222E59">
      <w:pPr>
        <w:spacing w:after="0" w:line="240" w:lineRule="auto"/>
        <w:ind w:firstLine="432"/>
        <w:jc w:val="both"/>
        <w:rPr>
          <w:rFonts w:ascii="Times New Roman" w:hAnsi="Times New Roman" w:cs="Times New Roman"/>
        </w:rPr>
      </w:pPr>
      <w:r w:rsidRPr="00B82F3F">
        <w:rPr>
          <w:rFonts w:ascii="Times New Roman" w:hAnsi="Times New Roman" w:cs="Times New Roman"/>
        </w:rPr>
        <w:t>BE IT ENACTED by the Queen, the Senate and the House of Representatives of Australia, as follows:—</w:t>
      </w:r>
    </w:p>
    <w:p w:rsidR="005C15AE" w:rsidRPr="002A282B" w:rsidRDefault="00BC5A0E" w:rsidP="002A282B">
      <w:pPr>
        <w:spacing w:before="120" w:after="60" w:line="240" w:lineRule="auto"/>
        <w:jc w:val="both"/>
        <w:rPr>
          <w:rFonts w:ascii="Times New Roman" w:hAnsi="Times New Roman" w:cs="Times New Roman"/>
          <w:b/>
          <w:sz w:val="20"/>
        </w:rPr>
      </w:pPr>
      <w:r w:rsidRPr="002A282B">
        <w:rPr>
          <w:rFonts w:ascii="Times New Roman" w:hAnsi="Times New Roman" w:cs="Times New Roman"/>
          <w:b/>
          <w:sz w:val="20"/>
        </w:rPr>
        <w:t>Short title and citation.</w:t>
      </w:r>
    </w:p>
    <w:p w:rsidR="005C15AE" w:rsidRPr="00BC5A0E" w:rsidRDefault="00BC5A0E" w:rsidP="002A282B">
      <w:pPr>
        <w:tabs>
          <w:tab w:val="left" w:pos="990"/>
        </w:tabs>
        <w:spacing w:after="0" w:line="240" w:lineRule="auto"/>
        <w:ind w:firstLine="432"/>
        <w:jc w:val="both"/>
        <w:rPr>
          <w:rFonts w:ascii="Times New Roman" w:hAnsi="Times New Roman" w:cs="Times New Roman"/>
        </w:rPr>
      </w:pPr>
      <w:r w:rsidRPr="00BC5A0E">
        <w:rPr>
          <w:rFonts w:ascii="Times New Roman" w:hAnsi="Times New Roman" w:cs="Times New Roman"/>
          <w:b/>
        </w:rPr>
        <w:t>1.</w:t>
      </w:r>
      <w:r w:rsidR="002A282B">
        <w:rPr>
          <w:rFonts w:ascii="Times New Roman" w:hAnsi="Times New Roman" w:cs="Times New Roman"/>
        </w:rPr>
        <w:t xml:space="preserve"> (1)</w:t>
      </w:r>
      <w:r w:rsidR="002A282B">
        <w:rPr>
          <w:rFonts w:ascii="Times New Roman" w:hAnsi="Times New Roman" w:cs="Times New Roman"/>
        </w:rPr>
        <w:tab/>
      </w:r>
      <w:r w:rsidR="005C15AE" w:rsidRPr="00BC5A0E">
        <w:rPr>
          <w:rFonts w:ascii="Times New Roman" w:hAnsi="Times New Roman" w:cs="Times New Roman"/>
        </w:rPr>
        <w:t xml:space="preserve">This Act may be cited as the </w:t>
      </w:r>
      <w:r w:rsidRPr="00BC5A0E">
        <w:rPr>
          <w:rFonts w:ascii="Times New Roman" w:hAnsi="Times New Roman" w:cs="Times New Roman"/>
          <w:i/>
        </w:rPr>
        <w:t>States Grants</w:t>
      </w:r>
      <w:r w:rsidR="005C15AE" w:rsidRPr="00BC5A0E">
        <w:rPr>
          <w:rFonts w:ascii="Times New Roman" w:hAnsi="Times New Roman" w:cs="Times New Roman"/>
        </w:rPr>
        <w:t xml:space="preserve"> (</w:t>
      </w:r>
      <w:r w:rsidRPr="00BC5A0E">
        <w:rPr>
          <w:rFonts w:ascii="Times New Roman" w:hAnsi="Times New Roman" w:cs="Times New Roman"/>
          <w:i/>
        </w:rPr>
        <w:t>Universities</w:t>
      </w:r>
      <w:r w:rsidR="005C15AE" w:rsidRPr="00BC5A0E">
        <w:rPr>
          <w:rFonts w:ascii="Times New Roman" w:hAnsi="Times New Roman" w:cs="Times New Roman"/>
        </w:rPr>
        <w:t xml:space="preserve">) </w:t>
      </w:r>
      <w:r w:rsidRPr="00BC5A0E">
        <w:rPr>
          <w:rFonts w:ascii="Times New Roman" w:hAnsi="Times New Roman" w:cs="Times New Roman"/>
          <w:i/>
        </w:rPr>
        <w:t xml:space="preserve">Act </w:t>
      </w:r>
      <w:r w:rsidR="005C15AE" w:rsidRPr="00BC5A0E">
        <w:rPr>
          <w:rFonts w:ascii="Times New Roman" w:hAnsi="Times New Roman" w:cs="Times New Roman"/>
        </w:rPr>
        <w:t>(</w:t>
      </w:r>
      <w:r w:rsidRPr="00BC5A0E">
        <w:rPr>
          <w:rFonts w:ascii="Times New Roman" w:hAnsi="Times New Roman" w:cs="Times New Roman"/>
          <w:i/>
        </w:rPr>
        <w:t xml:space="preserve">No. </w:t>
      </w:r>
      <w:r w:rsidR="005C15AE" w:rsidRPr="00BC5A0E">
        <w:rPr>
          <w:rFonts w:ascii="Times New Roman" w:hAnsi="Times New Roman" w:cs="Times New Roman"/>
        </w:rPr>
        <w:t>2) 1973.</w:t>
      </w:r>
    </w:p>
    <w:p w:rsidR="005C15AE" w:rsidRPr="00BC5A0E" w:rsidRDefault="002A282B" w:rsidP="002A282B">
      <w:pPr>
        <w:tabs>
          <w:tab w:val="left" w:pos="810"/>
        </w:tabs>
        <w:spacing w:before="60" w:after="6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T</w:t>
      </w:r>
      <w:r w:rsidR="005C15AE" w:rsidRPr="00BC5A0E">
        <w:rPr>
          <w:rFonts w:ascii="Times New Roman" w:hAnsi="Times New Roman" w:cs="Times New Roman"/>
        </w:rPr>
        <w:t xml:space="preserve">he </w:t>
      </w:r>
      <w:r w:rsidR="00BC5A0E" w:rsidRPr="00BC5A0E">
        <w:rPr>
          <w:rFonts w:ascii="Times New Roman" w:hAnsi="Times New Roman" w:cs="Times New Roman"/>
          <w:i/>
        </w:rPr>
        <w:t xml:space="preserve">States Grants </w:t>
      </w:r>
      <w:r w:rsidR="005C15AE" w:rsidRPr="00BC5A0E">
        <w:rPr>
          <w:rFonts w:ascii="Times New Roman" w:hAnsi="Times New Roman" w:cs="Times New Roman"/>
        </w:rPr>
        <w:t>(</w:t>
      </w:r>
      <w:r w:rsidR="00BC5A0E" w:rsidRPr="00BC5A0E">
        <w:rPr>
          <w:rFonts w:ascii="Times New Roman" w:hAnsi="Times New Roman" w:cs="Times New Roman"/>
          <w:i/>
        </w:rPr>
        <w:t>Universities</w:t>
      </w:r>
      <w:r w:rsidR="005C15AE" w:rsidRPr="00BC5A0E">
        <w:rPr>
          <w:rFonts w:ascii="Times New Roman" w:hAnsi="Times New Roman" w:cs="Times New Roman"/>
        </w:rPr>
        <w:t xml:space="preserve">) </w:t>
      </w:r>
      <w:r w:rsidR="00BC5A0E" w:rsidRPr="00BC5A0E">
        <w:rPr>
          <w:rFonts w:ascii="Times New Roman" w:hAnsi="Times New Roman" w:cs="Times New Roman"/>
          <w:i/>
        </w:rPr>
        <w:t xml:space="preserve">Act </w:t>
      </w:r>
      <w:r w:rsidR="00BC5A0E" w:rsidRPr="002A282B">
        <w:rPr>
          <w:rFonts w:ascii="Times New Roman" w:hAnsi="Times New Roman" w:cs="Times New Roman"/>
        </w:rPr>
        <w:t>(</w:t>
      </w:r>
      <w:r w:rsidR="00BC5A0E" w:rsidRPr="00BC5A0E">
        <w:rPr>
          <w:rFonts w:ascii="Times New Roman" w:hAnsi="Times New Roman" w:cs="Times New Roman"/>
          <w:i/>
        </w:rPr>
        <w:t xml:space="preserve">No. </w:t>
      </w:r>
      <w:r w:rsidR="00BC5A0E" w:rsidRPr="00B82F3F">
        <w:rPr>
          <w:rFonts w:ascii="Times New Roman" w:hAnsi="Times New Roman" w:cs="Times New Roman"/>
        </w:rPr>
        <w:t>2</w:t>
      </w:r>
      <w:r w:rsidR="00BC5A0E" w:rsidRPr="002A282B">
        <w:rPr>
          <w:rFonts w:ascii="Times New Roman" w:hAnsi="Times New Roman" w:cs="Times New Roman"/>
        </w:rPr>
        <w:t>)</w:t>
      </w:r>
      <w:r w:rsidR="00BC5A0E" w:rsidRPr="00BC5A0E">
        <w:rPr>
          <w:rFonts w:ascii="Times New Roman" w:hAnsi="Times New Roman" w:cs="Times New Roman"/>
          <w:i/>
        </w:rPr>
        <w:t xml:space="preserve"> </w:t>
      </w:r>
      <w:r w:rsidR="00B82F3F">
        <w:rPr>
          <w:rFonts w:ascii="Times New Roman" w:hAnsi="Times New Roman" w:cs="Times New Roman"/>
        </w:rPr>
        <w:t>1972,</w:t>
      </w:r>
      <w:r w:rsidR="005C15AE" w:rsidRPr="00BC5A0E">
        <w:rPr>
          <w:rFonts w:ascii="Times New Roman" w:hAnsi="Times New Roman" w:cs="Times New Roman"/>
        </w:rPr>
        <w:t xml:space="preserve"> as amended by the </w:t>
      </w:r>
      <w:r w:rsidR="00BC5A0E" w:rsidRPr="00BC5A0E">
        <w:rPr>
          <w:rFonts w:ascii="Times New Roman" w:hAnsi="Times New Roman" w:cs="Times New Roman"/>
          <w:i/>
        </w:rPr>
        <w:t xml:space="preserve">States Grants </w:t>
      </w:r>
      <w:r w:rsidR="005C15AE" w:rsidRPr="00BC5A0E">
        <w:rPr>
          <w:rFonts w:ascii="Times New Roman" w:hAnsi="Times New Roman" w:cs="Times New Roman"/>
        </w:rPr>
        <w:t>(</w:t>
      </w:r>
      <w:r w:rsidR="00BC5A0E" w:rsidRPr="00BC5A0E">
        <w:rPr>
          <w:rFonts w:ascii="Times New Roman" w:hAnsi="Times New Roman" w:cs="Times New Roman"/>
          <w:i/>
        </w:rPr>
        <w:t>Universities</w:t>
      </w:r>
      <w:r w:rsidR="005C15AE" w:rsidRPr="00BC5A0E">
        <w:rPr>
          <w:rFonts w:ascii="Times New Roman" w:hAnsi="Times New Roman" w:cs="Times New Roman"/>
        </w:rPr>
        <w:t xml:space="preserve">) </w:t>
      </w:r>
      <w:r w:rsidR="00BC5A0E" w:rsidRPr="00BC5A0E">
        <w:rPr>
          <w:rFonts w:ascii="Times New Roman" w:hAnsi="Times New Roman" w:cs="Times New Roman"/>
          <w:i/>
        </w:rPr>
        <w:t xml:space="preserve">Act </w:t>
      </w:r>
      <w:r w:rsidR="00B82F3F">
        <w:rPr>
          <w:rFonts w:ascii="Times New Roman" w:hAnsi="Times New Roman" w:cs="Times New Roman"/>
        </w:rPr>
        <w:t>1973,</w:t>
      </w:r>
      <w:r w:rsidR="005C15AE" w:rsidRPr="00BC5A0E">
        <w:rPr>
          <w:rFonts w:ascii="Times New Roman" w:hAnsi="Times New Roman" w:cs="Times New Roman"/>
        </w:rPr>
        <w:t xml:space="preserve"> is in this Act referred to as the Principal Act.</w:t>
      </w:r>
    </w:p>
    <w:p w:rsidR="005C15AE" w:rsidRPr="00BC5A0E" w:rsidRDefault="002A282B" w:rsidP="002A282B">
      <w:pPr>
        <w:tabs>
          <w:tab w:val="left" w:pos="810"/>
        </w:tabs>
        <w:spacing w:before="60" w:after="6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5C15AE" w:rsidRPr="00BC5A0E">
        <w:rPr>
          <w:rFonts w:ascii="Times New Roman" w:hAnsi="Times New Roman" w:cs="Times New Roman"/>
        </w:rPr>
        <w:t xml:space="preserve">Section 1 of the </w:t>
      </w:r>
      <w:r w:rsidR="00BC5A0E" w:rsidRPr="00BC5A0E">
        <w:rPr>
          <w:rFonts w:ascii="Times New Roman" w:hAnsi="Times New Roman" w:cs="Times New Roman"/>
          <w:i/>
        </w:rPr>
        <w:t xml:space="preserve">States Grants </w:t>
      </w:r>
      <w:r w:rsidR="005C15AE" w:rsidRPr="00BC5A0E">
        <w:rPr>
          <w:rFonts w:ascii="Times New Roman" w:hAnsi="Times New Roman" w:cs="Times New Roman"/>
        </w:rPr>
        <w:t>(</w:t>
      </w:r>
      <w:r w:rsidR="00BC5A0E" w:rsidRPr="00BC5A0E">
        <w:rPr>
          <w:rFonts w:ascii="Times New Roman" w:hAnsi="Times New Roman" w:cs="Times New Roman"/>
          <w:i/>
        </w:rPr>
        <w:t>Universities</w:t>
      </w:r>
      <w:r w:rsidR="005C15AE" w:rsidRPr="00BC5A0E">
        <w:rPr>
          <w:rFonts w:ascii="Times New Roman" w:hAnsi="Times New Roman" w:cs="Times New Roman"/>
        </w:rPr>
        <w:t xml:space="preserve">) </w:t>
      </w:r>
      <w:r w:rsidR="00BC5A0E" w:rsidRPr="00BC5A0E">
        <w:rPr>
          <w:rFonts w:ascii="Times New Roman" w:hAnsi="Times New Roman" w:cs="Times New Roman"/>
          <w:i/>
        </w:rPr>
        <w:t xml:space="preserve">Act </w:t>
      </w:r>
      <w:r w:rsidR="005C15AE" w:rsidRPr="00BC5A0E">
        <w:rPr>
          <w:rFonts w:ascii="Times New Roman" w:hAnsi="Times New Roman" w:cs="Times New Roman"/>
        </w:rPr>
        <w:t>1973 is amended by omitting sub-section (3).</w:t>
      </w:r>
    </w:p>
    <w:p w:rsidR="005C15AE" w:rsidRPr="00BC5A0E" w:rsidRDefault="002A282B" w:rsidP="002A282B">
      <w:pPr>
        <w:tabs>
          <w:tab w:val="left" w:pos="810"/>
        </w:tabs>
        <w:spacing w:before="60" w:after="6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5C15AE" w:rsidRPr="00BC5A0E">
        <w:rPr>
          <w:rFonts w:ascii="Times New Roman" w:hAnsi="Times New Roman" w:cs="Times New Roman"/>
        </w:rPr>
        <w:t xml:space="preserve">The Principal Act, as amended by this Act, may be cited as the </w:t>
      </w:r>
      <w:r w:rsidR="00BC5A0E" w:rsidRPr="00BC5A0E">
        <w:rPr>
          <w:rFonts w:ascii="Times New Roman" w:hAnsi="Times New Roman" w:cs="Times New Roman"/>
          <w:i/>
        </w:rPr>
        <w:t xml:space="preserve">States Grants </w:t>
      </w:r>
      <w:r w:rsidR="005C15AE" w:rsidRPr="00BC5A0E">
        <w:rPr>
          <w:rFonts w:ascii="Times New Roman" w:hAnsi="Times New Roman" w:cs="Times New Roman"/>
        </w:rPr>
        <w:t>(</w:t>
      </w:r>
      <w:r w:rsidR="00BC5A0E" w:rsidRPr="00BC5A0E">
        <w:rPr>
          <w:rFonts w:ascii="Times New Roman" w:hAnsi="Times New Roman" w:cs="Times New Roman"/>
          <w:i/>
        </w:rPr>
        <w:t>Universities</w:t>
      </w:r>
      <w:r w:rsidR="005C15AE" w:rsidRPr="00BC5A0E">
        <w:rPr>
          <w:rFonts w:ascii="Times New Roman" w:hAnsi="Times New Roman" w:cs="Times New Roman"/>
        </w:rPr>
        <w:t xml:space="preserve">) </w:t>
      </w:r>
      <w:r w:rsidR="00BC5A0E" w:rsidRPr="00BC5A0E">
        <w:rPr>
          <w:rFonts w:ascii="Times New Roman" w:hAnsi="Times New Roman" w:cs="Times New Roman"/>
          <w:i/>
        </w:rPr>
        <w:t xml:space="preserve">Act </w:t>
      </w:r>
      <w:r w:rsidR="005C15AE" w:rsidRPr="00BC5A0E">
        <w:rPr>
          <w:rFonts w:ascii="Times New Roman" w:hAnsi="Times New Roman" w:cs="Times New Roman"/>
        </w:rPr>
        <w:t>1972</w:t>
      </w:r>
      <w:r>
        <w:rPr>
          <w:rFonts w:ascii="Times New Roman" w:hAnsi="Times New Roman" w:cs="Times New Roman"/>
        </w:rPr>
        <w:t>–</w:t>
      </w:r>
      <w:r w:rsidR="005C15AE" w:rsidRPr="00BC5A0E">
        <w:rPr>
          <w:rFonts w:ascii="Times New Roman" w:hAnsi="Times New Roman" w:cs="Times New Roman"/>
        </w:rPr>
        <w:t>1973.</w:t>
      </w:r>
    </w:p>
    <w:p w:rsidR="005C15AE" w:rsidRPr="002A282B" w:rsidRDefault="00BC5A0E" w:rsidP="002A282B">
      <w:pPr>
        <w:spacing w:before="120" w:after="60" w:line="240" w:lineRule="auto"/>
        <w:jc w:val="both"/>
        <w:rPr>
          <w:rFonts w:ascii="Times New Roman" w:hAnsi="Times New Roman" w:cs="Times New Roman"/>
          <w:b/>
          <w:sz w:val="20"/>
        </w:rPr>
      </w:pPr>
      <w:r w:rsidRPr="002A282B">
        <w:rPr>
          <w:rFonts w:ascii="Times New Roman" w:hAnsi="Times New Roman" w:cs="Times New Roman"/>
          <w:b/>
          <w:sz w:val="20"/>
        </w:rPr>
        <w:t>Commencement.</w:t>
      </w:r>
    </w:p>
    <w:p w:rsidR="005C15AE" w:rsidRPr="00BC5A0E" w:rsidRDefault="00BC5A0E" w:rsidP="002A282B">
      <w:pPr>
        <w:spacing w:after="0" w:line="240" w:lineRule="auto"/>
        <w:ind w:firstLine="432"/>
        <w:jc w:val="both"/>
        <w:rPr>
          <w:rFonts w:ascii="Times New Roman" w:hAnsi="Times New Roman" w:cs="Times New Roman"/>
        </w:rPr>
      </w:pPr>
      <w:r w:rsidRPr="00BC5A0E">
        <w:rPr>
          <w:rFonts w:ascii="Times New Roman" w:hAnsi="Times New Roman" w:cs="Times New Roman"/>
          <w:b/>
        </w:rPr>
        <w:t>2.</w:t>
      </w:r>
      <w:r w:rsidR="002A282B">
        <w:rPr>
          <w:rFonts w:ascii="Times New Roman" w:hAnsi="Times New Roman" w:cs="Times New Roman"/>
        </w:rPr>
        <w:tab/>
      </w:r>
      <w:r w:rsidR="005C15AE" w:rsidRPr="00BC5A0E">
        <w:rPr>
          <w:rFonts w:ascii="Times New Roman" w:hAnsi="Times New Roman" w:cs="Times New Roman"/>
        </w:rPr>
        <w:t>This Act shall come into operation on the day on which it receives the Royal Assent.</w:t>
      </w:r>
    </w:p>
    <w:p w:rsidR="005C15AE" w:rsidRPr="00BC5A0E" w:rsidRDefault="00BC5A0E" w:rsidP="00BC5A0E">
      <w:pPr>
        <w:spacing w:after="0" w:line="240" w:lineRule="auto"/>
        <w:jc w:val="both"/>
        <w:rPr>
          <w:rFonts w:ascii="Times New Roman" w:hAnsi="Times New Roman" w:cs="Times New Roman"/>
        </w:rPr>
      </w:pPr>
      <w:r w:rsidRPr="00BC5A0E">
        <w:rPr>
          <w:rFonts w:ascii="Times New Roman" w:hAnsi="Times New Roman" w:cs="Times New Roman"/>
        </w:rPr>
        <w:br w:type="page"/>
      </w:r>
    </w:p>
    <w:p w:rsidR="005C15AE" w:rsidRPr="00BC5A0E" w:rsidRDefault="002A282B" w:rsidP="002A282B">
      <w:pPr>
        <w:tabs>
          <w:tab w:val="left" w:pos="810"/>
        </w:tabs>
        <w:spacing w:before="60" w:after="60" w:line="240" w:lineRule="auto"/>
        <w:ind w:firstLine="432"/>
        <w:jc w:val="both"/>
        <w:rPr>
          <w:rFonts w:ascii="Times New Roman" w:hAnsi="Times New Roman" w:cs="Times New Roman"/>
        </w:rPr>
      </w:pPr>
      <w:r w:rsidRPr="002A282B">
        <w:rPr>
          <w:rFonts w:ascii="Times New Roman" w:hAnsi="Times New Roman" w:cs="Times New Roman"/>
          <w:b/>
        </w:rPr>
        <w:lastRenderedPageBreak/>
        <w:t>3.</w:t>
      </w:r>
      <w:r>
        <w:rPr>
          <w:rFonts w:ascii="Times New Roman" w:hAnsi="Times New Roman" w:cs="Times New Roman"/>
        </w:rPr>
        <w:tab/>
      </w:r>
      <w:r w:rsidR="005C15AE" w:rsidRPr="00BC5A0E">
        <w:rPr>
          <w:rFonts w:ascii="Times New Roman" w:hAnsi="Times New Roman" w:cs="Times New Roman"/>
        </w:rPr>
        <w:t>Before section 12 of the Principal Act the following section is inserted:—</w:t>
      </w:r>
    </w:p>
    <w:p w:rsidR="005C15AE" w:rsidRPr="002A282B" w:rsidRDefault="00BC5A0E" w:rsidP="002A282B">
      <w:pPr>
        <w:spacing w:before="120" w:after="60" w:line="240" w:lineRule="auto"/>
        <w:jc w:val="both"/>
        <w:rPr>
          <w:rFonts w:ascii="Times New Roman" w:hAnsi="Times New Roman" w:cs="Times New Roman"/>
          <w:b/>
          <w:sz w:val="20"/>
        </w:rPr>
      </w:pPr>
      <w:r w:rsidRPr="002A282B">
        <w:rPr>
          <w:rFonts w:ascii="Times New Roman" w:hAnsi="Times New Roman" w:cs="Times New Roman"/>
          <w:b/>
          <w:sz w:val="20"/>
        </w:rPr>
        <w:t>Grants for assistance to train additional social workers.</w:t>
      </w:r>
    </w:p>
    <w:p w:rsidR="005C15AE" w:rsidRPr="00BC5A0E" w:rsidRDefault="00BC5A0E" w:rsidP="002A282B">
      <w:pPr>
        <w:tabs>
          <w:tab w:val="left" w:pos="1350"/>
        </w:tabs>
        <w:spacing w:after="0" w:line="240" w:lineRule="auto"/>
        <w:ind w:firstLine="432"/>
        <w:jc w:val="both"/>
        <w:rPr>
          <w:rFonts w:ascii="Times New Roman" w:hAnsi="Times New Roman" w:cs="Times New Roman"/>
        </w:rPr>
      </w:pPr>
      <w:r w:rsidRPr="00BC5A0E">
        <w:rPr>
          <w:rFonts w:ascii="Times New Roman" w:hAnsi="Times New Roman" w:cs="Times New Roman"/>
        </w:rPr>
        <w:t>“</w:t>
      </w:r>
      <w:r w:rsidR="005C15AE" w:rsidRPr="00BC5A0E">
        <w:rPr>
          <w:rFonts w:ascii="Times New Roman" w:hAnsi="Times New Roman" w:cs="Times New Roman"/>
        </w:rPr>
        <w:t>11</w:t>
      </w:r>
      <w:r w:rsidRPr="00BC5A0E">
        <w:rPr>
          <w:rFonts w:ascii="Times New Roman" w:hAnsi="Times New Roman" w:cs="Times New Roman"/>
          <w:smallCaps/>
        </w:rPr>
        <w:t xml:space="preserve">b. </w:t>
      </w:r>
      <w:r w:rsidR="002A282B">
        <w:rPr>
          <w:rFonts w:ascii="Times New Roman" w:hAnsi="Times New Roman" w:cs="Times New Roman"/>
        </w:rPr>
        <w:t>(1)</w:t>
      </w:r>
      <w:r w:rsidR="002A282B">
        <w:rPr>
          <w:rFonts w:ascii="Times New Roman" w:hAnsi="Times New Roman" w:cs="Times New Roman"/>
        </w:rPr>
        <w:tab/>
      </w:r>
      <w:r w:rsidR="005C15AE" w:rsidRPr="00BC5A0E">
        <w:rPr>
          <w:rFonts w:ascii="Times New Roman" w:hAnsi="Times New Roman" w:cs="Times New Roman"/>
        </w:rPr>
        <w:t>In relation to each University specified in the Ninth Schedule there is payable, in each year specified in that Schedule, to the State in which the University is situated, for the purpose of financial assistance, the amount specified in that Schedule in relation to that University in respect of that year.</w:t>
      </w:r>
    </w:p>
    <w:p w:rsidR="005C15AE" w:rsidRPr="00BC5A0E" w:rsidRDefault="00BC5A0E" w:rsidP="002A282B">
      <w:pPr>
        <w:tabs>
          <w:tab w:val="left" w:pos="900"/>
        </w:tabs>
        <w:spacing w:after="0" w:line="240" w:lineRule="auto"/>
        <w:ind w:firstLine="432"/>
        <w:jc w:val="both"/>
        <w:rPr>
          <w:rFonts w:ascii="Times New Roman" w:hAnsi="Times New Roman" w:cs="Times New Roman"/>
        </w:rPr>
      </w:pPr>
      <w:r w:rsidRPr="00BC5A0E">
        <w:rPr>
          <w:rFonts w:ascii="Times New Roman" w:hAnsi="Times New Roman" w:cs="Times New Roman"/>
        </w:rPr>
        <w:t>“</w:t>
      </w:r>
      <w:r w:rsidR="002A282B">
        <w:rPr>
          <w:rFonts w:ascii="Times New Roman" w:hAnsi="Times New Roman" w:cs="Times New Roman"/>
        </w:rPr>
        <w:t>(2)</w:t>
      </w:r>
      <w:r w:rsidR="002A282B">
        <w:rPr>
          <w:rFonts w:ascii="Times New Roman" w:hAnsi="Times New Roman" w:cs="Times New Roman"/>
        </w:rPr>
        <w:tab/>
      </w:r>
      <w:r w:rsidR="005C15AE" w:rsidRPr="00BC5A0E">
        <w:rPr>
          <w:rFonts w:ascii="Times New Roman" w:hAnsi="Times New Roman" w:cs="Times New Roman"/>
        </w:rPr>
        <w:t>The financial assistance to a State by way of payment of an amount under this section in relation to a University is granted on the conditions that—</w:t>
      </w:r>
    </w:p>
    <w:p w:rsidR="005C15AE" w:rsidRPr="00BC5A0E" w:rsidRDefault="005C15AE" w:rsidP="002A282B">
      <w:pPr>
        <w:spacing w:after="0" w:line="240" w:lineRule="auto"/>
        <w:ind w:left="1152" w:hanging="576"/>
        <w:jc w:val="both"/>
        <w:rPr>
          <w:rFonts w:ascii="Times New Roman" w:hAnsi="Times New Roman" w:cs="Times New Roman"/>
        </w:rPr>
      </w:pPr>
      <w:r w:rsidRPr="00BC5A0E">
        <w:rPr>
          <w:rFonts w:ascii="Times New Roman" w:hAnsi="Times New Roman" w:cs="Times New Roman"/>
        </w:rPr>
        <w:t>(a) the State will, without undue delay, pay that amount to the University; and</w:t>
      </w:r>
    </w:p>
    <w:p w:rsidR="005C15AE" w:rsidRPr="00BC5A0E" w:rsidRDefault="005C15AE" w:rsidP="002A282B">
      <w:pPr>
        <w:spacing w:after="0" w:line="240" w:lineRule="auto"/>
        <w:ind w:left="1152" w:hanging="576"/>
        <w:jc w:val="both"/>
        <w:rPr>
          <w:rFonts w:ascii="Times New Roman" w:hAnsi="Times New Roman" w:cs="Times New Roman"/>
        </w:rPr>
      </w:pPr>
      <w:r w:rsidRPr="00BC5A0E">
        <w:rPr>
          <w:rFonts w:ascii="Times New Roman" w:hAnsi="Times New Roman" w:cs="Times New Roman"/>
        </w:rPr>
        <w:t>(b) the State will ensure that the amount so paid to the University is applied by the University towards increasing the number of students being trained as social workers at the University.</w:t>
      </w:r>
      <w:r w:rsidR="00BC5A0E" w:rsidRPr="00BC5A0E">
        <w:rPr>
          <w:rFonts w:ascii="Times New Roman" w:hAnsi="Times New Roman" w:cs="Times New Roman"/>
        </w:rPr>
        <w:t>”</w:t>
      </w:r>
      <w:r w:rsidRPr="00BC5A0E">
        <w:rPr>
          <w:rFonts w:ascii="Times New Roman" w:hAnsi="Times New Roman" w:cs="Times New Roman"/>
        </w:rPr>
        <w:t>.</w:t>
      </w:r>
    </w:p>
    <w:p w:rsidR="005C15AE" w:rsidRPr="002A282B" w:rsidRDefault="00BC5A0E" w:rsidP="002A282B">
      <w:pPr>
        <w:spacing w:before="120" w:after="60" w:line="240" w:lineRule="auto"/>
        <w:jc w:val="both"/>
        <w:rPr>
          <w:rFonts w:ascii="Times New Roman" w:hAnsi="Times New Roman" w:cs="Times New Roman"/>
          <w:b/>
          <w:sz w:val="20"/>
        </w:rPr>
      </w:pPr>
      <w:r w:rsidRPr="002A282B">
        <w:rPr>
          <w:rFonts w:ascii="Times New Roman" w:hAnsi="Times New Roman" w:cs="Times New Roman"/>
          <w:b/>
          <w:sz w:val="20"/>
        </w:rPr>
        <w:t>Second Schedule.</w:t>
      </w:r>
    </w:p>
    <w:p w:rsidR="005C15AE" w:rsidRPr="00BC5A0E" w:rsidRDefault="00BC5A0E" w:rsidP="00FA693E">
      <w:pPr>
        <w:tabs>
          <w:tab w:val="left" w:pos="994"/>
        </w:tabs>
        <w:spacing w:after="120" w:line="240" w:lineRule="auto"/>
        <w:ind w:firstLine="432"/>
        <w:jc w:val="both"/>
        <w:rPr>
          <w:rFonts w:ascii="Times New Roman" w:hAnsi="Times New Roman" w:cs="Times New Roman"/>
        </w:rPr>
      </w:pPr>
      <w:r w:rsidRPr="00BC5A0E">
        <w:rPr>
          <w:rFonts w:ascii="Times New Roman" w:hAnsi="Times New Roman" w:cs="Times New Roman"/>
          <w:b/>
        </w:rPr>
        <w:t>4.</w:t>
      </w:r>
      <w:r w:rsidR="002A282B">
        <w:rPr>
          <w:rFonts w:ascii="Times New Roman" w:hAnsi="Times New Roman" w:cs="Times New Roman"/>
        </w:rPr>
        <w:t xml:space="preserve"> (1)</w:t>
      </w:r>
      <w:r w:rsidR="002A282B">
        <w:rPr>
          <w:rFonts w:ascii="Times New Roman" w:hAnsi="Times New Roman" w:cs="Times New Roman"/>
        </w:rPr>
        <w:tab/>
      </w:r>
      <w:r w:rsidR="005C15AE" w:rsidRPr="00BC5A0E">
        <w:rPr>
          <w:rFonts w:ascii="Times New Roman" w:hAnsi="Times New Roman" w:cs="Times New Roman"/>
        </w:rPr>
        <w:t>The Second Schedule to the Principal Act is amended by omitting the words and figures relating to the University of Adelaide and substituting the following words and figures:—</w:t>
      </w:r>
    </w:p>
    <w:tbl>
      <w:tblPr>
        <w:tblW w:w="5000" w:type="pct"/>
        <w:tblBorders>
          <w:bottom w:val="single" w:sz="4" w:space="0" w:color="auto"/>
        </w:tblBorders>
        <w:tblCellMar>
          <w:left w:w="40" w:type="dxa"/>
          <w:right w:w="40" w:type="dxa"/>
        </w:tblCellMar>
        <w:tblLook w:val="0000" w:firstRow="0" w:lastRow="0" w:firstColumn="0" w:lastColumn="0" w:noHBand="0" w:noVBand="0"/>
      </w:tblPr>
      <w:tblGrid>
        <w:gridCol w:w="2808"/>
        <w:gridCol w:w="5035"/>
        <w:gridCol w:w="1266"/>
      </w:tblGrid>
      <w:tr w:rsidR="005C15AE" w:rsidRPr="00BC5A0E" w:rsidTr="00F572C9">
        <w:trPr>
          <w:trHeight w:val="20"/>
        </w:trPr>
        <w:tc>
          <w:tcPr>
            <w:tcW w:w="1541" w:type="pct"/>
            <w:tcBorders>
              <w:right w:val="single" w:sz="4" w:space="0" w:color="auto"/>
            </w:tcBorders>
          </w:tcPr>
          <w:p w:rsidR="005C15AE" w:rsidRPr="00BC5A0E" w:rsidRDefault="00BC5A0E" w:rsidP="00B23B93">
            <w:pPr>
              <w:tabs>
                <w:tab w:val="left" w:leader="dot" w:pos="2700"/>
              </w:tabs>
              <w:spacing w:after="0" w:line="240" w:lineRule="auto"/>
              <w:jc w:val="both"/>
              <w:rPr>
                <w:rFonts w:ascii="Times New Roman" w:hAnsi="Times New Roman" w:cs="Times New Roman"/>
              </w:rPr>
            </w:pPr>
            <w:r w:rsidRPr="00BC5A0E">
              <w:rPr>
                <w:rFonts w:ascii="Times New Roman" w:hAnsi="Times New Roman" w:cs="Times New Roman"/>
              </w:rPr>
              <w:t>“</w:t>
            </w:r>
            <w:r w:rsidR="005C15AE" w:rsidRPr="00BC5A0E">
              <w:rPr>
                <w:rFonts w:ascii="Times New Roman" w:hAnsi="Times New Roman" w:cs="Times New Roman"/>
              </w:rPr>
              <w:t>University of Adelaide</w:t>
            </w:r>
            <w:r w:rsidR="00B23B93">
              <w:rPr>
                <w:rFonts w:ascii="Times New Roman" w:hAnsi="Times New Roman" w:cs="Times New Roman"/>
              </w:rPr>
              <w:tab/>
            </w:r>
          </w:p>
        </w:tc>
        <w:tc>
          <w:tcPr>
            <w:tcW w:w="2764" w:type="pct"/>
            <w:tcBorders>
              <w:left w:val="single" w:sz="4" w:space="0" w:color="auto"/>
              <w:right w:val="single" w:sz="4" w:space="0" w:color="auto"/>
            </w:tcBorders>
          </w:tcPr>
          <w:p w:rsidR="005C15AE" w:rsidRPr="00BC5A0E" w:rsidRDefault="005C15AE" w:rsidP="00150C11">
            <w:pPr>
              <w:tabs>
                <w:tab w:val="left" w:leader="dot" w:pos="4842"/>
              </w:tabs>
              <w:spacing w:after="0" w:line="240" w:lineRule="auto"/>
              <w:ind w:left="144"/>
              <w:jc w:val="both"/>
              <w:rPr>
                <w:rFonts w:ascii="Times New Roman" w:hAnsi="Times New Roman" w:cs="Times New Roman"/>
              </w:rPr>
            </w:pPr>
            <w:r w:rsidRPr="00BC5A0E">
              <w:rPr>
                <w:rFonts w:ascii="Times New Roman" w:hAnsi="Times New Roman" w:cs="Times New Roman"/>
              </w:rPr>
              <w:t>Library Complex—completion</w:t>
            </w:r>
            <w:r w:rsidR="00150C11">
              <w:rPr>
                <w:rFonts w:ascii="Times New Roman" w:hAnsi="Times New Roman" w:cs="Times New Roman"/>
              </w:rPr>
              <w:tab/>
            </w:r>
          </w:p>
        </w:tc>
        <w:tc>
          <w:tcPr>
            <w:tcW w:w="695" w:type="pct"/>
            <w:tcBorders>
              <w:left w:val="single" w:sz="4" w:space="0" w:color="auto"/>
            </w:tcBorders>
          </w:tcPr>
          <w:p w:rsidR="005C15AE" w:rsidRPr="00BC5A0E" w:rsidRDefault="005C15AE" w:rsidP="00F572C9">
            <w:pPr>
              <w:spacing w:after="0" w:line="240" w:lineRule="auto"/>
              <w:ind w:right="288"/>
              <w:jc w:val="right"/>
              <w:rPr>
                <w:rFonts w:ascii="Times New Roman" w:hAnsi="Times New Roman" w:cs="Times New Roman"/>
              </w:rPr>
            </w:pPr>
            <w:r w:rsidRPr="00BC5A0E">
              <w:rPr>
                <w:rFonts w:ascii="Times New Roman" w:hAnsi="Times New Roman" w:cs="Times New Roman"/>
              </w:rPr>
              <w:t>1,700,000</w:t>
            </w:r>
          </w:p>
        </w:tc>
      </w:tr>
      <w:tr w:rsidR="005C15AE" w:rsidRPr="00BC5A0E" w:rsidTr="00F572C9">
        <w:trPr>
          <w:trHeight w:val="20"/>
        </w:trPr>
        <w:tc>
          <w:tcPr>
            <w:tcW w:w="1541" w:type="pct"/>
            <w:tcBorders>
              <w:right w:val="single" w:sz="4" w:space="0" w:color="auto"/>
            </w:tcBorders>
          </w:tcPr>
          <w:p w:rsidR="005C15AE" w:rsidRPr="00BC5A0E" w:rsidRDefault="005C15AE" w:rsidP="00BC5A0E">
            <w:pPr>
              <w:spacing w:after="0" w:line="240" w:lineRule="auto"/>
              <w:jc w:val="both"/>
              <w:rPr>
                <w:rFonts w:ascii="Times New Roman" w:hAnsi="Times New Roman" w:cs="Times New Roman"/>
              </w:rPr>
            </w:pPr>
          </w:p>
        </w:tc>
        <w:tc>
          <w:tcPr>
            <w:tcW w:w="2764" w:type="pct"/>
            <w:tcBorders>
              <w:left w:val="single" w:sz="4" w:space="0" w:color="auto"/>
              <w:right w:val="single" w:sz="4" w:space="0" w:color="auto"/>
            </w:tcBorders>
          </w:tcPr>
          <w:p w:rsidR="005C15AE" w:rsidRPr="00BC5A0E" w:rsidRDefault="005C15AE" w:rsidP="00150C11">
            <w:pPr>
              <w:tabs>
                <w:tab w:val="left" w:leader="dot" w:pos="4842"/>
              </w:tabs>
              <w:spacing w:after="0" w:line="240" w:lineRule="auto"/>
              <w:ind w:left="144"/>
              <w:jc w:val="both"/>
              <w:rPr>
                <w:rFonts w:ascii="Times New Roman" w:hAnsi="Times New Roman" w:cs="Times New Roman"/>
              </w:rPr>
            </w:pPr>
            <w:r w:rsidRPr="00BC5A0E">
              <w:rPr>
                <w:rFonts w:ascii="Times New Roman" w:hAnsi="Times New Roman" w:cs="Times New Roman"/>
              </w:rPr>
              <w:t>Mawson Laboratories—extension</w:t>
            </w:r>
            <w:r w:rsidR="00150C11">
              <w:rPr>
                <w:rFonts w:ascii="Times New Roman" w:hAnsi="Times New Roman" w:cs="Times New Roman"/>
              </w:rPr>
              <w:tab/>
            </w:r>
          </w:p>
        </w:tc>
        <w:tc>
          <w:tcPr>
            <w:tcW w:w="695" w:type="pct"/>
            <w:tcBorders>
              <w:left w:val="single" w:sz="4" w:space="0" w:color="auto"/>
            </w:tcBorders>
          </w:tcPr>
          <w:p w:rsidR="005C15AE" w:rsidRPr="00BC5A0E" w:rsidRDefault="005C15AE" w:rsidP="00F572C9">
            <w:pPr>
              <w:spacing w:after="0" w:line="240" w:lineRule="auto"/>
              <w:ind w:right="288"/>
              <w:jc w:val="right"/>
              <w:rPr>
                <w:rFonts w:ascii="Times New Roman" w:hAnsi="Times New Roman" w:cs="Times New Roman"/>
              </w:rPr>
            </w:pPr>
            <w:r w:rsidRPr="00BC5A0E">
              <w:rPr>
                <w:rFonts w:ascii="Times New Roman" w:hAnsi="Times New Roman" w:cs="Times New Roman"/>
              </w:rPr>
              <w:t>175,000</w:t>
            </w:r>
          </w:p>
        </w:tc>
      </w:tr>
      <w:tr w:rsidR="005C15AE" w:rsidRPr="00BC5A0E" w:rsidTr="00F572C9">
        <w:trPr>
          <w:trHeight w:val="20"/>
        </w:trPr>
        <w:tc>
          <w:tcPr>
            <w:tcW w:w="1541" w:type="pct"/>
            <w:tcBorders>
              <w:right w:val="single" w:sz="4" w:space="0" w:color="auto"/>
            </w:tcBorders>
          </w:tcPr>
          <w:p w:rsidR="005C15AE" w:rsidRPr="00BC5A0E" w:rsidRDefault="005C15AE" w:rsidP="00BC5A0E">
            <w:pPr>
              <w:spacing w:after="0" w:line="240" w:lineRule="auto"/>
              <w:jc w:val="both"/>
              <w:rPr>
                <w:rFonts w:ascii="Times New Roman" w:hAnsi="Times New Roman" w:cs="Times New Roman"/>
              </w:rPr>
            </w:pPr>
          </w:p>
        </w:tc>
        <w:tc>
          <w:tcPr>
            <w:tcW w:w="2764" w:type="pct"/>
            <w:tcBorders>
              <w:left w:val="single" w:sz="4" w:space="0" w:color="auto"/>
              <w:right w:val="single" w:sz="4" w:space="0" w:color="auto"/>
            </w:tcBorders>
          </w:tcPr>
          <w:p w:rsidR="005C15AE" w:rsidRPr="00BC5A0E" w:rsidRDefault="005C15AE" w:rsidP="00150C11">
            <w:pPr>
              <w:tabs>
                <w:tab w:val="left" w:leader="dot" w:pos="4842"/>
              </w:tabs>
              <w:spacing w:after="0" w:line="240" w:lineRule="auto"/>
              <w:ind w:left="144"/>
              <w:jc w:val="both"/>
              <w:rPr>
                <w:rFonts w:ascii="Times New Roman" w:hAnsi="Times New Roman" w:cs="Times New Roman"/>
              </w:rPr>
            </w:pPr>
            <w:r w:rsidRPr="00BC5A0E">
              <w:rPr>
                <w:rFonts w:ascii="Times New Roman" w:hAnsi="Times New Roman" w:cs="Times New Roman"/>
              </w:rPr>
              <w:t>Dental School—alterations and extensions</w:t>
            </w:r>
            <w:r w:rsidR="00150C11">
              <w:rPr>
                <w:rFonts w:ascii="Times New Roman" w:hAnsi="Times New Roman" w:cs="Times New Roman"/>
              </w:rPr>
              <w:tab/>
            </w:r>
          </w:p>
        </w:tc>
        <w:tc>
          <w:tcPr>
            <w:tcW w:w="695" w:type="pct"/>
            <w:tcBorders>
              <w:left w:val="single" w:sz="4" w:space="0" w:color="auto"/>
            </w:tcBorders>
          </w:tcPr>
          <w:p w:rsidR="005C15AE" w:rsidRPr="00BC5A0E" w:rsidRDefault="002D386F" w:rsidP="00F572C9">
            <w:pPr>
              <w:spacing w:after="0" w:line="240" w:lineRule="auto"/>
              <w:ind w:right="288"/>
              <w:jc w:val="right"/>
              <w:rPr>
                <w:rFonts w:ascii="Times New Roman" w:hAnsi="Times New Roman" w:cs="Times New Roman"/>
              </w:rPr>
            </w:pPr>
            <w:r>
              <w:rPr>
                <w:rFonts w:ascii="Times New Roman" w:hAnsi="Times New Roman" w:cs="Times New Roman"/>
              </w:rPr>
              <w:t>67,</w:t>
            </w:r>
            <w:r w:rsidR="005C15AE" w:rsidRPr="00BC5A0E">
              <w:rPr>
                <w:rFonts w:ascii="Times New Roman" w:hAnsi="Times New Roman" w:cs="Times New Roman"/>
              </w:rPr>
              <w:t>500</w:t>
            </w:r>
          </w:p>
        </w:tc>
      </w:tr>
      <w:tr w:rsidR="005C15AE" w:rsidRPr="00BC5A0E" w:rsidTr="00150C11">
        <w:trPr>
          <w:trHeight w:val="20"/>
        </w:trPr>
        <w:tc>
          <w:tcPr>
            <w:tcW w:w="1541" w:type="pct"/>
            <w:tcBorders>
              <w:right w:val="single" w:sz="4" w:space="0" w:color="auto"/>
            </w:tcBorders>
          </w:tcPr>
          <w:p w:rsidR="005C15AE" w:rsidRPr="00BC5A0E" w:rsidRDefault="005C15AE" w:rsidP="00BC5A0E">
            <w:pPr>
              <w:spacing w:after="0" w:line="240" w:lineRule="auto"/>
              <w:jc w:val="both"/>
              <w:rPr>
                <w:rFonts w:ascii="Times New Roman" w:hAnsi="Times New Roman" w:cs="Times New Roman"/>
              </w:rPr>
            </w:pPr>
          </w:p>
        </w:tc>
        <w:tc>
          <w:tcPr>
            <w:tcW w:w="2764" w:type="pct"/>
            <w:tcBorders>
              <w:left w:val="single" w:sz="4" w:space="0" w:color="auto"/>
              <w:right w:val="single" w:sz="4" w:space="0" w:color="auto"/>
            </w:tcBorders>
          </w:tcPr>
          <w:p w:rsidR="005C15AE" w:rsidRPr="00BC5A0E" w:rsidRDefault="005C15AE" w:rsidP="00150C11">
            <w:pPr>
              <w:tabs>
                <w:tab w:val="left" w:leader="dot" w:pos="4842"/>
              </w:tabs>
              <w:spacing w:after="0" w:line="240" w:lineRule="auto"/>
              <w:ind w:left="432" w:hanging="288"/>
              <w:jc w:val="both"/>
              <w:rPr>
                <w:rFonts w:ascii="Times New Roman" w:hAnsi="Times New Roman" w:cs="Times New Roman"/>
              </w:rPr>
            </w:pPr>
            <w:r w:rsidRPr="00BC5A0E">
              <w:rPr>
                <w:rFonts w:ascii="Times New Roman" w:hAnsi="Times New Roman" w:cs="Times New Roman"/>
              </w:rPr>
              <w:t>Waite Agricultural Research Institute—alterations to Main Building and new Small Animals House</w:t>
            </w:r>
            <w:r w:rsidR="00150C11">
              <w:rPr>
                <w:rFonts w:ascii="Times New Roman" w:hAnsi="Times New Roman" w:cs="Times New Roman"/>
              </w:rPr>
              <w:tab/>
            </w:r>
          </w:p>
        </w:tc>
        <w:tc>
          <w:tcPr>
            <w:tcW w:w="695" w:type="pct"/>
            <w:tcBorders>
              <w:left w:val="single" w:sz="4" w:space="0" w:color="auto"/>
            </w:tcBorders>
            <w:vAlign w:val="bottom"/>
          </w:tcPr>
          <w:p w:rsidR="005C15AE" w:rsidRPr="00BC5A0E" w:rsidRDefault="005C15AE" w:rsidP="00150C11">
            <w:pPr>
              <w:spacing w:after="0" w:line="240" w:lineRule="auto"/>
              <w:ind w:right="288"/>
              <w:jc w:val="right"/>
              <w:rPr>
                <w:rFonts w:ascii="Times New Roman" w:hAnsi="Times New Roman" w:cs="Times New Roman"/>
              </w:rPr>
            </w:pPr>
            <w:r w:rsidRPr="00BC5A0E">
              <w:rPr>
                <w:rFonts w:ascii="Times New Roman" w:hAnsi="Times New Roman" w:cs="Times New Roman"/>
              </w:rPr>
              <w:t>65,000</w:t>
            </w:r>
          </w:p>
        </w:tc>
      </w:tr>
      <w:tr w:rsidR="005C15AE" w:rsidRPr="00BC5A0E" w:rsidTr="00F572C9">
        <w:trPr>
          <w:trHeight w:val="20"/>
        </w:trPr>
        <w:tc>
          <w:tcPr>
            <w:tcW w:w="1541" w:type="pct"/>
            <w:tcBorders>
              <w:right w:val="single" w:sz="4" w:space="0" w:color="auto"/>
            </w:tcBorders>
          </w:tcPr>
          <w:p w:rsidR="005C15AE" w:rsidRPr="00BC5A0E" w:rsidRDefault="005C15AE" w:rsidP="00BC5A0E">
            <w:pPr>
              <w:spacing w:after="0" w:line="240" w:lineRule="auto"/>
              <w:jc w:val="both"/>
              <w:rPr>
                <w:rFonts w:ascii="Times New Roman" w:hAnsi="Times New Roman" w:cs="Times New Roman"/>
              </w:rPr>
            </w:pPr>
          </w:p>
        </w:tc>
        <w:tc>
          <w:tcPr>
            <w:tcW w:w="2764" w:type="pct"/>
            <w:tcBorders>
              <w:left w:val="single" w:sz="4" w:space="0" w:color="auto"/>
              <w:right w:val="single" w:sz="4" w:space="0" w:color="auto"/>
            </w:tcBorders>
          </w:tcPr>
          <w:p w:rsidR="005C15AE" w:rsidRPr="00BC5A0E" w:rsidRDefault="005C15AE" w:rsidP="00150C11">
            <w:pPr>
              <w:tabs>
                <w:tab w:val="left" w:leader="dot" w:pos="4842"/>
              </w:tabs>
              <w:spacing w:after="0" w:line="240" w:lineRule="auto"/>
              <w:ind w:left="144"/>
              <w:jc w:val="both"/>
              <w:rPr>
                <w:rFonts w:ascii="Times New Roman" w:hAnsi="Times New Roman" w:cs="Times New Roman"/>
              </w:rPr>
            </w:pPr>
            <w:r w:rsidRPr="00BC5A0E">
              <w:rPr>
                <w:rFonts w:ascii="Times New Roman" w:hAnsi="Times New Roman" w:cs="Times New Roman"/>
              </w:rPr>
              <w:t>Medical School alterations and renovations</w:t>
            </w:r>
            <w:r w:rsidR="00150C11">
              <w:rPr>
                <w:rFonts w:ascii="Times New Roman" w:hAnsi="Times New Roman" w:cs="Times New Roman"/>
              </w:rPr>
              <w:tab/>
            </w:r>
          </w:p>
        </w:tc>
        <w:tc>
          <w:tcPr>
            <w:tcW w:w="695" w:type="pct"/>
            <w:tcBorders>
              <w:left w:val="single" w:sz="4" w:space="0" w:color="auto"/>
            </w:tcBorders>
          </w:tcPr>
          <w:p w:rsidR="005C15AE" w:rsidRPr="00BC5A0E" w:rsidRDefault="005C15AE" w:rsidP="00F572C9">
            <w:pPr>
              <w:spacing w:after="0" w:line="240" w:lineRule="auto"/>
              <w:ind w:right="288"/>
              <w:jc w:val="right"/>
              <w:rPr>
                <w:rFonts w:ascii="Times New Roman" w:hAnsi="Times New Roman" w:cs="Times New Roman"/>
              </w:rPr>
            </w:pPr>
            <w:r w:rsidRPr="00BC5A0E">
              <w:rPr>
                <w:rFonts w:ascii="Times New Roman" w:hAnsi="Times New Roman" w:cs="Times New Roman"/>
              </w:rPr>
              <w:t>52,500</w:t>
            </w:r>
          </w:p>
        </w:tc>
      </w:tr>
      <w:tr w:rsidR="005C15AE" w:rsidRPr="00BC5A0E" w:rsidTr="00F572C9">
        <w:trPr>
          <w:trHeight w:val="20"/>
        </w:trPr>
        <w:tc>
          <w:tcPr>
            <w:tcW w:w="1541" w:type="pct"/>
            <w:tcBorders>
              <w:right w:val="single" w:sz="4" w:space="0" w:color="auto"/>
            </w:tcBorders>
          </w:tcPr>
          <w:p w:rsidR="005C15AE" w:rsidRPr="00BC5A0E" w:rsidRDefault="005C15AE" w:rsidP="00BC5A0E">
            <w:pPr>
              <w:spacing w:after="0" w:line="240" w:lineRule="auto"/>
              <w:jc w:val="both"/>
              <w:rPr>
                <w:rFonts w:ascii="Times New Roman" w:hAnsi="Times New Roman" w:cs="Times New Roman"/>
              </w:rPr>
            </w:pPr>
          </w:p>
        </w:tc>
        <w:tc>
          <w:tcPr>
            <w:tcW w:w="2764" w:type="pct"/>
            <w:tcBorders>
              <w:left w:val="single" w:sz="4" w:space="0" w:color="auto"/>
              <w:right w:val="single" w:sz="4" w:space="0" w:color="auto"/>
            </w:tcBorders>
          </w:tcPr>
          <w:p w:rsidR="005C15AE" w:rsidRPr="00BC5A0E" w:rsidRDefault="005C15AE" w:rsidP="00150C11">
            <w:pPr>
              <w:tabs>
                <w:tab w:val="left" w:leader="dot" w:pos="4842"/>
              </w:tabs>
              <w:spacing w:after="0" w:line="240" w:lineRule="auto"/>
              <w:ind w:left="144"/>
              <w:jc w:val="both"/>
              <w:rPr>
                <w:rFonts w:ascii="Times New Roman" w:hAnsi="Times New Roman" w:cs="Times New Roman"/>
              </w:rPr>
            </w:pPr>
            <w:r w:rsidRPr="00BC5A0E">
              <w:rPr>
                <w:rFonts w:ascii="Times New Roman" w:hAnsi="Times New Roman" w:cs="Times New Roman"/>
              </w:rPr>
              <w:t>R. A. Fisher Laboratory—alterations</w:t>
            </w:r>
            <w:r w:rsidR="00150C11">
              <w:rPr>
                <w:rFonts w:ascii="Times New Roman" w:hAnsi="Times New Roman" w:cs="Times New Roman"/>
              </w:rPr>
              <w:tab/>
            </w:r>
          </w:p>
        </w:tc>
        <w:tc>
          <w:tcPr>
            <w:tcW w:w="695" w:type="pct"/>
            <w:tcBorders>
              <w:left w:val="single" w:sz="4" w:space="0" w:color="auto"/>
            </w:tcBorders>
          </w:tcPr>
          <w:p w:rsidR="005C15AE" w:rsidRPr="00BC5A0E" w:rsidRDefault="005C15AE" w:rsidP="00F572C9">
            <w:pPr>
              <w:spacing w:after="0" w:line="240" w:lineRule="auto"/>
              <w:ind w:right="288"/>
              <w:jc w:val="right"/>
              <w:rPr>
                <w:rFonts w:ascii="Times New Roman" w:hAnsi="Times New Roman" w:cs="Times New Roman"/>
              </w:rPr>
            </w:pPr>
            <w:r w:rsidRPr="00BC5A0E">
              <w:rPr>
                <w:rFonts w:ascii="Times New Roman" w:hAnsi="Times New Roman" w:cs="Times New Roman"/>
              </w:rPr>
              <w:t>40,000</w:t>
            </w:r>
          </w:p>
        </w:tc>
      </w:tr>
      <w:tr w:rsidR="005C15AE" w:rsidRPr="00BC5A0E" w:rsidTr="00F572C9">
        <w:trPr>
          <w:trHeight w:val="20"/>
        </w:trPr>
        <w:tc>
          <w:tcPr>
            <w:tcW w:w="1541" w:type="pct"/>
            <w:tcBorders>
              <w:right w:val="single" w:sz="4" w:space="0" w:color="auto"/>
            </w:tcBorders>
          </w:tcPr>
          <w:p w:rsidR="005C15AE" w:rsidRPr="00BC5A0E" w:rsidRDefault="005C15AE" w:rsidP="00BC5A0E">
            <w:pPr>
              <w:spacing w:after="0" w:line="240" w:lineRule="auto"/>
              <w:jc w:val="both"/>
              <w:rPr>
                <w:rFonts w:ascii="Times New Roman" w:hAnsi="Times New Roman" w:cs="Times New Roman"/>
              </w:rPr>
            </w:pPr>
          </w:p>
        </w:tc>
        <w:tc>
          <w:tcPr>
            <w:tcW w:w="2764" w:type="pct"/>
            <w:tcBorders>
              <w:left w:val="single" w:sz="4" w:space="0" w:color="auto"/>
              <w:right w:val="single" w:sz="4" w:space="0" w:color="auto"/>
            </w:tcBorders>
          </w:tcPr>
          <w:p w:rsidR="005C15AE" w:rsidRPr="00BC5A0E" w:rsidRDefault="005C15AE" w:rsidP="00150C11">
            <w:pPr>
              <w:tabs>
                <w:tab w:val="left" w:leader="dot" w:pos="4842"/>
              </w:tabs>
              <w:spacing w:after="0" w:line="240" w:lineRule="auto"/>
              <w:ind w:left="144"/>
              <w:jc w:val="both"/>
              <w:rPr>
                <w:rFonts w:ascii="Times New Roman" w:hAnsi="Times New Roman" w:cs="Times New Roman"/>
              </w:rPr>
            </w:pPr>
            <w:r w:rsidRPr="00BC5A0E">
              <w:rPr>
                <w:rFonts w:ascii="Times New Roman" w:hAnsi="Times New Roman" w:cs="Times New Roman"/>
              </w:rPr>
              <w:t>Napier Building—alterations</w:t>
            </w:r>
            <w:r w:rsidR="00150C11">
              <w:rPr>
                <w:rFonts w:ascii="Times New Roman" w:hAnsi="Times New Roman" w:cs="Times New Roman"/>
              </w:rPr>
              <w:tab/>
            </w:r>
          </w:p>
        </w:tc>
        <w:tc>
          <w:tcPr>
            <w:tcW w:w="695" w:type="pct"/>
            <w:tcBorders>
              <w:left w:val="single" w:sz="4" w:space="0" w:color="auto"/>
            </w:tcBorders>
          </w:tcPr>
          <w:p w:rsidR="005C15AE" w:rsidRPr="00BC5A0E" w:rsidRDefault="005C15AE" w:rsidP="00F572C9">
            <w:pPr>
              <w:spacing w:after="0" w:line="240" w:lineRule="auto"/>
              <w:ind w:right="288"/>
              <w:jc w:val="right"/>
              <w:rPr>
                <w:rFonts w:ascii="Times New Roman" w:hAnsi="Times New Roman" w:cs="Times New Roman"/>
              </w:rPr>
            </w:pPr>
            <w:r w:rsidRPr="00BC5A0E">
              <w:rPr>
                <w:rFonts w:ascii="Times New Roman" w:hAnsi="Times New Roman" w:cs="Times New Roman"/>
              </w:rPr>
              <w:t>35,000</w:t>
            </w:r>
          </w:p>
        </w:tc>
      </w:tr>
      <w:tr w:rsidR="005C15AE" w:rsidRPr="00BC5A0E" w:rsidTr="00F572C9">
        <w:trPr>
          <w:trHeight w:val="20"/>
        </w:trPr>
        <w:tc>
          <w:tcPr>
            <w:tcW w:w="1541" w:type="pct"/>
            <w:tcBorders>
              <w:right w:val="single" w:sz="4" w:space="0" w:color="auto"/>
            </w:tcBorders>
          </w:tcPr>
          <w:p w:rsidR="005C15AE" w:rsidRPr="00BC5A0E" w:rsidRDefault="005C15AE" w:rsidP="00BC5A0E">
            <w:pPr>
              <w:spacing w:after="0" w:line="240" w:lineRule="auto"/>
              <w:jc w:val="both"/>
              <w:rPr>
                <w:rFonts w:ascii="Times New Roman" w:hAnsi="Times New Roman" w:cs="Times New Roman"/>
              </w:rPr>
            </w:pPr>
          </w:p>
        </w:tc>
        <w:tc>
          <w:tcPr>
            <w:tcW w:w="2764" w:type="pct"/>
            <w:tcBorders>
              <w:left w:val="single" w:sz="4" w:space="0" w:color="auto"/>
              <w:right w:val="single" w:sz="4" w:space="0" w:color="auto"/>
            </w:tcBorders>
          </w:tcPr>
          <w:p w:rsidR="005C15AE" w:rsidRPr="00BC5A0E" w:rsidRDefault="005C15AE" w:rsidP="00150C11">
            <w:pPr>
              <w:tabs>
                <w:tab w:val="left" w:leader="dot" w:pos="4842"/>
              </w:tabs>
              <w:spacing w:after="0" w:line="240" w:lineRule="auto"/>
              <w:ind w:left="144"/>
              <w:jc w:val="both"/>
              <w:rPr>
                <w:rFonts w:ascii="Times New Roman" w:hAnsi="Times New Roman" w:cs="Times New Roman"/>
              </w:rPr>
            </w:pPr>
            <w:r w:rsidRPr="00BC5A0E">
              <w:rPr>
                <w:rFonts w:ascii="Times New Roman" w:hAnsi="Times New Roman" w:cs="Times New Roman"/>
              </w:rPr>
              <w:t>Union Building—extensions</w:t>
            </w:r>
            <w:r w:rsidR="00150C11">
              <w:rPr>
                <w:rFonts w:ascii="Times New Roman" w:hAnsi="Times New Roman" w:cs="Times New Roman"/>
              </w:rPr>
              <w:tab/>
            </w:r>
          </w:p>
        </w:tc>
        <w:tc>
          <w:tcPr>
            <w:tcW w:w="695" w:type="pct"/>
            <w:tcBorders>
              <w:left w:val="single" w:sz="4" w:space="0" w:color="auto"/>
            </w:tcBorders>
          </w:tcPr>
          <w:p w:rsidR="005C15AE" w:rsidRPr="00BC5A0E" w:rsidRDefault="005C15AE" w:rsidP="00F572C9">
            <w:pPr>
              <w:spacing w:after="0" w:line="240" w:lineRule="auto"/>
              <w:ind w:right="288"/>
              <w:jc w:val="right"/>
              <w:rPr>
                <w:rFonts w:ascii="Times New Roman" w:hAnsi="Times New Roman" w:cs="Times New Roman"/>
              </w:rPr>
            </w:pPr>
            <w:r w:rsidRPr="00BC5A0E">
              <w:rPr>
                <w:rFonts w:ascii="Times New Roman" w:hAnsi="Times New Roman" w:cs="Times New Roman"/>
              </w:rPr>
              <w:t>375,000</w:t>
            </w:r>
          </w:p>
        </w:tc>
      </w:tr>
      <w:tr w:rsidR="005C15AE" w:rsidRPr="00BC5A0E" w:rsidTr="00F572C9">
        <w:trPr>
          <w:trHeight w:val="20"/>
        </w:trPr>
        <w:tc>
          <w:tcPr>
            <w:tcW w:w="1541" w:type="pct"/>
            <w:tcBorders>
              <w:right w:val="single" w:sz="4" w:space="0" w:color="auto"/>
            </w:tcBorders>
          </w:tcPr>
          <w:p w:rsidR="005C15AE" w:rsidRPr="00BC5A0E" w:rsidRDefault="005C15AE" w:rsidP="00BC5A0E">
            <w:pPr>
              <w:spacing w:after="0" w:line="240" w:lineRule="auto"/>
              <w:jc w:val="both"/>
              <w:rPr>
                <w:rFonts w:ascii="Times New Roman" w:hAnsi="Times New Roman" w:cs="Times New Roman"/>
              </w:rPr>
            </w:pPr>
          </w:p>
        </w:tc>
        <w:tc>
          <w:tcPr>
            <w:tcW w:w="2764" w:type="pct"/>
            <w:tcBorders>
              <w:left w:val="single" w:sz="4" w:space="0" w:color="auto"/>
              <w:right w:val="single" w:sz="4" w:space="0" w:color="auto"/>
            </w:tcBorders>
          </w:tcPr>
          <w:p w:rsidR="005C15AE" w:rsidRPr="00BC5A0E" w:rsidRDefault="005C15AE" w:rsidP="00150C11">
            <w:pPr>
              <w:tabs>
                <w:tab w:val="left" w:leader="dot" w:pos="4842"/>
              </w:tabs>
              <w:spacing w:after="0" w:line="240" w:lineRule="auto"/>
              <w:ind w:left="144"/>
              <w:jc w:val="both"/>
              <w:rPr>
                <w:rFonts w:ascii="Times New Roman" w:hAnsi="Times New Roman" w:cs="Times New Roman"/>
              </w:rPr>
            </w:pPr>
            <w:r w:rsidRPr="00BC5A0E">
              <w:rPr>
                <w:rFonts w:ascii="Times New Roman" w:hAnsi="Times New Roman" w:cs="Times New Roman"/>
              </w:rPr>
              <w:t>Sporting facilities</w:t>
            </w:r>
            <w:r w:rsidR="00150C11">
              <w:rPr>
                <w:rFonts w:ascii="Times New Roman" w:hAnsi="Times New Roman" w:cs="Times New Roman"/>
              </w:rPr>
              <w:tab/>
            </w:r>
          </w:p>
        </w:tc>
        <w:tc>
          <w:tcPr>
            <w:tcW w:w="695" w:type="pct"/>
            <w:tcBorders>
              <w:left w:val="single" w:sz="4" w:space="0" w:color="auto"/>
            </w:tcBorders>
          </w:tcPr>
          <w:p w:rsidR="005C15AE" w:rsidRPr="00BC5A0E" w:rsidRDefault="005C15AE" w:rsidP="00F572C9">
            <w:pPr>
              <w:spacing w:after="0" w:line="240" w:lineRule="auto"/>
              <w:ind w:right="288"/>
              <w:jc w:val="right"/>
              <w:rPr>
                <w:rFonts w:ascii="Times New Roman" w:hAnsi="Times New Roman" w:cs="Times New Roman"/>
              </w:rPr>
            </w:pPr>
            <w:r w:rsidRPr="00BC5A0E">
              <w:rPr>
                <w:rFonts w:ascii="Times New Roman" w:hAnsi="Times New Roman" w:cs="Times New Roman"/>
              </w:rPr>
              <w:t>20,000</w:t>
            </w:r>
          </w:p>
        </w:tc>
      </w:tr>
      <w:tr w:rsidR="005C15AE" w:rsidRPr="00BC5A0E" w:rsidTr="00F572C9">
        <w:trPr>
          <w:trHeight w:val="20"/>
        </w:trPr>
        <w:tc>
          <w:tcPr>
            <w:tcW w:w="1541" w:type="pct"/>
            <w:tcBorders>
              <w:right w:val="single" w:sz="4" w:space="0" w:color="auto"/>
            </w:tcBorders>
          </w:tcPr>
          <w:p w:rsidR="005C15AE" w:rsidRPr="00BC5A0E" w:rsidRDefault="005C15AE" w:rsidP="00BC5A0E">
            <w:pPr>
              <w:spacing w:after="0" w:line="240" w:lineRule="auto"/>
              <w:jc w:val="both"/>
              <w:rPr>
                <w:rFonts w:ascii="Times New Roman" w:hAnsi="Times New Roman" w:cs="Times New Roman"/>
              </w:rPr>
            </w:pPr>
          </w:p>
        </w:tc>
        <w:tc>
          <w:tcPr>
            <w:tcW w:w="2764" w:type="pct"/>
            <w:tcBorders>
              <w:left w:val="single" w:sz="4" w:space="0" w:color="auto"/>
              <w:right w:val="single" w:sz="4" w:space="0" w:color="auto"/>
            </w:tcBorders>
          </w:tcPr>
          <w:p w:rsidR="005C15AE" w:rsidRPr="00BC5A0E" w:rsidRDefault="00150C11" w:rsidP="00150C11">
            <w:pPr>
              <w:tabs>
                <w:tab w:val="left" w:leader="dot" w:pos="4842"/>
              </w:tabs>
              <w:spacing w:after="0" w:line="240" w:lineRule="auto"/>
              <w:ind w:left="144"/>
              <w:jc w:val="both"/>
              <w:rPr>
                <w:rFonts w:ascii="Times New Roman" w:hAnsi="Times New Roman" w:cs="Times New Roman"/>
              </w:rPr>
            </w:pPr>
            <w:r>
              <w:rPr>
                <w:rFonts w:ascii="Times New Roman" w:hAnsi="Times New Roman" w:cs="Times New Roman"/>
              </w:rPr>
              <w:t>Minor work</w:t>
            </w:r>
            <w:r w:rsidR="005C15AE" w:rsidRPr="00BC5A0E">
              <w:rPr>
                <w:rFonts w:ascii="Times New Roman" w:hAnsi="Times New Roman" w:cs="Times New Roman"/>
              </w:rPr>
              <w:t>s approved by the Commission</w:t>
            </w:r>
            <w:r>
              <w:rPr>
                <w:rFonts w:ascii="Times New Roman" w:hAnsi="Times New Roman" w:cs="Times New Roman"/>
              </w:rPr>
              <w:tab/>
            </w:r>
          </w:p>
        </w:tc>
        <w:tc>
          <w:tcPr>
            <w:tcW w:w="695" w:type="pct"/>
            <w:tcBorders>
              <w:left w:val="single" w:sz="4" w:space="0" w:color="auto"/>
            </w:tcBorders>
          </w:tcPr>
          <w:p w:rsidR="005C15AE" w:rsidRPr="00BC5A0E" w:rsidRDefault="005C15AE" w:rsidP="00F572C9">
            <w:pPr>
              <w:spacing w:after="0" w:line="240" w:lineRule="auto"/>
              <w:ind w:right="288"/>
              <w:jc w:val="right"/>
              <w:rPr>
                <w:rFonts w:ascii="Times New Roman" w:hAnsi="Times New Roman" w:cs="Times New Roman"/>
              </w:rPr>
            </w:pPr>
            <w:r w:rsidRPr="00BC5A0E">
              <w:rPr>
                <w:rFonts w:ascii="Times New Roman" w:hAnsi="Times New Roman" w:cs="Times New Roman"/>
              </w:rPr>
              <w:t>115,000</w:t>
            </w:r>
          </w:p>
        </w:tc>
      </w:tr>
      <w:tr w:rsidR="005C15AE" w:rsidRPr="00BC5A0E" w:rsidTr="00F572C9">
        <w:trPr>
          <w:trHeight w:val="20"/>
        </w:trPr>
        <w:tc>
          <w:tcPr>
            <w:tcW w:w="1541" w:type="pct"/>
            <w:tcBorders>
              <w:right w:val="single" w:sz="4" w:space="0" w:color="auto"/>
            </w:tcBorders>
          </w:tcPr>
          <w:p w:rsidR="005C15AE" w:rsidRPr="00BC5A0E" w:rsidRDefault="005C15AE" w:rsidP="00BC5A0E">
            <w:pPr>
              <w:spacing w:after="0" w:line="240" w:lineRule="auto"/>
              <w:jc w:val="both"/>
              <w:rPr>
                <w:rFonts w:ascii="Times New Roman" w:hAnsi="Times New Roman" w:cs="Times New Roman"/>
              </w:rPr>
            </w:pPr>
          </w:p>
        </w:tc>
        <w:tc>
          <w:tcPr>
            <w:tcW w:w="2764" w:type="pct"/>
            <w:tcBorders>
              <w:left w:val="single" w:sz="4" w:space="0" w:color="auto"/>
              <w:right w:val="single" w:sz="4" w:space="0" w:color="auto"/>
            </w:tcBorders>
          </w:tcPr>
          <w:p w:rsidR="005C15AE" w:rsidRPr="00BC5A0E" w:rsidRDefault="005C15AE" w:rsidP="00150C11">
            <w:pPr>
              <w:tabs>
                <w:tab w:val="left" w:leader="dot" w:pos="4842"/>
              </w:tabs>
              <w:spacing w:after="0" w:line="240" w:lineRule="auto"/>
              <w:ind w:left="144"/>
              <w:jc w:val="both"/>
              <w:rPr>
                <w:rFonts w:ascii="Times New Roman" w:hAnsi="Times New Roman" w:cs="Times New Roman"/>
              </w:rPr>
            </w:pPr>
            <w:r w:rsidRPr="00BC5A0E">
              <w:rPr>
                <w:rFonts w:ascii="Times New Roman" w:hAnsi="Times New Roman" w:cs="Times New Roman"/>
              </w:rPr>
              <w:t>Site works and ser</w:t>
            </w:r>
            <w:r w:rsidR="00150C11">
              <w:rPr>
                <w:rFonts w:ascii="Times New Roman" w:hAnsi="Times New Roman" w:cs="Times New Roman"/>
              </w:rPr>
              <w:t>vices approved by the Commission</w:t>
            </w:r>
          </w:p>
        </w:tc>
        <w:tc>
          <w:tcPr>
            <w:tcW w:w="695" w:type="pct"/>
            <w:tcBorders>
              <w:left w:val="single" w:sz="4" w:space="0" w:color="auto"/>
            </w:tcBorders>
          </w:tcPr>
          <w:p w:rsidR="005C15AE" w:rsidRPr="00BC5A0E" w:rsidRDefault="005C15AE" w:rsidP="00F572C9">
            <w:pPr>
              <w:spacing w:after="0" w:line="240" w:lineRule="auto"/>
              <w:ind w:right="288"/>
              <w:jc w:val="right"/>
              <w:rPr>
                <w:rFonts w:ascii="Times New Roman" w:hAnsi="Times New Roman" w:cs="Times New Roman"/>
              </w:rPr>
            </w:pPr>
            <w:r w:rsidRPr="00BC5A0E">
              <w:rPr>
                <w:rFonts w:ascii="Times New Roman" w:hAnsi="Times New Roman" w:cs="Times New Roman"/>
              </w:rPr>
              <w:t>35,000</w:t>
            </w:r>
          </w:p>
        </w:tc>
      </w:tr>
      <w:tr w:rsidR="005C15AE" w:rsidRPr="00BC5A0E" w:rsidTr="00F572C9">
        <w:trPr>
          <w:trHeight w:val="20"/>
        </w:trPr>
        <w:tc>
          <w:tcPr>
            <w:tcW w:w="1541" w:type="pct"/>
            <w:tcBorders>
              <w:right w:val="single" w:sz="4" w:space="0" w:color="auto"/>
            </w:tcBorders>
          </w:tcPr>
          <w:p w:rsidR="005C15AE" w:rsidRPr="00BC5A0E" w:rsidRDefault="005C15AE" w:rsidP="00BC5A0E">
            <w:pPr>
              <w:spacing w:after="0" w:line="240" w:lineRule="auto"/>
              <w:jc w:val="both"/>
              <w:rPr>
                <w:rFonts w:ascii="Times New Roman" w:hAnsi="Times New Roman" w:cs="Times New Roman"/>
              </w:rPr>
            </w:pPr>
          </w:p>
        </w:tc>
        <w:tc>
          <w:tcPr>
            <w:tcW w:w="2764" w:type="pct"/>
            <w:tcBorders>
              <w:left w:val="single" w:sz="4" w:space="0" w:color="auto"/>
              <w:right w:val="single" w:sz="4" w:space="0" w:color="auto"/>
            </w:tcBorders>
          </w:tcPr>
          <w:p w:rsidR="005C15AE" w:rsidRPr="00BC5A0E" w:rsidRDefault="005C15AE" w:rsidP="00150C11">
            <w:pPr>
              <w:tabs>
                <w:tab w:val="left" w:leader="dot" w:pos="4842"/>
              </w:tabs>
              <w:spacing w:after="0" w:line="240" w:lineRule="auto"/>
              <w:ind w:left="144"/>
              <w:jc w:val="both"/>
              <w:rPr>
                <w:rFonts w:ascii="Times New Roman" w:hAnsi="Times New Roman" w:cs="Times New Roman"/>
              </w:rPr>
            </w:pPr>
            <w:r w:rsidRPr="00BC5A0E">
              <w:rPr>
                <w:rFonts w:ascii="Times New Roman" w:hAnsi="Times New Roman" w:cs="Times New Roman"/>
              </w:rPr>
              <w:t>Planning for 1976</w:t>
            </w:r>
            <w:r w:rsidR="00150C11">
              <w:rPr>
                <w:rFonts w:ascii="Times New Roman" w:hAnsi="Times New Roman" w:cs="Times New Roman"/>
              </w:rPr>
              <w:t>–</w:t>
            </w:r>
            <w:r w:rsidRPr="00BC5A0E">
              <w:rPr>
                <w:rFonts w:ascii="Times New Roman" w:hAnsi="Times New Roman" w:cs="Times New Roman"/>
              </w:rPr>
              <w:t>78 triennium</w:t>
            </w:r>
            <w:r w:rsidR="00150C11">
              <w:rPr>
                <w:rFonts w:ascii="Times New Roman" w:hAnsi="Times New Roman" w:cs="Times New Roman"/>
              </w:rPr>
              <w:tab/>
            </w:r>
          </w:p>
        </w:tc>
        <w:tc>
          <w:tcPr>
            <w:tcW w:w="695" w:type="pct"/>
            <w:tcBorders>
              <w:left w:val="single" w:sz="4" w:space="0" w:color="auto"/>
              <w:bottom w:val="single" w:sz="4" w:space="0" w:color="auto"/>
            </w:tcBorders>
          </w:tcPr>
          <w:p w:rsidR="005C15AE" w:rsidRPr="00BC5A0E" w:rsidRDefault="005C15AE" w:rsidP="00F572C9">
            <w:pPr>
              <w:spacing w:after="0" w:line="240" w:lineRule="auto"/>
              <w:ind w:right="288"/>
              <w:jc w:val="right"/>
              <w:rPr>
                <w:rFonts w:ascii="Times New Roman" w:hAnsi="Times New Roman" w:cs="Times New Roman"/>
              </w:rPr>
            </w:pPr>
            <w:r w:rsidRPr="00BC5A0E">
              <w:rPr>
                <w:rFonts w:ascii="Times New Roman" w:hAnsi="Times New Roman" w:cs="Times New Roman"/>
              </w:rPr>
              <w:t>15,000</w:t>
            </w:r>
          </w:p>
        </w:tc>
      </w:tr>
      <w:tr w:rsidR="005C15AE" w:rsidRPr="00BC5A0E" w:rsidTr="00F572C9">
        <w:trPr>
          <w:trHeight w:val="440"/>
        </w:trPr>
        <w:tc>
          <w:tcPr>
            <w:tcW w:w="1541" w:type="pct"/>
            <w:tcBorders>
              <w:bottom w:val="single" w:sz="4" w:space="0" w:color="auto"/>
              <w:right w:val="single" w:sz="4" w:space="0" w:color="auto"/>
            </w:tcBorders>
          </w:tcPr>
          <w:p w:rsidR="005C15AE" w:rsidRPr="00BC5A0E" w:rsidRDefault="005C15AE" w:rsidP="00BC5A0E">
            <w:pPr>
              <w:spacing w:after="0" w:line="240" w:lineRule="auto"/>
              <w:jc w:val="both"/>
              <w:rPr>
                <w:rFonts w:ascii="Times New Roman" w:hAnsi="Times New Roman" w:cs="Times New Roman"/>
              </w:rPr>
            </w:pPr>
          </w:p>
        </w:tc>
        <w:tc>
          <w:tcPr>
            <w:tcW w:w="2764" w:type="pct"/>
            <w:tcBorders>
              <w:left w:val="single" w:sz="4" w:space="0" w:color="auto"/>
              <w:bottom w:val="single" w:sz="4" w:space="0" w:color="auto"/>
              <w:right w:val="single" w:sz="4" w:space="0" w:color="auto"/>
            </w:tcBorders>
          </w:tcPr>
          <w:p w:rsidR="005C15AE" w:rsidRPr="00BC5A0E" w:rsidRDefault="005C15AE" w:rsidP="00BC5A0E">
            <w:pPr>
              <w:spacing w:after="0" w:line="240" w:lineRule="auto"/>
              <w:jc w:val="both"/>
              <w:rPr>
                <w:rFonts w:ascii="Times New Roman" w:hAnsi="Times New Roman" w:cs="Times New Roman"/>
              </w:rPr>
            </w:pPr>
          </w:p>
        </w:tc>
        <w:tc>
          <w:tcPr>
            <w:tcW w:w="695" w:type="pct"/>
            <w:tcBorders>
              <w:top w:val="single" w:sz="4" w:space="0" w:color="auto"/>
              <w:left w:val="single" w:sz="4" w:space="0" w:color="auto"/>
              <w:bottom w:val="single" w:sz="4" w:space="0" w:color="auto"/>
            </w:tcBorders>
            <w:vAlign w:val="center"/>
          </w:tcPr>
          <w:p w:rsidR="005C15AE" w:rsidRPr="00BC5A0E" w:rsidRDefault="005C15AE" w:rsidP="00F572C9">
            <w:pPr>
              <w:spacing w:after="0" w:line="240" w:lineRule="auto"/>
              <w:ind w:right="144"/>
              <w:jc w:val="right"/>
              <w:rPr>
                <w:rFonts w:ascii="Times New Roman" w:hAnsi="Times New Roman" w:cs="Times New Roman"/>
              </w:rPr>
            </w:pPr>
            <w:r w:rsidRPr="00BC5A0E">
              <w:rPr>
                <w:rFonts w:ascii="Times New Roman" w:hAnsi="Times New Roman" w:cs="Times New Roman"/>
              </w:rPr>
              <w:t>2,695,000</w:t>
            </w:r>
            <w:r w:rsidR="00BC5A0E" w:rsidRPr="00BC5A0E">
              <w:rPr>
                <w:rFonts w:ascii="Times New Roman" w:hAnsi="Times New Roman" w:cs="Times New Roman"/>
              </w:rPr>
              <w:t>”</w:t>
            </w:r>
            <w:r w:rsidRPr="00BC5A0E">
              <w:rPr>
                <w:rFonts w:ascii="Times New Roman" w:hAnsi="Times New Roman" w:cs="Times New Roman"/>
              </w:rPr>
              <w:t>.</w:t>
            </w:r>
          </w:p>
        </w:tc>
      </w:tr>
    </w:tbl>
    <w:p w:rsidR="005C15AE" w:rsidRPr="00BC5A0E" w:rsidRDefault="002A282B" w:rsidP="002A282B">
      <w:pPr>
        <w:tabs>
          <w:tab w:val="left" w:pos="810"/>
        </w:tabs>
        <w:spacing w:before="60" w:after="6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5C15AE" w:rsidRPr="00BC5A0E">
        <w:rPr>
          <w:rFonts w:ascii="Times New Roman" w:hAnsi="Times New Roman" w:cs="Times New Roman"/>
        </w:rPr>
        <w:t xml:space="preserve">The Second Schedule to the Principal Act is amended by omitting from the portion of the third column relating to Universities in the State of South Australia the figures </w:t>
      </w:r>
      <w:r w:rsidR="00BC5A0E" w:rsidRPr="00BC5A0E">
        <w:rPr>
          <w:rFonts w:ascii="Times New Roman" w:hAnsi="Times New Roman" w:cs="Times New Roman"/>
        </w:rPr>
        <w:t>“</w:t>
      </w:r>
      <w:r w:rsidR="005C15AE" w:rsidRPr="00BC5A0E">
        <w:rPr>
          <w:rFonts w:ascii="Times New Roman" w:hAnsi="Times New Roman" w:cs="Times New Roman"/>
        </w:rPr>
        <w:t>6,395,000</w:t>
      </w:r>
      <w:r w:rsidR="00BC5A0E" w:rsidRPr="00BC5A0E">
        <w:rPr>
          <w:rFonts w:ascii="Times New Roman" w:hAnsi="Times New Roman" w:cs="Times New Roman"/>
        </w:rPr>
        <w:t>”</w:t>
      </w:r>
      <w:r w:rsidR="005C15AE" w:rsidRPr="00BC5A0E">
        <w:rPr>
          <w:rFonts w:ascii="Times New Roman" w:hAnsi="Times New Roman" w:cs="Times New Roman"/>
        </w:rPr>
        <w:t xml:space="preserve"> and substituting the figures </w:t>
      </w:r>
      <w:r w:rsidR="00BC5A0E" w:rsidRPr="00BC5A0E">
        <w:rPr>
          <w:rFonts w:ascii="Times New Roman" w:hAnsi="Times New Roman" w:cs="Times New Roman"/>
        </w:rPr>
        <w:t>“</w:t>
      </w:r>
      <w:r w:rsidR="005C15AE" w:rsidRPr="00BC5A0E">
        <w:rPr>
          <w:rFonts w:ascii="Times New Roman" w:hAnsi="Times New Roman" w:cs="Times New Roman"/>
        </w:rPr>
        <w:t>6,447,500</w:t>
      </w:r>
      <w:r w:rsidR="00BC5A0E" w:rsidRPr="00BC5A0E">
        <w:rPr>
          <w:rFonts w:ascii="Times New Roman" w:hAnsi="Times New Roman" w:cs="Times New Roman"/>
        </w:rPr>
        <w:t>”</w:t>
      </w:r>
      <w:r w:rsidR="005C15AE" w:rsidRPr="00BC5A0E">
        <w:rPr>
          <w:rFonts w:ascii="Times New Roman" w:hAnsi="Times New Roman" w:cs="Times New Roman"/>
        </w:rPr>
        <w:t>.</w:t>
      </w:r>
    </w:p>
    <w:p w:rsidR="005C15AE" w:rsidRPr="002A282B" w:rsidRDefault="00BC5A0E" w:rsidP="002A282B">
      <w:pPr>
        <w:spacing w:before="120" w:after="60" w:line="240" w:lineRule="auto"/>
        <w:jc w:val="both"/>
        <w:rPr>
          <w:rFonts w:ascii="Times New Roman" w:hAnsi="Times New Roman" w:cs="Times New Roman"/>
          <w:b/>
          <w:sz w:val="20"/>
        </w:rPr>
      </w:pPr>
      <w:r w:rsidRPr="002A282B">
        <w:rPr>
          <w:rFonts w:ascii="Times New Roman" w:hAnsi="Times New Roman" w:cs="Times New Roman"/>
          <w:b/>
          <w:sz w:val="20"/>
        </w:rPr>
        <w:t>Sixth Schedule.</w:t>
      </w:r>
    </w:p>
    <w:p w:rsidR="005C15AE" w:rsidRPr="00BC5A0E" w:rsidRDefault="00BC5A0E" w:rsidP="00FA693E">
      <w:pPr>
        <w:spacing w:after="120" w:line="240" w:lineRule="auto"/>
        <w:ind w:firstLine="432"/>
        <w:jc w:val="both"/>
        <w:rPr>
          <w:rFonts w:ascii="Times New Roman" w:hAnsi="Times New Roman" w:cs="Times New Roman"/>
        </w:rPr>
      </w:pPr>
      <w:r w:rsidRPr="00BC5A0E">
        <w:rPr>
          <w:rFonts w:ascii="Times New Roman" w:hAnsi="Times New Roman" w:cs="Times New Roman"/>
          <w:b/>
        </w:rPr>
        <w:t>5.</w:t>
      </w:r>
      <w:r w:rsidR="002A282B">
        <w:rPr>
          <w:rFonts w:ascii="Times New Roman" w:hAnsi="Times New Roman" w:cs="Times New Roman"/>
        </w:rPr>
        <w:tab/>
      </w:r>
      <w:r w:rsidR="005C15AE" w:rsidRPr="00BC5A0E">
        <w:rPr>
          <w:rFonts w:ascii="Times New Roman" w:hAnsi="Times New Roman" w:cs="Times New Roman"/>
        </w:rPr>
        <w:t>The Sixth Schedule to the Principal Act is amended by omitting from the portion of that Schedule relating to the University of Adelaide the words and figures relating to the Royal Adelaide Hospital and substituting the following words and figures:—</w:t>
      </w:r>
    </w:p>
    <w:tbl>
      <w:tblPr>
        <w:tblW w:w="4594" w:type="pct"/>
        <w:tblInd w:w="490" w:type="dxa"/>
        <w:tblCellMar>
          <w:left w:w="40" w:type="dxa"/>
          <w:right w:w="40" w:type="dxa"/>
        </w:tblCellMar>
        <w:tblLook w:val="0000" w:firstRow="0" w:lastRow="0" w:firstColumn="0" w:lastColumn="0" w:noHBand="0" w:noVBand="0"/>
      </w:tblPr>
      <w:tblGrid>
        <w:gridCol w:w="2040"/>
        <w:gridCol w:w="5239"/>
        <w:gridCol w:w="1090"/>
      </w:tblGrid>
      <w:tr w:rsidR="005C15AE" w:rsidRPr="00BC5A0E" w:rsidTr="00B82F3F">
        <w:trPr>
          <w:trHeight w:val="20"/>
        </w:trPr>
        <w:tc>
          <w:tcPr>
            <w:tcW w:w="1219" w:type="pct"/>
            <w:tcBorders>
              <w:right w:val="single" w:sz="4" w:space="0" w:color="auto"/>
            </w:tcBorders>
          </w:tcPr>
          <w:p w:rsidR="005C15AE" w:rsidRPr="00BC5A0E" w:rsidRDefault="00BC5A0E" w:rsidP="00A52B0D">
            <w:pPr>
              <w:spacing w:after="0" w:line="240" w:lineRule="auto"/>
              <w:ind w:left="288" w:hanging="288"/>
              <w:rPr>
                <w:rFonts w:ascii="Times New Roman" w:hAnsi="Times New Roman" w:cs="Times New Roman"/>
              </w:rPr>
            </w:pPr>
            <w:r w:rsidRPr="00BC5A0E">
              <w:rPr>
                <w:rFonts w:ascii="Times New Roman" w:hAnsi="Times New Roman" w:cs="Times New Roman"/>
              </w:rPr>
              <w:t>“</w:t>
            </w:r>
            <w:r w:rsidR="005C15AE" w:rsidRPr="00BC5A0E">
              <w:rPr>
                <w:rFonts w:ascii="Times New Roman" w:hAnsi="Times New Roman" w:cs="Times New Roman"/>
              </w:rPr>
              <w:t>Royal Adelaide Hospital</w:t>
            </w:r>
          </w:p>
        </w:tc>
        <w:tc>
          <w:tcPr>
            <w:tcW w:w="3130" w:type="pct"/>
            <w:tcBorders>
              <w:left w:val="single" w:sz="4" w:space="0" w:color="auto"/>
              <w:right w:val="single" w:sz="6" w:space="0" w:color="auto"/>
            </w:tcBorders>
          </w:tcPr>
          <w:p w:rsidR="005C15AE" w:rsidRPr="00BC5A0E" w:rsidRDefault="005C15AE" w:rsidP="00A52B0D">
            <w:pPr>
              <w:tabs>
                <w:tab w:val="left" w:leader="dot" w:pos="5030"/>
              </w:tabs>
              <w:spacing w:after="0" w:line="240" w:lineRule="auto"/>
              <w:ind w:left="432" w:hanging="288"/>
              <w:jc w:val="both"/>
              <w:rPr>
                <w:rFonts w:ascii="Times New Roman" w:hAnsi="Times New Roman" w:cs="Times New Roman"/>
              </w:rPr>
            </w:pPr>
            <w:r w:rsidRPr="00BC5A0E">
              <w:rPr>
                <w:rFonts w:ascii="Times New Roman" w:hAnsi="Times New Roman" w:cs="Times New Roman"/>
              </w:rPr>
              <w:t>Alterations for clinical medical departments, including Psychiatry</w:t>
            </w:r>
            <w:r w:rsidR="00A52B0D">
              <w:rPr>
                <w:rFonts w:ascii="Times New Roman" w:hAnsi="Times New Roman" w:cs="Times New Roman"/>
              </w:rPr>
              <w:tab/>
            </w:r>
          </w:p>
        </w:tc>
        <w:tc>
          <w:tcPr>
            <w:tcW w:w="651" w:type="pct"/>
            <w:tcBorders>
              <w:left w:val="single" w:sz="6" w:space="0" w:color="auto"/>
              <w:bottom w:val="single" w:sz="4" w:space="0" w:color="auto"/>
            </w:tcBorders>
            <w:vAlign w:val="bottom"/>
          </w:tcPr>
          <w:p w:rsidR="005C15AE" w:rsidRPr="00BC5A0E" w:rsidRDefault="005C15AE" w:rsidP="00A52B0D">
            <w:pPr>
              <w:spacing w:after="0" w:line="240" w:lineRule="auto"/>
              <w:jc w:val="center"/>
              <w:rPr>
                <w:rFonts w:ascii="Times New Roman" w:hAnsi="Times New Roman" w:cs="Times New Roman"/>
              </w:rPr>
            </w:pPr>
            <w:r w:rsidRPr="00BC5A0E">
              <w:rPr>
                <w:rFonts w:ascii="Times New Roman" w:hAnsi="Times New Roman" w:cs="Times New Roman"/>
              </w:rPr>
              <w:t>20,000</w:t>
            </w:r>
          </w:p>
        </w:tc>
      </w:tr>
      <w:tr w:rsidR="005C15AE" w:rsidRPr="00BC5A0E" w:rsidTr="00B82F3F">
        <w:trPr>
          <w:trHeight w:val="431"/>
        </w:trPr>
        <w:tc>
          <w:tcPr>
            <w:tcW w:w="1219" w:type="pct"/>
            <w:tcBorders>
              <w:bottom w:val="single" w:sz="4" w:space="0" w:color="auto"/>
              <w:right w:val="single" w:sz="4" w:space="0" w:color="auto"/>
            </w:tcBorders>
          </w:tcPr>
          <w:p w:rsidR="005C15AE" w:rsidRPr="00BC5A0E" w:rsidRDefault="005C15AE" w:rsidP="00BC5A0E">
            <w:pPr>
              <w:spacing w:after="0" w:line="240" w:lineRule="auto"/>
              <w:jc w:val="both"/>
              <w:rPr>
                <w:rFonts w:ascii="Times New Roman" w:hAnsi="Times New Roman" w:cs="Times New Roman"/>
              </w:rPr>
            </w:pPr>
          </w:p>
        </w:tc>
        <w:tc>
          <w:tcPr>
            <w:tcW w:w="3130" w:type="pct"/>
            <w:tcBorders>
              <w:left w:val="single" w:sz="4" w:space="0" w:color="auto"/>
              <w:bottom w:val="single" w:sz="4" w:space="0" w:color="auto"/>
              <w:right w:val="single" w:sz="6" w:space="0" w:color="auto"/>
            </w:tcBorders>
          </w:tcPr>
          <w:p w:rsidR="005C15AE" w:rsidRPr="00BC5A0E" w:rsidRDefault="005C15AE" w:rsidP="00BC5A0E">
            <w:pPr>
              <w:spacing w:after="0" w:line="240" w:lineRule="auto"/>
              <w:jc w:val="both"/>
              <w:rPr>
                <w:rFonts w:ascii="Times New Roman" w:hAnsi="Times New Roman" w:cs="Times New Roman"/>
              </w:rPr>
            </w:pPr>
          </w:p>
        </w:tc>
        <w:tc>
          <w:tcPr>
            <w:tcW w:w="651" w:type="pct"/>
            <w:tcBorders>
              <w:top w:val="single" w:sz="4" w:space="0" w:color="auto"/>
              <w:left w:val="single" w:sz="6" w:space="0" w:color="auto"/>
              <w:bottom w:val="single" w:sz="6" w:space="0" w:color="auto"/>
            </w:tcBorders>
            <w:vAlign w:val="bottom"/>
          </w:tcPr>
          <w:p w:rsidR="005C15AE" w:rsidRPr="00BC5A0E" w:rsidRDefault="005C15AE" w:rsidP="00A52B0D">
            <w:pPr>
              <w:spacing w:after="120" w:line="240" w:lineRule="auto"/>
              <w:ind w:left="144"/>
              <w:jc w:val="center"/>
              <w:rPr>
                <w:rFonts w:ascii="Times New Roman" w:hAnsi="Times New Roman" w:cs="Times New Roman"/>
              </w:rPr>
            </w:pPr>
            <w:r w:rsidRPr="00BC5A0E">
              <w:rPr>
                <w:rFonts w:ascii="Times New Roman" w:hAnsi="Times New Roman" w:cs="Times New Roman"/>
              </w:rPr>
              <w:t>20,000</w:t>
            </w:r>
            <w:r w:rsidR="00BC5A0E" w:rsidRPr="00BC5A0E">
              <w:rPr>
                <w:rFonts w:ascii="Times New Roman" w:hAnsi="Times New Roman" w:cs="Times New Roman"/>
              </w:rPr>
              <w:t>”</w:t>
            </w:r>
            <w:r w:rsidRPr="00BC5A0E">
              <w:rPr>
                <w:rFonts w:ascii="Times New Roman" w:hAnsi="Times New Roman" w:cs="Times New Roman"/>
              </w:rPr>
              <w:t>.</w:t>
            </w:r>
          </w:p>
        </w:tc>
      </w:tr>
    </w:tbl>
    <w:p w:rsidR="005C15AE" w:rsidRPr="00BC5A0E" w:rsidRDefault="00BC5A0E" w:rsidP="00BC5A0E">
      <w:pPr>
        <w:spacing w:after="0" w:line="240" w:lineRule="auto"/>
        <w:jc w:val="both"/>
        <w:rPr>
          <w:rFonts w:ascii="Times New Roman" w:hAnsi="Times New Roman" w:cs="Times New Roman"/>
        </w:rPr>
      </w:pPr>
      <w:r w:rsidRPr="00BC5A0E">
        <w:rPr>
          <w:rFonts w:ascii="Times New Roman" w:hAnsi="Times New Roman" w:cs="Times New Roman"/>
        </w:rPr>
        <w:br w:type="page"/>
      </w:r>
      <w:bookmarkStart w:id="0" w:name="_GoBack"/>
      <w:bookmarkEnd w:id="0"/>
    </w:p>
    <w:p w:rsidR="005C15AE" w:rsidRPr="00BB33E2" w:rsidRDefault="00BC5A0E" w:rsidP="00BB33E2">
      <w:pPr>
        <w:spacing w:before="120" w:after="60" w:line="240" w:lineRule="auto"/>
        <w:jc w:val="both"/>
        <w:rPr>
          <w:rFonts w:ascii="Times New Roman" w:hAnsi="Times New Roman" w:cs="Times New Roman"/>
          <w:b/>
          <w:sz w:val="20"/>
        </w:rPr>
      </w:pPr>
      <w:r w:rsidRPr="00BB33E2">
        <w:rPr>
          <w:rFonts w:ascii="Times New Roman" w:hAnsi="Times New Roman" w:cs="Times New Roman"/>
          <w:b/>
          <w:sz w:val="20"/>
        </w:rPr>
        <w:lastRenderedPageBreak/>
        <w:t>Ninth Schedule.</w:t>
      </w:r>
    </w:p>
    <w:p w:rsidR="005C15AE" w:rsidRPr="00BC5A0E" w:rsidRDefault="00BC5A0E" w:rsidP="00BB33E2">
      <w:pPr>
        <w:spacing w:after="0" w:line="240" w:lineRule="auto"/>
        <w:ind w:firstLine="432"/>
        <w:jc w:val="both"/>
        <w:rPr>
          <w:rFonts w:ascii="Times New Roman" w:hAnsi="Times New Roman" w:cs="Times New Roman"/>
        </w:rPr>
      </w:pPr>
      <w:r w:rsidRPr="00BC5A0E">
        <w:rPr>
          <w:rFonts w:ascii="Times New Roman" w:hAnsi="Times New Roman" w:cs="Times New Roman"/>
          <w:b/>
        </w:rPr>
        <w:t>6.</w:t>
      </w:r>
      <w:r w:rsidR="00BB33E2">
        <w:rPr>
          <w:rFonts w:ascii="Times New Roman" w:hAnsi="Times New Roman" w:cs="Times New Roman"/>
        </w:rPr>
        <w:tab/>
      </w:r>
      <w:r w:rsidR="005C15AE" w:rsidRPr="00BC5A0E">
        <w:rPr>
          <w:rFonts w:ascii="Times New Roman" w:hAnsi="Times New Roman" w:cs="Times New Roman"/>
        </w:rPr>
        <w:t>The Principal Act is amended by adding at the end thereof the following Schedule:—</w:t>
      </w:r>
    </w:p>
    <w:p w:rsidR="005C15AE" w:rsidRPr="00CC7721" w:rsidRDefault="00BC5A0E" w:rsidP="00BB33E2">
      <w:pPr>
        <w:tabs>
          <w:tab w:val="left" w:pos="7920"/>
        </w:tabs>
        <w:spacing w:before="60" w:after="60" w:line="240" w:lineRule="auto"/>
        <w:ind w:left="3600"/>
        <w:jc w:val="center"/>
        <w:rPr>
          <w:rFonts w:ascii="Times New Roman" w:hAnsi="Times New Roman" w:cs="Times New Roman"/>
        </w:rPr>
      </w:pPr>
      <w:r w:rsidRPr="00CC7721">
        <w:rPr>
          <w:rFonts w:ascii="Times New Roman" w:hAnsi="Times New Roman" w:cs="Times New Roman"/>
          <w:smallCaps/>
        </w:rPr>
        <w:t>“NINTH SCHEDULE</w:t>
      </w:r>
      <w:r w:rsidR="00BB33E2" w:rsidRPr="00CC7721">
        <w:rPr>
          <w:rFonts w:ascii="Times New Roman" w:hAnsi="Times New Roman" w:cs="Times New Roman"/>
        </w:rPr>
        <w:tab/>
        <w:t>Section 11</w:t>
      </w:r>
      <w:r w:rsidR="00BB33E2" w:rsidRPr="00CC7721">
        <w:rPr>
          <w:rFonts w:ascii="Times New Roman" w:hAnsi="Times New Roman" w:cs="Times New Roman"/>
          <w:smallCaps/>
        </w:rPr>
        <w:t>b</w:t>
      </w:r>
    </w:p>
    <w:p w:rsidR="005C15AE" w:rsidRPr="00BC5A0E" w:rsidRDefault="00BC5A0E" w:rsidP="00BB33E2">
      <w:pPr>
        <w:spacing w:before="60" w:after="60" w:line="240" w:lineRule="auto"/>
        <w:jc w:val="center"/>
        <w:rPr>
          <w:rFonts w:ascii="Times New Roman" w:hAnsi="Times New Roman" w:cs="Times New Roman"/>
        </w:rPr>
      </w:pPr>
      <w:r w:rsidRPr="00BC5A0E">
        <w:rPr>
          <w:rFonts w:ascii="Times New Roman" w:hAnsi="Times New Roman" w:cs="Times New Roman"/>
          <w:smallCaps/>
        </w:rPr>
        <w:t xml:space="preserve">Grants to </w:t>
      </w:r>
      <w:r w:rsidR="00B82F3F">
        <w:rPr>
          <w:rFonts w:ascii="Times New Roman" w:hAnsi="Times New Roman" w:cs="Times New Roman"/>
          <w:smallCaps/>
        </w:rPr>
        <w:t>Provide for</w:t>
      </w:r>
      <w:r w:rsidRPr="00BC5A0E">
        <w:rPr>
          <w:rFonts w:ascii="Times New Roman" w:hAnsi="Times New Roman" w:cs="Times New Roman"/>
          <w:smallCaps/>
        </w:rPr>
        <w:t xml:space="preserve"> Additional Social Work Training</w:t>
      </w:r>
    </w:p>
    <w:tbl>
      <w:tblPr>
        <w:tblW w:w="4829" w:type="pct"/>
        <w:tblInd w:w="310" w:type="dxa"/>
        <w:tblCellMar>
          <w:left w:w="40" w:type="dxa"/>
          <w:right w:w="40" w:type="dxa"/>
        </w:tblCellMar>
        <w:tblLook w:val="0000" w:firstRow="0" w:lastRow="0" w:firstColumn="0" w:lastColumn="0" w:noHBand="0" w:noVBand="0"/>
      </w:tblPr>
      <w:tblGrid>
        <w:gridCol w:w="4907"/>
        <w:gridCol w:w="1304"/>
        <w:gridCol w:w="1323"/>
        <w:gridCol w:w="1263"/>
      </w:tblGrid>
      <w:tr w:rsidR="00BB33E2" w:rsidRPr="00BC5A0E" w:rsidTr="00BB33E2">
        <w:trPr>
          <w:trHeight w:val="363"/>
        </w:trPr>
        <w:tc>
          <w:tcPr>
            <w:tcW w:w="2789" w:type="pct"/>
            <w:vMerge w:val="restart"/>
            <w:tcBorders>
              <w:top w:val="single" w:sz="6" w:space="0" w:color="auto"/>
              <w:right w:val="single" w:sz="6" w:space="0" w:color="auto"/>
            </w:tcBorders>
            <w:vAlign w:val="center"/>
          </w:tcPr>
          <w:p w:rsidR="00BB33E2" w:rsidRPr="00BC5A0E" w:rsidRDefault="00BB33E2" w:rsidP="00BB33E2">
            <w:pPr>
              <w:spacing w:after="0" w:line="240" w:lineRule="auto"/>
              <w:jc w:val="center"/>
              <w:rPr>
                <w:rFonts w:ascii="Times New Roman" w:hAnsi="Times New Roman" w:cs="Times New Roman"/>
              </w:rPr>
            </w:pPr>
            <w:r w:rsidRPr="00BC5A0E">
              <w:rPr>
                <w:rFonts w:ascii="Times New Roman" w:hAnsi="Times New Roman" w:cs="Times New Roman"/>
              </w:rPr>
              <w:t>University</w:t>
            </w:r>
          </w:p>
        </w:tc>
        <w:tc>
          <w:tcPr>
            <w:tcW w:w="2211" w:type="pct"/>
            <w:gridSpan w:val="3"/>
            <w:tcBorders>
              <w:top w:val="single" w:sz="6" w:space="0" w:color="auto"/>
              <w:left w:val="single" w:sz="6" w:space="0" w:color="auto"/>
              <w:bottom w:val="single" w:sz="6" w:space="0" w:color="auto"/>
            </w:tcBorders>
            <w:vAlign w:val="center"/>
          </w:tcPr>
          <w:p w:rsidR="00BB33E2" w:rsidRPr="00BC5A0E" w:rsidRDefault="00BB33E2" w:rsidP="00BB33E2">
            <w:pPr>
              <w:spacing w:after="0" w:line="240" w:lineRule="auto"/>
              <w:jc w:val="center"/>
              <w:rPr>
                <w:rFonts w:ascii="Times New Roman" w:hAnsi="Times New Roman" w:cs="Times New Roman"/>
              </w:rPr>
            </w:pPr>
            <w:r w:rsidRPr="00BC5A0E">
              <w:rPr>
                <w:rFonts w:ascii="Times New Roman" w:hAnsi="Times New Roman" w:cs="Times New Roman"/>
              </w:rPr>
              <w:t>Amount of Grant</w:t>
            </w:r>
          </w:p>
        </w:tc>
      </w:tr>
      <w:tr w:rsidR="00BB33E2" w:rsidRPr="00BC5A0E" w:rsidTr="00BB33E2">
        <w:trPr>
          <w:trHeight w:val="345"/>
        </w:trPr>
        <w:tc>
          <w:tcPr>
            <w:tcW w:w="2789" w:type="pct"/>
            <w:vMerge/>
            <w:tcBorders>
              <w:bottom w:val="single" w:sz="6" w:space="0" w:color="auto"/>
              <w:right w:val="single" w:sz="6" w:space="0" w:color="auto"/>
            </w:tcBorders>
          </w:tcPr>
          <w:p w:rsidR="00BB33E2" w:rsidRPr="00BC5A0E" w:rsidRDefault="00BB33E2" w:rsidP="00BC5A0E">
            <w:pPr>
              <w:spacing w:after="0" w:line="240" w:lineRule="auto"/>
              <w:jc w:val="both"/>
              <w:rPr>
                <w:rFonts w:ascii="Times New Roman" w:hAnsi="Times New Roman" w:cs="Times New Roman"/>
              </w:rPr>
            </w:pPr>
          </w:p>
        </w:tc>
        <w:tc>
          <w:tcPr>
            <w:tcW w:w="741" w:type="pct"/>
            <w:tcBorders>
              <w:top w:val="single" w:sz="6" w:space="0" w:color="auto"/>
              <w:left w:val="single" w:sz="6" w:space="0" w:color="auto"/>
              <w:bottom w:val="single" w:sz="6" w:space="0" w:color="auto"/>
              <w:right w:val="single" w:sz="6" w:space="0" w:color="auto"/>
            </w:tcBorders>
            <w:vAlign w:val="center"/>
          </w:tcPr>
          <w:p w:rsidR="00BB33E2" w:rsidRPr="00BC5A0E" w:rsidRDefault="00BB33E2" w:rsidP="00BB33E2">
            <w:pPr>
              <w:spacing w:after="0" w:line="240" w:lineRule="auto"/>
              <w:jc w:val="center"/>
              <w:rPr>
                <w:rFonts w:ascii="Times New Roman" w:hAnsi="Times New Roman" w:cs="Times New Roman"/>
              </w:rPr>
            </w:pPr>
            <w:r w:rsidRPr="00BC5A0E">
              <w:rPr>
                <w:rFonts w:ascii="Times New Roman" w:hAnsi="Times New Roman" w:cs="Times New Roman"/>
              </w:rPr>
              <w:t>1973</w:t>
            </w:r>
          </w:p>
        </w:tc>
        <w:tc>
          <w:tcPr>
            <w:tcW w:w="752" w:type="pct"/>
            <w:tcBorders>
              <w:top w:val="single" w:sz="6" w:space="0" w:color="auto"/>
              <w:left w:val="single" w:sz="6" w:space="0" w:color="auto"/>
              <w:bottom w:val="single" w:sz="6" w:space="0" w:color="auto"/>
              <w:right w:val="single" w:sz="6" w:space="0" w:color="auto"/>
            </w:tcBorders>
            <w:vAlign w:val="center"/>
          </w:tcPr>
          <w:p w:rsidR="00BB33E2" w:rsidRPr="00BC5A0E" w:rsidRDefault="00BB33E2" w:rsidP="00BB33E2">
            <w:pPr>
              <w:spacing w:after="0" w:line="240" w:lineRule="auto"/>
              <w:jc w:val="center"/>
              <w:rPr>
                <w:rFonts w:ascii="Times New Roman" w:hAnsi="Times New Roman" w:cs="Times New Roman"/>
              </w:rPr>
            </w:pPr>
            <w:r w:rsidRPr="00BC5A0E">
              <w:rPr>
                <w:rFonts w:ascii="Times New Roman" w:hAnsi="Times New Roman" w:cs="Times New Roman"/>
              </w:rPr>
              <w:t>1974</w:t>
            </w:r>
          </w:p>
        </w:tc>
        <w:tc>
          <w:tcPr>
            <w:tcW w:w="718" w:type="pct"/>
            <w:tcBorders>
              <w:top w:val="single" w:sz="6" w:space="0" w:color="auto"/>
              <w:left w:val="single" w:sz="6" w:space="0" w:color="auto"/>
              <w:bottom w:val="single" w:sz="6" w:space="0" w:color="auto"/>
            </w:tcBorders>
            <w:vAlign w:val="center"/>
          </w:tcPr>
          <w:p w:rsidR="00BB33E2" w:rsidRPr="00BC5A0E" w:rsidRDefault="00BB33E2" w:rsidP="00BB33E2">
            <w:pPr>
              <w:spacing w:after="0" w:line="240" w:lineRule="auto"/>
              <w:jc w:val="center"/>
              <w:rPr>
                <w:rFonts w:ascii="Times New Roman" w:hAnsi="Times New Roman" w:cs="Times New Roman"/>
              </w:rPr>
            </w:pPr>
            <w:r w:rsidRPr="00BC5A0E">
              <w:rPr>
                <w:rFonts w:ascii="Times New Roman" w:hAnsi="Times New Roman" w:cs="Times New Roman"/>
              </w:rPr>
              <w:t>1975</w:t>
            </w:r>
          </w:p>
        </w:tc>
      </w:tr>
      <w:tr w:rsidR="005C15AE" w:rsidRPr="00BC5A0E" w:rsidTr="00BB33E2">
        <w:trPr>
          <w:trHeight w:val="20"/>
        </w:trPr>
        <w:tc>
          <w:tcPr>
            <w:tcW w:w="2789" w:type="pct"/>
            <w:tcBorders>
              <w:right w:val="single" w:sz="6" w:space="0" w:color="auto"/>
            </w:tcBorders>
          </w:tcPr>
          <w:p w:rsidR="005C15AE" w:rsidRPr="00BC5A0E" w:rsidRDefault="005C15AE" w:rsidP="00BC5A0E">
            <w:pPr>
              <w:spacing w:after="0" w:line="240" w:lineRule="auto"/>
              <w:jc w:val="both"/>
              <w:rPr>
                <w:rFonts w:ascii="Times New Roman" w:hAnsi="Times New Roman" w:cs="Times New Roman"/>
              </w:rPr>
            </w:pPr>
          </w:p>
        </w:tc>
        <w:tc>
          <w:tcPr>
            <w:tcW w:w="741" w:type="pct"/>
            <w:tcBorders>
              <w:left w:val="single" w:sz="6" w:space="0" w:color="auto"/>
              <w:right w:val="single" w:sz="6" w:space="0" w:color="auto"/>
            </w:tcBorders>
          </w:tcPr>
          <w:p w:rsidR="005C15AE" w:rsidRPr="00BC5A0E" w:rsidRDefault="005C15AE" w:rsidP="00BB33E2">
            <w:pPr>
              <w:spacing w:after="0" w:line="240" w:lineRule="auto"/>
              <w:jc w:val="center"/>
              <w:rPr>
                <w:rFonts w:ascii="Times New Roman" w:hAnsi="Times New Roman" w:cs="Times New Roman"/>
              </w:rPr>
            </w:pPr>
            <w:r w:rsidRPr="00BC5A0E">
              <w:rPr>
                <w:rFonts w:ascii="Times New Roman" w:hAnsi="Times New Roman" w:cs="Times New Roman"/>
              </w:rPr>
              <w:t>$</w:t>
            </w:r>
          </w:p>
        </w:tc>
        <w:tc>
          <w:tcPr>
            <w:tcW w:w="752" w:type="pct"/>
            <w:tcBorders>
              <w:left w:val="single" w:sz="6" w:space="0" w:color="auto"/>
              <w:right w:val="single" w:sz="6" w:space="0" w:color="auto"/>
            </w:tcBorders>
          </w:tcPr>
          <w:p w:rsidR="005C15AE" w:rsidRPr="00BC5A0E" w:rsidRDefault="005C15AE" w:rsidP="00BB33E2">
            <w:pPr>
              <w:spacing w:after="0" w:line="240" w:lineRule="auto"/>
              <w:jc w:val="center"/>
              <w:rPr>
                <w:rFonts w:ascii="Times New Roman" w:hAnsi="Times New Roman" w:cs="Times New Roman"/>
              </w:rPr>
            </w:pPr>
            <w:r w:rsidRPr="00BC5A0E">
              <w:rPr>
                <w:rFonts w:ascii="Times New Roman" w:hAnsi="Times New Roman" w:cs="Times New Roman"/>
              </w:rPr>
              <w:t>$</w:t>
            </w:r>
          </w:p>
        </w:tc>
        <w:tc>
          <w:tcPr>
            <w:tcW w:w="718" w:type="pct"/>
            <w:tcBorders>
              <w:left w:val="single" w:sz="6" w:space="0" w:color="auto"/>
            </w:tcBorders>
          </w:tcPr>
          <w:p w:rsidR="005C15AE" w:rsidRPr="00BC5A0E" w:rsidRDefault="005C15AE" w:rsidP="00BB33E2">
            <w:pPr>
              <w:spacing w:after="0" w:line="240" w:lineRule="auto"/>
              <w:jc w:val="center"/>
              <w:rPr>
                <w:rFonts w:ascii="Times New Roman" w:hAnsi="Times New Roman" w:cs="Times New Roman"/>
              </w:rPr>
            </w:pPr>
            <w:r w:rsidRPr="00BC5A0E">
              <w:rPr>
                <w:rFonts w:ascii="Times New Roman" w:hAnsi="Times New Roman" w:cs="Times New Roman"/>
              </w:rPr>
              <w:t>$</w:t>
            </w:r>
          </w:p>
        </w:tc>
      </w:tr>
      <w:tr w:rsidR="00BB33E2" w:rsidRPr="00BC5A0E" w:rsidTr="00BB33E2">
        <w:trPr>
          <w:trHeight w:val="20"/>
        </w:trPr>
        <w:tc>
          <w:tcPr>
            <w:tcW w:w="2789" w:type="pct"/>
            <w:tcBorders>
              <w:right w:val="single" w:sz="6" w:space="0" w:color="auto"/>
            </w:tcBorders>
          </w:tcPr>
          <w:p w:rsidR="00BB33E2" w:rsidRPr="00BC5A0E" w:rsidRDefault="00BB33E2" w:rsidP="00BC5A0E">
            <w:pPr>
              <w:spacing w:after="0" w:line="240" w:lineRule="auto"/>
              <w:jc w:val="both"/>
              <w:rPr>
                <w:rFonts w:ascii="Times New Roman" w:hAnsi="Times New Roman" w:cs="Times New Roman"/>
              </w:rPr>
            </w:pPr>
          </w:p>
        </w:tc>
        <w:tc>
          <w:tcPr>
            <w:tcW w:w="741" w:type="pct"/>
            <w:tcBorders>
              <w:left w:val="single" w:sz="6" w:space="0" w:color="auto"/>
              <w:right w:val="single" w:sz="6" w:space="0" w:color="auto"/>
            </w:tcBorders>
          </w:tcPr>
          <w:p w:rsidR="00BB33E2" w:rsidRPr="00BC5A0E" w:rsidRDefault="00BB33E2" w:rsidP="00CC7721">
            <w:pPr>
              <w:spacing w:after="0" w:line="240" w:lineRule="auto"/>
              <w:ind w:right="288"/>
              <w:jc w:val="right"/>
              <w:rPr>
                <w:rFonts w:ascii="Times New Roman" w:hAnsi="Times New Roman" w:cs="Times New Roman"/>
              </w:rPr>
            </w:pPr>
          </w:p>
        </w:tc>
        <w:tc>
          <w:tcPr>
            <w:tcW w:w="752" w:type="pct"/>
            <w:tcBorders>
              <w:left w:val="single" w:sz="6" w:space="0" w:color="auto"/>
              <w:right w:val="single" w:sz="6" w:space="0" w:color="auto"/>
            </w:tcBorders>
          </w:tcPr>
          <w:p w:rsidR="00BB33E2" w:rsidRPr="00BC5A0E" w:rsidRDefault="00BB33E2" w:rsidP="00CC7721">
            <w:pPr>
              <w:spacing w:after="0" w:line="240" w:lineRule="auto"/>
              <w:ind w:right="288"/>
              <w:jc w:val="right"/>
              <w:rPr>
                <w:rFonts w:ascii="Times New Roman" w:hAnsi="Times New Roman" w:cs="Times New Roman"/>
              </w:rPr>
            </w:pPr>
          </w:p>
        </w:tc>
        <w:tc>
          <w:tcPr>
            <w:tcW w:w="718" w:type="pct"/>
            <w:tcBorders>
              <w:left w:val="single" w:sz="6" w:space="0" w:color="auto"/>
            </w:tcBorders>
          </w:tcPr>
          <w:p w:rsidR="00BB33E2" w:rsidRPr="00BC5A0E" w:rsidRDefault="00BB33E2" w:rsidP="00CC7721">
            <w:pPr>
              <w:spacing w:after="0" w:line="240" w:lineRule="auto"/>
              <w:ind w:right="288"/>
              <w:jc w:val="right"/>
              <w:rPr>
                <w:rFonts w:ascii="Times New Roman" w:hAnsi="Times New Roman" w:cs="Times New Roman"/>
              </w:rPr>
            </w:pPr>
          </w:p>
        </w:tc>
      </w:tr>
      <w:tr w:rsidR="005C15AE" w:rsidRPr="00BC5A0E" w:rsidTr="00BB33E2">
        <w:trPr>
          <w:trHeight w:val="20"/>
        </w:trPr>
        <w:tc>
          <w:tcPr>
            <w:tcW w:w="2789" w:type="pct"/>
            <w:tcBorders>
              <w:right w:val="single" w:sz="6" w:space="0" w:color="auto"/>
            </w:tcBorders>
          </w:tcPr>
          <w:p w:rsidR="005C15AE" w:rsidRPr="00BC5A0E" w:rsidRDefault="005C15AE" w:rsidP="00BB33E2">
            <w:pPr>
              <w:tabs>
                <w:tab w:val="left" w:leader="dot" w:pos="4730"/>
              </w:tabs>
              <w:spacing w:after="0" w:line="240" w:lineRule="auto"/>
              <w:jc w:val="both"/>
              <w:rPr>
                <w:rFonts w:ascii="Times New Roman" w:hAnsi="Times New Roman" w:cs="Times New Roman"/>
              </w:rPr>
            </w:pPr>
            <w:r w:rsidRPr="00BC5A0E">
              <w:rPr>
                <w:rFonts w:ascii="Times New Roman" w:hAnsi="Times New Roman" w:cs="Times New Roman"/>
              </w:rPr>
              <w:t>University of Sydney</w:t>
            </w:r>
            <w:r w:rsidR="00BB33E2">
              <w:rPr>
                <w:rFonts w:ascii="Times New Roman" w:hAnsi="Times New Roman" w:cs="Times New Roman"/>
              </w:rPr>
              <w:tab/>
            </w:r>
          </w:p>
        </w:tc>
        <w:tc>
          <w:tcPr>
            <w:tcW w:w="741" w:type="pct"/>
            <w:tcBorders>
              <w:left w:val="single" w:sz="6" w:space="0" w:color="auto"/>
              <w:right w:val="single" w:sz="6" w:space="0" w:color="auto"/>
            </w:tcBorders>
          </w:tcPr>
          <w:p w:rsidR="005C15AE" w:rsidRPr="00BC5A0E" w:rsidRDefault="005C15AE" w:rsidP="00CC7721">
            <w:pPr>
              <w:spacing w:after="0" w:line="240" w:lineRule="auto"/>
              <w:ind w:right="288"/>
              <w:jc w:val="right"/>
              <w:rPr>
                <w:rFonts w:ascii="Times New Roman" w:hAnsi="Times New Roman" w:cs="Times New Roman"/>
              </w:rPr>
            </w:pPr>
            <w:r w:rsidRPr="00BC5A0E">
              <w:rPr>
                <w:rFonts w:ascii="Times New Roman" w:hAnsi="Times New Roman" w:cs="Times New Roman"/>
              </w:rPr>
              <w:t>25,000</w:t>
            </w:r>
          </w:p>
        </w:tc>
        <w:tc>
          <w:tcPr>
            <w:tcW w:w="752" w:type="pct"/>
            <w:tcBorders>
              <w:left w:val="single" w:sz="6" w:space="0" w:color="auto"/>
              <w:right w:val="single" w:sz="6" w:space="0" w:color="auto"/>
            </w:tcBorders>
          </w:tcPr>
          <w:p w:rsidR="005C15AE" w:rsidRPr="00BC5A0E" w:rsidRDefault="005C15AE" w:rsidP="00CC7721">
            <w:pPr>
              <w:spacing w:after="0" w:line="240" w:lineRule="auto"/>
              <w:ind w:right="288"/>
              <w:jc w:val="right"/>
              <w:rPr>
                <w:rFonts w:ascii="Times New Roman" w:hAnsi="Times New Roman" w:cs="Times New Roman"/>
              </w:rPr>
            </w:pPr>
            <w:r w:rsidRPr="00BC5A0E">
              <w:rPr>
                <w:rFonts w:ascii="Times New Roman" w:hAnsi="Times New Roman" w:cs="Times New Roman"/>
              </w:rPr>
              <w:t>25,000</w:t>
            </w:r>
          </w:p>
        </w:tc>
        <w:tc>
          <w:tcPr>
            <w:tcW w:w="718" w:type="pct"/>
            <w:tcBorders>
              <w:left w:val="single" w:sz="6" w:space="0" w:color="auto"/>
            </w:tcBorders>
          </w:tcPr>
          <w:p w:rsidR="005C15AE" w:rsidRPr="00BC5A0E" w:rsidRDefault="005C15AE" w:rsidP="00CC7721">
            <w:pPr>
              <w:spacing w:after="0" w:line="240" w:lineRule="auto"/>
              <w:ind w:right="288"/>
              <w:jc w:val="right"/>
              <w:rPr>
                <w:rFonts w:ascii="Times New Roman" w:hAnsi="Times New Roman" w:cs="Times New Roman"/>
              </w:rPr>
            </w:pPr>
            <w:r w:rsidRPr="00BC5A0E">
              <w:rPr>
                <w:rFonts w:ascii="Times New Roman" w:hAnsi="Times New Roman" w:cs="Times New Roman"/>
              </w:rPr>
              <w:t>25,000</w:t>
            </w:r>
          </w:p>
        </w:tc>
      </w:tr>
      <w:tr w:rsidR="005C15AE" w:rsidRPr="00BC5A0E" w:rsidTr="00BB33E2">
        <w:trPr>
          <w:trHeight w:val="20"/>
        </w:trPr>
        <w:tc>
          <w:tcPr>
            <w:tcW w:w="2789" w:type="pct"/>
            <w:tcBorders>
              <w:bottom w:val="single" w:sz="6" w:space="0" w:color="auto"/>
              <w:right w:val="single" w:sz="6" w:space="0" w:color="auto"/>
            </w:tcBorders>
          </w:tcPr>
          <w:p w:rsidR="005C15AE" w:rsidRPr="00BC5A0E" w:rsidRDefault="005C15AE" w:rsidP="00BB33E2">
            <w:pPr>
              <w:tabs>
                <w:tab w:val="left" w:leader="dot" w:pos="4730"/>
              </w:tabs>
              <w:spacing w:after="0" w:line="240" w:lineRule="auto"/>
              <w:jc w:val="both"/>
              <w:rPr>
                <w:rFonts w:ascii="Times New Roman" w:hAnsi="Times New Roman" w:cs="Times New Roman"/>
              </w:rPr>
            </w:pPr>
            <w:r w:rsidRPr="00BC5A0E">
              <w:rPr>
                <w:rFonts w:ascii="Times New Roman" w:hAnsi="Times New Roman" w:cs="Times New Roman"/>
              </w:rPr>
              <w:t>University of Melbourne</w:t>
            </w:r>
            <w:r w:rsidR="00BB33E2">
              <w:rPr>
                <w:rFonts w:ascii="Times New Roman" w:hAnsi="Times New Roman" w:cs="Times New Roman"/>
              </w:rPr>
              <w:tab/>
            </w:r>
          </w:p>
        </w:tc>
        <w:tc>
          <w:tcPr>
            <w:tcW w:w="741" w:type="pct"/>
            <w:tcBorders>
              <w:left w:val="single" w:sz="6" w:space="0" w:color="auto"/>
              <w:bottom w:val="single" w:sz="6" w:space="0" w:color="auto"/>
              <w:right w:val="single" w:sz="6" w:space="0" w:color="auto"/>
            </w:tcBorders>
          </w:tcPr>
          <w:p w:rsidR="005C15AE" w:rsidRPr="00BC5A0E" w:rsidRDefault="005C15AE" w:rsidP="00CC7721">
            <w:pPr>
              <w:spacing w:after="120" w:line="240" w:lineRule="auto"/>
              <w:ind w:right="288"/>
              <w:jc w:val="right"/>
              <w:rPr>
                <w:rFonts w:ascii="Times New Roman" w:hAnsi="Times New Roman" w:cs="Times New Roman"/>
              </w:rPr>
            </w:pPr>
            <w:r w:rsidRPr="00BC5A0E">
              <w:rPr>
                <w:rFonts w:ascii="Times New Roman" w:hAnsi="Times New Roman" w:cs="Times New Roman"/>
              </w:rPr>
              <w:t>40,000</w:t>
            </w:r>
          </w:p>
        </w:tc>
        <w:tc>
          <w:tcPr>
            <w:tcW w:w="752" w:type="pct"/>
            <w:tcBorders>
              <w:left w:val="single" w:sz="6" w:space="0" w:color="auto"/>
              <w:bottom w:val="single" w:sz="6" w:space="0" w:color="auto"/>
              <w:right w:val="single" w:sz="6" w:space="0" w:color="auto"/>
            </w:tcBorders>
          </w:tcPr>
          <w:p w:rsidR="005C15AE" w:rsidRPr="00BC5A0E" w:rsidRDefault="005C15AE" w:rsidP="00CC7721">
            <w:pPr>
              <w:spacing w:after="120" w:line="240" w:lineRule="auto"/>
              <w:ind w:right="288"/>
              <w:jc w:val="right"/>
              <w:rPr>
                <w:rFonts w:ascii="Times New Roman" w:hAnsi="Times New Roman" w:cs="Times New Roman"/>
              </w:rPr>
            </w:pPr>
            <w:r w:rsidRPr="00BC5A0E">
              <w:rPr>
                <w:rFonts w:ascii="Times New Roman" w:hAnsi="Times New Roman" w:cs="Times New Roman"/>
              </w:rPr>
              <w:t>100,000</w:t>
            </w:r>
          </w:p>
        </w:tc>
        <w:tc>
          <w:tcPr>
            <w:tcW w:w="718" w:type="pct"/>
            <w:tcBorders>
              <w:left w:val="single" w:sz="6" w:space="0" w:color="auto"/>
              <w:bottom w:val="single" w:sz="6" w:space="0" w:color="auto"/>
            </w:tcBorders>
          </w:tcPr>
          <w:p w:rsidR="005C15AE" w:rsidRPr="00BC5A0E" w:rsidRDefault="005C15AE" w:rsidP="00B16420">
            <w:pPr>
              <w:spacing w:after="120" w:line="240" w:lineRule="auto"/>
              <w:ind w:right="144"/>
              <w:jc w:val="right"/>
              <w:rPr>
                <w:rFonts w:ascii="Times New Roman" w:hAnsi="Times New Roman" w:cs="Times New Roman"/>
              </w:rPr>
            </w:pPr>
            <w:r w:rsidRPr="00BC5A0E">
              <w:rPr>
                <w:rFonts w:ascii="Times New Roman" w:hAnsi="Times New Roman" w:cs="Times New Roman"/>
              </w:rPr>
              <w:t>100,000</w:t>
            </w:r>
            <w:r w:rsidR="00BC5A0E" w:rsidRPr="00BC5A0E">
              <w:rPr>
                <w:rFonts w:ascii="Times New Roman" w:hAnsi="Times New Roman" w:cs="Times New Roman"/>
              </w:rPr>
              <w:t>”</w:t>
            </w:r>
            <w:r w:rsidRPr="00BC5A0E">
              <w:rPr>
                <w:rFonts w:ascii="Times New Roman" w:hAnsi="Times New Roman" w:cs="Times New Roman"/>
              </w:rPr>
              <w:t>.</w:t>
            </w:r>
          </w:p>
        </w:tc>
      </w:tr>
    </w:tbl>
    <w:p w:rsidR="005C15AE" w:rsidRPr="00BC5A0E" w:rsidRDefault="005C15AE" w:rsidP="00C8046A">
      <w:pPr>
        <w:pBdr>
          <w:bottom w:val="single" w:sz="8" w:space="1" w:color="auto"/>
        </w:pBdr>
        <w:spacing w:before="3000" w:after="0" w:line="240" w:lineRule="auto"/>
        <w:ind w:left="3456" w:right="3456"/>
        <w:jc w:val="both"/>
        <w:rPr>
          <w:rFonts w:ascii="Times New Roman" w:hAnsi="Times New Roman" w:cs="Times New Roman"/>
        </w:rPr>
      </w:pPr>
    </w:p>
    <w:sectPr w:rsidR="005C15AE" w:rsidRPr="00BC5A0E" w:rsidSect="00F50C5F">
      <w:headerReference w:type="even" r:id="rId8"/>
      <w:headerReference w:type="default" r:id="rId9"/>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912" w:rsidRDefault="00410912" w:rsidP="00601202">
      <w:pPr>
        <w:spacing w:after="0" w:line="240" w:lineRule="auto"/>
      </w:pPr>
      <w:r>
        <w:separator/>
      </w:r>
    </w:p>
  </w:endnote>
  <w:endnote w:type="continuationSeparator" w:id="0">
    <w:p w:rsidR="00410912" w:rsidRDefault="00410912" w:rsidP="00601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912" w:rsidRDefault="00410912" w:rsidP="00601202">
      <w:pPr>
        <w:spacing w:after="0" w:line="240" w:lineRule="auto"/>
      </w:pPr>
      <w:r>
        <w:separator/>
      </w:r>
    </w:p>
  </w:footnote>
  <w:footnote w:type="continuationSeparator" w:id="0">
    <w:p w:rsidR="00410912" w:rsidRDefault="00410912" w:rsidP="006012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202" w:rsidRPr="00601202" w:rsidRDefault="00601202" w:rsidP="00052CC4">
    <w:pPr>
      <w:pStyle w:val="Header"/>
      <w:tabs>
        <w:tab w:val="clear" w:pos="4680"/>
        <w:tab w:val="clear" w:pos="9360"/>
      </w:tabs>
      <w:ind w:right="29"/>
      <w:rPr>
        <w:rFonts w:ascii="Times New Roman" w:hAnsi="Times New Roman"/>
        <w:sz w:val="20"/>
      </w:rPr>
    </w:pPr>
    <w:r w:rsidRPr="00601202">
      <w:rPr>
        <w:rFonts w:ascii="Times New Roman" w:hAnsi="Times New Roman"/>
        <w:sz w:val="20"/>
      </w:rPr>
      <w:t>1973</w:t>
    </w:r>
    <w:r w:rsidRPr="00601202">
      <w:rPr>
        <w:rFonts w:ascii="Times New Roman" w:hAnsi="Times New Roman"/>
        <w:sz w:val="20"/>
      </w:rPr>
      <w:ptab w:relativeTo="margin" w:alignment="center" w:leader="none"/>
    </w:r>
    <w:r w:rsidRPr="00601202">
      <w:rPr>
        <w:rFonts w:ascii="Times New Roman" w:hAnsi="Times New Roman" w:cs="Times New Roman"/>
        <w:i/>
        <w:sz w:val="20"/>
      </w:rPr>
      <w:t>States Grants</w:t>
    </w:r>
    <w:r w:rsidRPr="00601202">
      <w:rPr>
        <w:rFonts w:ascii="Times New Roman" w:hAnsi="Times New Roman" w:cs="Times New Roman"/>
        <w:sz w:val="20"/>
      </w:rPr>
      <w:t xml:space="preserve"> (</w:t>
    </w:r>
    <w:r w:rsidRPr="00601202">
      <w:rPr>
        <w:rFonts w:ascii="Times New Roman" w:hAnsi="Times New Roman" w:cs="Times New Roman"/>
        <w:i/>
        <w:sz w:val="20"/>
      </w:rPr>
      <w:t>Universities</w:t>
    </w:r>
    <w:r w:rsidRPr="00601202">
      <w:rPr>
        <w:rFonts w:ascii="Times New Roman" w:hAnsi="Times New Roman" w:cs="Times New Roman"/>
        <w:sz w:val="20"/>
      </w:rPr>
      <w:t>) (</w:t>
    </w:r>
    <w:r w:rsidRPr="00601202">
      <w:rPr>
        <w:rFonts w:ascii="Times New Roman" w:hAnsi="Times New Roman" w:cs="Times New Roman"/>
        <w:i/>
        <w:sz w:val="20"/>
      </w:rPr>
      <w:t xml:space="preserve">No. </w:t>
    </w:r>
    <w:r w:rsidRPr="00601202">
      <w:rPr>
        <w:rFonts w:ascii="Times New Roman" w:hAnsi="Times New Roman" w:cs="Times New Roman"/>
        <w:sz w:val="20"/>
      </w:rPr>
      <w:t>2)</w:t>
    </w:r>
    <w:r w:rsidRPr="00601202">
      <w:rPr>
        <w:rFonts w:ascii="Times New Roman" w:hAnsi="Times New Roman"/>
        <w:sz w:val="20"/>
      </w:rPr>
      <w:ptab w:relativeTo="margin" w:alignment="right" w:leader="none"/>
    </w:r>
    <w:r w:rsidRPr="00601202">
      <w:rPr>
        <w:rFonts w:ascii="Times New Roman" w:hAnsi="Times New Roman"/>
        <w:sz w:val="20"/>
      </w:rPr>
      <w:t>No. 60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202" w:rsidRPr="00601202" w:rsidRDefault="00601202" w:rsidP="00C85E19">
    <w:pPr>
      <w:pStyle w:val="Header"/>
      <w:tabs>
        <w:tab w:val="clear" w:pos="4680"/>
        <w:tab w:val="clear" w:pos="9360"/>
      </w:tabs>
      <w:ind w:right="29"/>
      <w:rPr>
        <w:rFonts w:ascii="Times New Roman" w:hAnsi="Times New Roman"/>
        <w:sz w:val="20"/>
      </w:rPr>
    </w:pPr>
    <w:r w:rsidRPr="00601202">
      <w:rPr>
        <w:rFonts w:ascii="Times New Roman" w:hAnsi="Times New Roman"/>
        <w:sz w:val="20"/>
      </w:rPr>
      <w:t>No. 60</w:t>
    </w:r>
    <w:r w:rsidRPr="00601202">
      <w:rPr>
        <w:rFonts w:ascii="Times New Roman" w:hAnsi="Times New Roman"/>
        <w:sz w:val="20"/>
      </w:rPr>
      <w:ptab w:relativeTo="margin" w:alignment="center" w:leader="none"/>
    </w:r>
    <w:r w:rsidRPr="00601202">
      <w:rPr>
        <w:rFonts w:ascii="Times New Roman" w:hAnsi="Times New Roman" w:cs="Times New Roman"/>
        <w:i/>
        <w:sz w:val="20"/>
      </w:rPr>
      <w:t>States Grants</w:t>
    </w:r>
    <w:r w:rsidRPr="00601202">
      <w:rPr>
        <w:rFonts w:ascii="Times New Roman" w:hAnsi="Times New Roman" w:cs="Times New Roman"/>
        <w:sz w:val="20"/>
      </w:rPr>
      <w:t xml:space="preserve"> (</w:t>
    </w:r>
    <w:r w:rsidRPr="00601202">
      <w:rPr>
        <w:rFonts w:ascii="Times New Roman" w:hAnsi="Times New Roman" w:cs="Times New Roman"/>
        <w:i/>
        <w:sz w:val="20"/>
      </w:rPr>
      <w:t>Universities</w:t>
    </w:r>
    <w:r w:rsidRPr="00601202">
      <w:rPr>
        <w:rFonts w:ascii="Times New Roman" w:hAnsi="Times New Roman" w:cs="Times New Roman"/>
        <w:sz w:val="20"/>
      </w:rPr>
      <w:t>) (</w:t>
    </w:r>
    <w:r w:rsidRPr="00601202">
      <w:rPr>
        <w:rFonts w:ascii="Times New Roman" w:hAnsi="Times New Roman" w:cs="Times New Roman"/>
        <w:i/>
        <w:sz w:val="20"/>
      </w:rPr>
      <w:t xml:space="preserve">No. </w:t>
    </w:r>
    <w:r w:rsidRPr="00601202">
      <w:rPr>
        <w:rFonts w:ascii="Times New Roman" w:hAnsi="Times New Roman" w:cs="Times New Roman"/>
        <w:sz w:val="20"/>
      </w:rPr>
      <w:t>2)</w:t>
    </w:r>
    <w:r w:rsidRPr="00601202">
      <w:rPr>
        <w:rFonts w:ascii="Times New Roman" w:hAnsi="Times New Roman"/>
        <w:sz w:val="20"/>
      </w:rPr>
      <w:ptab w:relativeTo="margin" w:alignment="right" w:leader="none"/>
    </w:r>
    <w:r w:rsidRPr="00601202">
      <w:rPr>
        <w:rFonts w:ascii="Times New Roman" w:hAnsi="Times New Roman"/>
        <w:sz w:val="20"/>
      </w:rPr>
      <w:t>1973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2"/>
  </w:compat>
  <w:rsids>
    <w:rsidRoot w:val="005C15AE"/>
    <w:rsid w:val="00014950"/>
    <w:rsid w:val="00037A18"/>
    <w:rsid w:val="00052CC4"/>
    <w:rsid w:val="00132005"/>
    <w:rsid w:val="00141C60"/>
    <w:rsid w:val="00150C11"/>
    <w:rsid w:val="00222E59"/>
    <w:rsid w:val="002A282B"/>
    <w:rsid w:val="002D386F"/>
    <w:rsid w:val="002E162B"/>
    <w:rsid w:val="00410912"/>
    <w:rsid w:val="005C15AE"/>
    <w:rsid w:val="00601202"/>
    <w:rsid w:val="00771C52"/>
    <w:rsid w:val="008C3BE9"/>
    <w:rsid w:val="00A52B0D"/>
    <w:rsid w:val="00B16420"/>
    <w:rsid w:val="00B23B93"/>
    <w:rsid w:val="00B82F3F"/>
    <w:rsid w:val="00BB33E2"/>
    <w:rsid w:val="00BC5A0E"/>
    <w:rsid w:val="00C8046A"/>
    <w:rsid w:val="00C85E19"/>
    <w:rsid w:val="00CC7721"/>
    <w:rsid w:val="00D764DD"/>
    <w:rsid w:val="00F50C5F"/>
    <w:rsid w:val="00F572C9"/>
    <w:rsid w:val="00FA6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C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rsid w:val="005C15AE"/>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5C15AE"/>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5C15AE"/>
    <w:pPr>
      <w:spacing w:after="0" w:line="240" w:lineRule="auto"/>
    </w:pPr>
    <w:rPr>
      <w:rFonts w:ascii="Times New Roman" w:eastAsia="Times New Roman" w:hAnsi="Times New Roman" w:cs="Times New Roman"/>
      <w:sz w:val="20"/>
      <w:szCs w:val="20"/>
    </w:rPr>
  </w:style>
  <w:style w:type="paragraph" w:customStyle="1" w:styleId="Style807">
    <w:name w:val="Style807"/>
    <w:basedOn w:val="Normal"/>
    <w:rsid w:val="005C15AE"/>
    <w:pPr>
      <w:spacing w:after="0" w:line="240" w:lineRule="auto"/>
    </w:pPr>
    <w:rPr>
      <w:rFonts w:ascii="Times New Roman" w:eastAsia="Times New Roman" w:hAnsi="Times New Roman" w:cs="Times New Roman"/>
      <w:sz w:val="20"/>
      <w:szCs w:val="20"/>
    </w:rPr>
  </w:style>
  <w:style w:type="paragraph" w:customStyle="1" w:styleId="Style725">
    <w:name w:val="Style725"/>
    <w:basedOn w:val="Normal"/>
    <w:rsid w:val="005C15AE"/>
    <w:pPr>
      <w:spacing w:after="0" w:line="240" w:lineRule="auto"/>
    </w:pPr>
    <w:rPr>
      <w:rFonts w:ascii="Times New Roman" w:eastAsia="Times New Roman" w:hAnsi="Times New Roman" w:cs="Times New Roman"/>
      <w:sz w:val="20"/>
      <w:szCs w:val="20"/>
    </w:rPr>
  </w:style>
  <w:style w:type="paragraph" w:customStyle="1" w:styleId="Style762">
    <w:name w:val="Style762"/>
    <w:basedOn w:val="Normal"/>
    <w:rsid w:val="005C15AE"/>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5C15AE"/>
    <w:pPr>
      <w:spacing w:after="0" w:line="240" w:lineRule="auto"/>
    </w:pPr>
    <w:rPr>
      <w:rFonts w:ascii="Times New Roman" w:eastAsia="Times New Roman" w:hAnsi="Times New Roman" w:cs="Times New Roman"/>
      <w:sz w:val="20"/>
      <w:szCs w:val="20"/>
    </w:rPr>
  </w:style>
  <w:style w:type="paragraph" w:customStyle="1" w:styleId="Style452">
    <w:name w:val="Style452"/>
    <w:basedOn w:val="Normal"/>
    <w:rsid w:val="005C15AE"/>
    <w:pPr>
      <w:spacing w:after="0" w:line="240" w:lineRule="auto"/>
    </w:pPr>
    <w:rPr>
      <w:rFonts w:ascii="Times New Roman" w:eastAsia="Times New Roman" w:hAnsi="Times New Roman" w:cs="Times New Roman"/>
      <w:sz w:val="20"/>
      <w:szCs w:val="20"/>
    </w:rPr>
  </w:style>
  <w:style w:type="paragraph" w:customStyle="1" w:styleId="Style81">
    <w:name w:val="Style81"/>
    <w:basedOn w:val="Normal"/>
    <w:rsid w:val="005C15AE"/>
    <w:pPr>
      <w:spacing w:after="0" w:line="240" w:lineRule="auto"/>
    </w:pPr>
    <w:rPr>
      <w:rFonts w:ascii="Times New Roman" w:eastAsia="Times New Roman" w:hAnsi="Times New Roman" w:cs="Times New Roman"/>
      <w:sz w:val="20"/>
      <w:szCs w:val="20"/>
    </w:rPr>
  </w:style>
  <w:style w:type="paragraph" w:customStyle="1" w:styleId="Style79">
    <w:name w:val="Style79"/>
    <w:basedOn w:val="Normal"/>
    <w:rsid w:val="005C15AE"/>
    <w:pPr>
      <w:spacing w:after="0" w:line="240" w:lineRule="auto"/>
    </w:pPr>
    <w:rPr>
      <w:rFonts w:ascii="Times New Roman" w:eastAsia="Times New Roman" w:hAnsi="Times New Roman" w:cs="Times New Roman"/>
      <w:sz w:val="20"/>
      <w:szCs w:val="20"/>
    </w:rPr>
  </w:style>
  <w:style w:type="paragraph" w:customStyle="1" w:styleId="Style231">
    <w:name w:val="Style231"/>
    <w:basedOn w:val="Normal"/>
    <w:rsid w:val="005C15AE"/>
    <w:pPr>
      <w:spacing w:after="0" w:line="240" w:lineRule="auto"/>
    </w:pPr>
    <w:rPr>
      <w:rFonts w:ascii="Times New Roman" w:eastAsia="Times New Roman" w:hAnsi="Times New Roman" w:cs="Times New Roman"/>
      <w:sz w:val="20"/>
      <w:szCs w:val="20"/>
    </w:rPr>
  </w:style>
  <w:style w:type="paragraph" w:customStyle="1" w:styleId="Style784">
    <w:name w:val="Style784"/>
    <w:basedOn w:val="Normal"/>
    <w:rsid w:val="005C15AE"/>
    <w:pPr>
      <w:spacing w:after="0" w:line="240" w:lineRule="auto"/>
    </w:pPr>
    <w:rPr>
      <w:rFonts w:ascii="Times New Roman" w:eastAsia="Times New Roman" w:hAnsi="Times New Roman" w:cs="Times New Roman"/>
      <w:sz w:val="20"/>
      <w:szCs w:val="20"/>
    </w:rPr>
  </w:style>
  <w:style w:type="paragraph" w:customStyle="1" w:styleId="Style366">
    <w:name w:val="Style366"/>
    <w:basedOn w:val="Normal"/>
    <w:rsid w:val="005C15AE"/>
    <w:pPr>
      <w:spacing w:after="0" w:line="240" w:lineRule="auto"/>
    </w:pPr>
    <w:rPr>
      <w:rFonts w:ascii="Times New Roman" w:eastAsia="Times New Roman" w:hAnsi="Times New Roman" w:cs="Times New Roman"/>
      <w:sz w:val="20"/>
      <w:szCs w:val="20"/>
    </w:rPr>
  </w:style>
  <w:style w:type="paragraph" w:customStyle="1" w:styleId="Style344">
    <w:name w:val="Style344"/>
    <w:basedOn w:val="Normal"/>
    <w:rsid w:val="005C15AE"/>
    <w:pPr>
      <w:spacing w:after="0" w:line="240" w:lineRule="auto"/>
    </w:pPr>
    <w:rPr>
      <w:rFonts w:ascii="Times New Roman" w:eastAsia="Times New Roman" w:hAnsi="Times New Roman" w:cs="Times New Roman"/>
      <w:sz w:val="20"/>
      <w:szCs w:val="20"/>
    </w:rPr>
  </w:style>
  <w:style w:type="paragraph" w:customStyle="1" w:styleId="Style788">
    <w:name w:val="Style788"/>
    <w:basedOn w:val="Normal"/>
    <w:rsid w:val="005C15AE"/>
    <w:pPr>
      <w:spacing w:after="0" w:line="240" w:lineRule="auto"/>
    </w:pPr>
    <w:rPr>
      <w:rFonts w:ascii="Times New Roman" w:eastAsia="Times New Roman" w:hAnsi="Times New Roman" w:cs="Times New Roman"/>
      <w:sz w:val="20"/>
      <w:szCs w:val="20"/>
    </w:rPr>
  </w:style>
  <w:style w:type="paragraph" w:customStyle="1" w:styleId="Style691">
    <w:name w:val="Style691"/>
    <w:basedOn w:val="Normal"/>
    <w:rsid w:val="005C15AE"/>
    <w:pPr>
      <w:spacing w:after="0" w:line="240" w:lineRule="auto"/>
    </w:pPr>
    <w:rPr>
      <w:rFonts w:ascii="Times New Roman" w:eastAsia="Times New Roman" w:hAnsi="Times New Roman" w:cs="Times New Roman"/>
      <w:sz w:val="20"/>
      <w:szCs w:val="20"/>
    </w:rPr>
  </w:style>
  <w:style w:type="paragraph" w:customStyle="1" w:styleId="Style136">
    <w:name w:val="Style136"/>
    <w:basedOn w:val="Normal"/>
    <w:rsid w:val="005C15AE"/>
    <w:pPr>
      <w:spacing w:after="0" w:line="240" w:lineRule="auto"/>
    </w:pPr>
    <w:rPr>
      <w:rFonts w:ascii="Times New Roman" w:eastAsia="Times New Roman" w:hAnsi="Times New Roman" w:cs="Times New Roman"/>
      <w:sz w:val="20"/>
      <w:szCs w:val="20"/>
    </w:rPr>
  </w:style>
  <w:style w:type="paragraph" w:customStyle="1" w:styleId="Style795">
    <w:name w:val="Style795"/>
    <w:basedOn w:val="Normal"/>
    <w:rsid w:val="005C15AE"/>
    <w:pPr>
      <w:spacing w:after="0" w:line="240" w:lineRule="auto"/>
    </w:pPr>
    <w:rPr>
      <w:rFonts w:ascii="Times New Roman" w:eastAsia="Times New Roman" w:hAnsi="Times New Roman" w:cs="Times New Roman"/>
      <w:sz w:val="20"/>
      <w:szCs w:val="20"/>
    </w:rPr>
  </w:style>
  <w:style w:type="paragraph" w:customStyle="1" w:styleId="Style138">
    <w:name w:val="Style138"/>
    <w:basedOn w:val="Normal"/>
    <w:rsid w:val="005C15AE"/>
    <w:pPr>
      <w:spacing w:after="0" w:line="240" w:lineRule="auto"/>
    </w:pPr>
    <w:rPr>
      <w:rFonts w:ascii="Times New Roman" w:eastAsia="Times New Roman" w:hAnsi="Times New Roman" w:cs="Times New Roman"/>
      <w:sz w:val="20"/>
      <w:szCs w:val="20"/>
    </w:rPr>
  </w:style>
  <w:style w:type="paragraph" w:customStyle="1" w:styleId="Style139">
    <w:name w:val="Style139"/>
    <w:basedOn w:val="Normal"/>
    <w:rsid w:val="005C15AE"/>
    <w:pPr>
      <w:spacing w:after="0" w:line="240" w:lineRule="auto"/>
    </w:pPr>
    <w:rPr>
      <w:rFonts w:ascii="Times New Roman" w:eastAsia="Times New Roman" w:hAnsi="Times New Roman" w:cs="Times New Roman"/>
      <w:sz w:val="20"/>
      <w:szCs w:val="20"/>
    </w:rPr>
  </w:style>
  <w:style w:type="paragraph" w:customStyle="1" w:styleId="Style794">
    <w:name w:val="Style794"/>
    <w:basedOn w:val="Normal"/>
    <w:rsid w:val="005C15AE"/>
    <w:pPr>
      <w:spacing w:after="0" w:line="240" w:lineRule="auto"/>
    </w:pPr>
    <w:rPr>
      <w:rFonts w:ascii="Times New Roman" w:eastAsia="Times New Roman" w:hAnsi="Times New Roman" w:cs="Times New Roman"/>
      <w:sz w:val="20"/>
      <w:szCs w:val="20"/>
    </w:rPr>
  </w:style>
  <w:style w:type="paragraph" w:customStyle="1" w:styleId="Style657">
    <w:name w:val="Style657"/>
    <w:basedOn w:val="Normal"/>
    <w:rsid w:val="005C15AE"/>
    <w:pPr>
      <w:spacing w:after="0" w:line="240" w:lineRule="auto"/>
    </w:pPr>
    <w:rPr>
      <w:rFonts w:ascii="Times New Roman" w:eastAsia="Times New Roman" w:hAnsi="Times New Roman" w:cs="Times New Roman"/>
      <w:sz w:val="20"/>
      <w:szCs w:val="20"/>
    </w:rPr>
  </w:style>
  <w:style w:type="character" w:customStyle="1" w:styleId="CharStyle17">
    <w:name w:val="CharStyle17"/>
    <w:basedOn w:val="DefaultParagraphFont"/>
    <w:rsid w:val="005C15AE"/>
    <w:rPr>
      <w:rFonts w:ascii="Times New Roman" w:eastAsia="Times New Roman" w:hAnsi="Times New Roman" w:cs="Times New Roman"/>
      <w:b/>
      <w:bCs/>
      <w:i w:val="0"/>
      <w:iCs w:val="0"/>
      <w:smallCaps w:val="0"/>
      <w:sz w:val="12"/>
      <w:szCs w:val="12"/>
    </w:rPr>
  </w:style>
  <w:style w:type="character" w:customStyle="1" w:styleId="CharStyle102">
    <w:name w:val="CharStyle102"/>
    <w:basedOn w:val="DefaultParagraphFont"/>
    <w:rsid w:val="005C15AE"/>
    <w:rPr>
      <w:rFonts w:ascii="Times New Roman" w:eastAsia="Times New Roman" w:hAnsi="Times New Roman" w:cs="Times New Roman"/>
      <w:b/>
      <w:bCs/>
      <w:i w:val="0"/>
      <w:iCs w:val="0"/>
      <w:smallCaps/>
      <w:sz w:val="18"/>
      <w:szCs w:val="18"/>
    </w:rPr>
  </w:style>
  <w:style w:type="character" w:customStyle="1" w:styleId="CharStyle126">
    <w:name w:val="CharStyle126"/>
    <w:basedOn w:val="DefaultParagraphFont"/>
    <w:rsid w:val="005C15AE"/>
    <w:rPr>
      <w:rFonts w:ascii="Times New Roman" w:eastAsia="Times New Roman" w:hAnsi="Times New Roman" w:cs="Times New Roman"/>
      <w:b w:val="0"/>
      <w:bCs w:val="0"/>
      <w:i w:val="0"/>
      <w:iCs w:val="0"/>
      <w:smallCaps w:val="0"/>
      <w:sz w:val="20"/>
      <w:szCs w:val="20"/>
    </w:rPr>
  </w:style>
  <w:style w:type="character" w:customStyle="1" w:styleId="CharStyle127">
    <w:name w:val="CharStyle127"/>
    <w:basedOn w:val="DefaultParagraphFont"/>
    <w:rsid w:val="005C15AE"/>
    <w:rPr>
      <w:rFonts w:ascii="Times New Roman" w:eastAsia="Times New Roman" w:hAnsi="Times New Roman" w:cs="Times New Roman"/>
      <w:b w:val="0"/>
      <w:bCs w:val="0"/>
      <w:i/>
      <w:iCs/>
      <w:smallCaps w:val="0"/>
      <w:sz w:val="20"/>
      <w:szCs w:val="20"/>
    </w:rPr>
  </w:style>
  <w:style w:type="character" w:customStyle="1" w:styleId="CharStyle178">
    <w:name w:val="CharStyle178"/>
    <w:basedOn w:val="DefaultParagraphFont"/>
    <w:rsid w:val="005C15AE"/>
    <w:rPr>
      <w:rFonts w:ascii="Times New Roman" w:eastAsia="Times New Roman" w:hAnsi="Times New Roman" w:cs="Times New Roman"/>
      <w:b w:val="0"/>
      <w:bCs w:val="0"/>
      <w:i w:val="0"/>
      <w:iCs w:val="0"/>
      <w:smallCaps w:val="0"/>
      <w:sz w:val="16"/>
      <w:szCs w:val="16"/>
    </w:rPr>
  </w:style>
  <w:style w:type="character" w:customStyle="1" w:styleId="CharStyle185">
    <w:name w:val="CharStyle185"/>
    <w:basedOn w:val="DefaultParagraphFont"/>
    <w:rsid w:val="005C15AE"/>
    <w:rPr>
      <w:rFonts w:ascii="Times New Roman" w:eastAsia="Times New Roman" w:hAnsi="Times New Roman" w:cs="Times New Roman"/>
      <w:b/>
      <w:bCs/>
      <w:i w:val="0"/>
      <w:iCs w:val="0"/>
      <w:smallCaps w:val="0"/>
      <w:sz w:val="24"/>
      <w:szCs w:val="24"/>
    </w:rPr>
  </w:style>
  <w:style w:type="character" w:customStyle="1" w:styleId="CharStyle236">
    <w:name w:val="CharStyle236"/>
    <w:basedOn w:val="DefaultParagraphFont"/>
    <w:rsid w:val="005C15AE"/>
    <w:rPr>
      <w:rFonts w:ascii="Times New Roman" w:eastAsia="Times New Roman" w:hAnsi="Times New Roman" w:cs="Times New Roman"/>
      <w:b/>
      <w:bCs/>
      <w:i w:val="0"/>
      <w:iCs w:val="0"/>
      <w:smallCaps w:val="0"/>
      <w:sz w:val="20"/>
      <w:szCs w:val="20"/>
    </w:rPr>
  </w:style>
  <w:style w:type="character" w:customStyle="1" w:styleId="CharStyle280">
    <w:name w:val="CharStyle280"/>
    <w:basedOn w:val="DefaultParagraphFont"/>
    <w:rsid w:val="005C15AE"/>
    <w:rPr>
      <w:rFonts w:ascii="Times New Roman" w:eastAsia="Times New Roman" w:hAnsi="Times New Roman" w:cs="Times New Roman"/>
      <w:b/>
      <w:bCs/>
      <w:i w:val="0"/>
      <w:iCs w:val="0"/>
      <w:smallCaps w:val="0"/>
      <w:sz w:val="20"/>
      <w:szCs w:val="20"/>
    </w:rPr>
  </w:style>
  <w:style w:type="character" w:customStyle="1" w:styleId="CharStyle281">
    <w:name w:val="CharStyle281"/>
    <w:basedOn w:val="DefaultParagraphFont"/>
    <w:rsid w:val="005C15AE"/>
    <w:rPr>
      <w:rFonts w:ascii="Times New Roman" w:eastAsia="Times New Roman" w:hAnsi="Times New Roman" w:cs="Times New Roman"/>
      <w:b/>
      <w:bCs/>
      <w:i w:val="0"/>
      <w:iCs w:val="0"/>
      <w:smallCaps w:val="0"/>
      <w:sz w:val="16"/>
      <w:szCs w:val="16"/>
    </w:rPr>
  </w:style>
  <w:style w:type="character" w:customStyle="1" w:styleId="CharStyle337">
    <w:name w:val="CharStyle337"/>
    <w:basedOn w:val="DefaultParagraphFont"/>
    <w:rsid w:val="005C15AE"/>
    <w:rPr>
      <w:rFonts w:ascii="Times New Roman" w:eastAsia="Times New Roman" w:hAnsi="Times New Roman" w:cs="Times New Roman"/>
      <w:b/>
      <w:bCs/>
      <w:i/>
      <w:iCs/>
      <w:smallCaps w:val="0"/>
      <w:sz w:val="20"/>
      <w:szCs w:val="20"/>
    </w:rPr>
  </w:style>
  <w:style w:type="character" w:customStyle="1" w:styleId="CharStyle345">
    <w:name w:val="CharStyle345"/>
    <w:basedOn w:val="DefaultParagraphFont"/>
    <w:rsid w:val="005C15AE"/>
    <w:rPr>
      <w:rFonts w:ascii="Times New Roman" w:eastAsia="Times New Roman" w:hAnsi="Times New Roman" w:cs="Times New Roman"/>
      <w:b w:val="0"/>
      <w:bCs w:val="0"/>
      <w:i w:val="0"/>
      <w:iCs w:val="0"/>
      <w:smallCaps w:val="0"/>
      <w:sz w:val="32"/>
      <w:szCs w:val="32"/>
    </w:rPr>
  </w:style>
  <w:style w:type="character" w:customStyle="1" w:styleId="CharStyle407">
    <w:name w:val="CharStyle407"/>
    <w:basedOn w:val="DefaultParagraphFont"/>
    <w:rsid w:val="005C15AE"/>
    <w:rPr>
      <w:rFonts w:ascii="Times New Roman" w:eastAsia="Times New Roman" w:hAnsi="Times New Roman" w:cs="Times New Roman"/>
      <w:b/>
      <w:bCs/>
      <w:i w:val="0"/>
      <w:iCs w:val="0"/>
      <w:smallCaps w:val="0"/>
      <w:sz w:val="16"/>
      <w:szCs w:val="16"/>
    </w:rPr>
  </w:style>
  <w:style w:type="character" w:customStyle="1" w:styleId="CharStyle411">
    <w:name w:val="CharStyle411"/>
    <w:basedOn w:val="DefaultParagraphFont"/>
    <w:rsid w:val="005C15AE"/>
    <w:rPr>
      <w:rFonts w:ascii="Times New Roman" w:eastAsia="Times New Roman" w:hAnsi="Times New Roman" w:cs="Times New Roman"/>
      <w:b/>
      <w:bCs/>
      <w:i w:val="0"/>
      <w:iCs w:val="0"/>
      <w:smallCaps w:val="0"/>
      <w:sz w:val="14"/>
      <w:szCs w:val="14"/>
    </w:rPr>
  </w:style>
  <w:style w:type="character" w:customStyle="1" w:styleId="CharStyle455">
    <w:name w:val="CharStyle455"/>
    <w:basedOn w:val="DefaultParagraphFont"/>
    <w:rsid w:val="005C15AE"/>
    <w:rPr>
      <w:rFonts w:ascii="Times New Roman" w:eastAsia="Times New Roman" w:hAnsi="Times New Roman" w:cs="Times New Roman"/>
      <w:b/>
      <w:bCs/>
      <w:i w:val="0"/>
      <w:iCs w:val="0"/>
      <w:smallCaps w:val="0"/>
      <w:spacing w:val="-10"/>
      <w:sz w:val="24"/>
      <w:szCs w:val="24"/>
    </w:rPr>
  </w:style>
  <w:style w:type="character" w:customStyle="1" w:styleId="CharStyle490">
    <w:name w:val="CharStyle490"/>
    <w:basedOn w:val="DefaultParagraphFont"/>
    <w:rsid w:val="005C15AE"/>
    <w:rPr>
      <w:rFonts w:ascii="Times New Roman" w:eastAsia="Times New Roman" w:hAnsi="Times New Roman" w:cs="Times New Roman"/>
      <w:b w:val="0"/>
      <w:bCs w:val="0"/>
      <w:i w:val="0"/>
      <w:iCs w:val="0"/>
      <w:smallCaps w:val="0"/>
      <w:sz w:val="14"/>
      <w:szCs w:val="14"/>
    </w:rPr>
  </w:style>
  <w:style w:type="character" w:customStyle="1" w:styleId="CharStyle499">
    <w:name w:val="CharStyle499"/>
    <w:basedOn w:val="DefaultParagraphFont"/>
    <w:rsid w:val="005C15AE"/>
    <w:rPr>
      <w:rFonts w:ascii="Times New Roman" w:eastAsia="Times New Roman" w:hAnsi="Times New Roman" w:cs="Times New Roman"/>
      <w:b w:val="0"/>
      <w:bCs w:val="0"/>
      <w:i w:val="0"/>
      <w:iCs w:val="0"/>
      <w:smallCaps w:val="0"/>
      <w:sz w:val="20"/>
      <w:szCs w:val="20"/>
    </w:rPr>
  </w:style>
  <w:style w:type="character" w:customStyle="1" w:styleId="CharStyle508">
    <w:name w:val="CharStyle508"/>
    <w:basedOn w:val="DefaultParagraphFont"/>
    <w:rsid w:val="005C15AE"/>
    <w:rPr>
      <w:rFonts w:ascii="Times New Roman" w:eastAsia="Times New Roman" w:hAnsi="Times New Roman" w:cs="Times New Roman"/>
      <w:b/>
      <w:bCs/>
      <w:i w:val="0"/>
      <w:iCs w:val="0"/>
      <w:smallCaps/>
      <w:sz w:val="16"/>
      <w:szCs w:val="16"/>
    </w:rPr>
  </w:style>
  <w:style w:type="character" w:customStyle="1" w:styleId="CharStyle510">
    <w:name w:val="CharStyle510"/>
    <w:basedOn w:val="DefaultParagraphFont"/>
    <w:rsid w:val="005C15AE"/>
    <w:rPr>
      <w:rFonts w:ascii="Times New Roman" w:eastAsia="Times New Roman" w:hAnsi="Times New Roman" w:cs="Times New Roman"/>
      <w:b/>
      <w:bCs/>
      <w:i w:val="0"/>
      <w:iCs w:val="0"/>
      <w:smallCaps/>
      <w:sz w:val="16"/>
      <w:szCs w:val="16"/>
    </w:rPr>
  </w:style>
  <w:style w:type="character" w:customStyle="1" w:styleId="CharStyle512">
    <w:name w:val="CharStyle512"/>
    <w:basedOn w:val="DefaultParagraphFont"/>
    <w:rsid w:val="005C15AE"/>
    <w:rPr>
      <w:rFonts w:ascii="Times New Roman" w:eastAsia="Times New Roman" w:hAnsi="Times New Roman" w:cs="Times New Roman"/>
      <w:b/>
      <w:bCs/>
      <w:i w:val="0"/>
      <w:iCs w:val="0"/>
      <w:smallCaps w:val="0"/>
      <w:sz w:val="16"/>
      <w:szCs w:val="16"/>
    </w:rPr>
  </w:style>
  <w:style w:type="paragraph" w:styleId="ListParagraph">
    <w:name w:val="List Paragraph"/>
    <w:basedOn w:val="Normal"/>
    <w:uiPriority w:val="34"/>
    <w:qFormat/>
    <w:rsid w:val="002A282B"/>
    <w:pPr>
      <w:ind w:left="720"/>
      <w:contextualSpacing/>
    </w:pPr>
  </w:style>
  <w:style w:type="paragraph" w:styleId="Header">
    <w:name w:val="header"/>
    <w:basedOn w:val="Normal"/>
    <w:link w:val="HeaderChar"/>
    <w:uiPriority w:val="99"/>
    <w:semiHidden/>
    <w:unhideWhenUsed/>
    <w:rsid w:val="006012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1202"/>
  </w:style>
  <w:style w:type="paragraph" w:styleId="Footer">
    <w:name w:val="footer"/>
    <w:basedOn w:val="Normal"/>
    <w:link w:val="FooterChar"/>
    <w:uiPriority w:val="99"/>
    <w:semiHidden/>
    <w:unhideWhenUsed/>
    <w:rsid w:val="006012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1202"/>
  </w:style>
  <w:style w:type="paragraph" w:styleId="BalloonText">
    <w:name w:val="Balloon Text"/>
    <w:basedOn w:val="Normal"/>
    <w:link w:val="BalloonTextChar"/>
    <w:uiPriority w:val="99"/>
    <w:semiHidden/>
    <w:unhideWhenUsed/>
    <w:rsid w:val="006012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2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75AB3A93-ABF6-4DE6-9C48-F56042F83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19</cp:revision>
  <dcterms:created xsi:type="dcterms:W3CDTF">2017-05-15T09:18:00Z</dcterms:created>
  <dcterms:modified xsi:type="dcterms:W3CDTF">2019-05-07T01:43:00Z</dcterms:modified>
</cp:coreProperties>
</file>