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45" w:rsidRPr="00D21FCE" w:rsidRDefault="00F432CA" w:rsidP="007B5033">
      <w:pPr>
        <w:spacing w:before="120" w:after="60"/>
        <w:jc w:val="both"/>
        <w:rPr>
          <w:sz w:val="22"/>
          <w:szCs w:val="24"/>
          <w:lang w:val="en-AU"/>
        </w:rPr>
      </w:pPr>
      <w:bookmarkStart w:id="0" w:name="_GoBack"/>
      <w:r w:rsidRPr="00D21FCE">
        <w:rPr>
          <w:noProof/>
          <w:sz w:val="22"/>
          <w:szCs w:val="24"/>
          <w:lang w:val="en-AU" w:eastAsia="en-AU"/>
        </w:rPr>
        <w:drawing>
          <wp:inline distT="0" distB="0" distL="0" distR="0" wp14:anchorId="2D0D71EC" wp14:editId="77D83EE0">
            <wp:extent cx="1390015" cy="995045"/>
            <wp:effectExtent l="0" t="0" r="635" b="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995045"/>
                    </a:xfrm>
                    <a:prstGeom prst="rect">
                      <a:avLst/>
                    </a:prstGeom>
                    <a:noFill/>
                    <a:ln>
                      <a:noFill/>
                    </a:ln>
                  </pic:spPr>
                </pic:pic>
              </a:graphicData>
            </a:graphic>
          </wp:inline>
        </w:drawing>
      </w:r>
      <w:bookmarkEnd w:id="0"/>
    </w:p>
    <w:p w:rsidR="00107445" w:rsidRPr="00D21FCE" w:rsidRDefault="008F24DE" w:rsidP="007B5033">
      <w:pPr>
        <w:shd w:val="clear" w:color="auto" w:fill="FFFFFF"/>
        <w:spacing w:before="840" w:after="60"/>
        <w:jc w:val="both"/>
        <w:rPr>
          <w:b/>
          <w:bCs/>
          <w:sz w:val="36"/>
          <w:lang w:val="en-AU"/>
        </w:rPr>
      </w:pPr>
      <w:r w:rsidRPr="00D21FCE">
        <w:rPr>
          <w:b/>
          <w:bCs/>
          <w:sz w:val="36"/>
          <w:szCs w:val="40"/>
          <w:lang w:val="en-AU"/>
        </w:rPr>
        <w:t>Supply (Parliamentary Departments) 1996</w:t>
      </w:r>
      <w:r w:rsidR="00D21FCE">
        <w:rPr>
          <w:b/>
          <w:bCs/>
          <w:sz w:val="36"/>
          <w:szCs w:val="40"/>
          <w:lang w:val="en-AU"/>
        </w:rPr>
        <w:noBreakHyphen/>
      </w:r>
      <w:r w:rsidRPr="00D21FCE">
        <w:rPr>
          <w:b/>
          <w:bCs/>
          <w:sz w:val="36"/>
          <w:szCs w:val="40"/>
          <w:lang w:val="en-AU"/>
        </w:rPr>
        <w:t>97</w:t>
      </w:r>
    </w:p>
    <w:p w:rsidR="00107445" w:rsidRPr="00D21FCE" w:rsidRDefault="008F24DE" w:rsidP="007B5033">
      <w:pPr>
        <w:shd w:val="clear" w:color="auto" w:fill="FFFFFF"/>
        <w:spacing w:before="840" w:after="60"/>
        <w:ind w:left="34"/>
        <w:jc w:val="both"/>
        <w:rPr>
          <w:sz w:val="26"/>
          <w:lang w:val="en-AU"/>
        </w:rPr>
      </w:pPr>
      <w:r w:rsidRPr="00D21FCE">
        <w:rPr>
          <w:b/>
          <w:bCs/>
          <w:sz w:val="26"/>
          <w:szCs w:val="28"/>
          <w:lang w:val="en-AU"/>
        </w:rPr>
        <w:t>No. 12 of 1996</w:t>
      </w:r>
    </w:p>
    <w:p w:rsidR="00107445" w:rsidRPr="00D21FCE" w:rsidRDefault="005107D5" w:rsidP="007B5033">
      <w:pPr>
        <w:shd w:val="clear" w:color="auto" w:fill="FFFFFF"/>
        <w:spacing w:before="1800" w:after="60"/>
        <w:ind w:left="19"/>
        <w:rPr>
          <w:sz w:val="26"/>
          <w:szCs w:val="26"/>
          <w:lang w:val="en-AU"/>
        </w:rPr>
      </w:pPr>
      <w:r w:rsidRPr="00D21FCE">
        <w:rPr>
          <w:b/>
          <w:bCs/>
          <w:noProof/>
          <w:sz w:val="26"/>
          <w:szCs w:val="26"/>
          <w:lang w:val="en-AU" w:eastAsia="en-AU"/>
        </w:rPr>
        <mc:AlternateContent>
          <mc:Choice Requires="wps">
            <w:drawing>
              <wp:anchor distT="0" distB="0" distL="114300" distR="114300" simplePos="0" relativeHeight="251658752" behindDoc="0" locked="0" layoutInCell="1" allowOverlap="1" wp14:anchorId="5DFC2AD7" wp14:editId="2E045A64">
                <wp:simplePos x="0" y="0"/>
                <wp:positionH relativeFrom="column">
                  <wp:posOffset>50165</wp:posOffset>
                </wp:positionH>
                <wp:positionV relativeFrom="paragraph">
                  <wp:posOffset>583870</wp:posOffset>
                </wp:positionV>
                <wp:extent cx="5201107"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201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267C8"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95pt,45.95pt" to="413.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" strokecolor="black [3040]"/>
            </w:pict>
          </mc:Fallback>
        </mc:AlternateContent>
      </w:r>
      <w:r w:rsidRPr="00D21FCE">
        <w:rPr>
          <w:b/>
          <w:bCs/>
          <w:noProof/>
          <w:sz w:val="26"/>
          <w:szCs w:val="26"/>
          <w:lang w:val="en-AU" w:eastAsia="en-AU"/>
        </w:rPr>
        <mc:AlternateContent>
          <mc:Choice Requires="wps">
            <w:drawing>
              <wp:anchor distT="0" distB="0" distL="114300" distR="114300" simplePos="0" relativeHeight="251655680" behindDoc="0" locked="0" layoutInCell="1" allowOverlap="1" wp14:anchorId="780C7176" wp14:editId="1069B27B">
                <wp:simplePos x="0" y="0"/>
                <wp:positionH relativeFrom="column">
                  <wp:posOffset>65405</wp:posOffset>
                </wp:positionH>
                <wp:positionV relativeFrom="paragraph">
                  <wp:posOffset>544500</wp:posOffset>
                </wp:positionV>
                <wp:extent cx="5201107"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201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74752"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15pt,42.85pt" to="414.7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" strokecolor="black [3040]"/>
            </w:pict>
          </mc:Fallback>
        </mc:AlternateContent>
      </w:r>
      <w:r w:rsidR="008F24DE" w:rsidRPr="00D21FCE">
        <w:rPr>
          <w:b/>
          <w:bCs/>
          <w:sz w:val="26"/>
          <w:szCs w:val="26"/>
          <w:lang w:val="en-AU"/>
        </w:rPr>
        <w:t>An Act to make interim provision for the appropriation of money out of the Consolidated Revenue Fund for certain expenditure in relation to the Parliamentary Departments in respect of the year ending on 30 June 1997, and for related purposes</w:t>
      </w:r>
    </w:p>
    <w:p w:rsidR="00107445" w:rsidRPr="00D21FCE" w:rsidRDefault="008F24DE" w:rsidP="007B5033">
      <w:pPr>
        <w:shd w:val="clear" w:color="auto" w:fill="FFFFFF"/>
        <w:spacing w:before="120" w:after="60"/>
        <w:jc w:val="right"/>
        <w:rPr>
          <w:sz w:val="22"/>
          <w:lang w:val="en-AU"/>
        </w:rPr>
      </w:pPr>
      <w:r w:rsidRPr="00D21FCE">
        <w:rPr>
          <w:sz w:val="22"/>
          <w:szCs w:val="22"/>
          <w:lang w:val="en-AU"/>
        </w:rPr>
        <w:t>[</w:t>
      </w:r>
      <w:r w:rsidRPr="00D21FCE">
        <w:rPr>
          <w:i/>
          <w:iCs/>
          <w:sz w:val="22"/>
          <w:szCs w:val="22"/>
          <w:lang w:val="en-AU"/>
        </w:rPr>
        <w:t>Assented to 14 June 1996</w:t>
      </w:r>
      <w:r w:rsidRPr="00D21FCE">
        <w:rPr>
          <w:sz w:val="22"/>
          <w:szCs w:val="22"/>
          <w:lang w:val="en-AU"/>
        </w:rPr>
        <w:t>]</w:t>
      </w:r>
    </w:p>
    <w:p w:rsidR="00107445" w:rsidRPr="00D21FCE" w:rsidRDefault="008F24DE" w:rsidP="007B5033">
      <w:pPr>
        <w:shd w:val="clear" w:color="auto" w:fill="FFFFFF"/>
        <w:spacing w:before="120" w:after="60"/>
        <w:ind w:firstLine="288"/>
        <w:jc w:val="both"/>
        <w:rPr>
          <w:sz w:val="22"/>
          <w:lang w:val="en-AU"/>
        </w:rPr>
      </w:pPr>
      <w:r w:rsidRPr="00D21FCE">
        <w:rPr>
          <w:sz w:val="22"/>
          <w:szCs w:val="22"/>
          <w:lang w:val="en-AU"/>
        </w:rPr>
        <w:t>The Parliament of Australia enacts:</w:t>
      </w:r>
    </w:p>
    <w:p w:rsidR="00107445" w:rsidRPr="00D21FCE" w:rsidRDefault="008F24DE" w:rsidP="00D21FCE">
      <w:pPr>
        <w:shd w:val="clear" w:color="auto" w:fill="FFFFFF"/>
        <w:spacing w:before="120" w:after="60"/>
        <w:jc w:val="center"/>
        <w:rPr>
          <w:sz w:val="22"/>
          <w:lang w:val="en-AU"/>
        </w:rPr>
      </w:pPr>
      <w:r w:rsidRPr="00D21FCE">
        <w:rPr>
          <w:b/>
          <w:bCs/>
          <w:sz w:val="22"/>
          <w:szCs w:val="22"/>
          <w:lang w:val="en-AU"/>
        </w:rPr>
        <w:t xml:space="preserve">PART 1 </w:t>
      </w:r>
      <w:r w:rsidR="00D21FCE">
        <w:rPr>
          <w:b/>
          <w:bCs/>
          <w:sz w:val="22"/>
          <w:szCs w:val="22"/>
          <w:lang w:val="en-AU"/>
        </w:rPr>
        <w:noBreakHyphen/>
      </w:r>
      <w:r w:rsidRPr="00D21FCE">
        <w:rPr>
          <w:b/>
          <w:bCs/>
          <w:sz w:val="22"/>
          <w:szCs w:val="22"/>
          <w:lang w:val="en-AU"/>
        </w:rPr>
        <w:t xml:space="preserve"> GENERAL</w:t>
      </w:r>
    </w:p>
    <w:p w:rsidR="00107445" w:rsidRPr="00D21FCE" w:rsidRDefault="008F24DE" w:rsidP="007B5033">
      <w:pPr>
        <w:shd w:val="clear" w:color="auto" w:fill="FFFFFF"/>
        <w:spacing w:before="120" w:after="60"/>
        <w:ind w:left="10"/>
        <w:jc w:val="both"/>
        <w:rPr>
          <w:sz w:val="22"/>
          <w:lang w:val="en-AU"/>
        </w:rPr>
      </w:pPr>
      <w:r w:rsidRPr="00D21FCE">
        <w:rPr>
          <w:b/>
          <w:bCs/>
          <w:sz w:val="22"/>
          <w:szCs w:val="22"/>
          <w:lang w:val="en-AU"/>
        </w:rPr>
        <w:t>Short title</w:t>
      </w:r>
    </w:p>
    <w:p w:rsidR="00107445" w:rsidRPr="00D21FCE" w:rsidRDefault="008F24DE" w:rsidP="007B5033">
      <w:pPr>
        <w:shd w:val="clear" w:color="auto" w:fill="FFFFFF"/>
        <w:tabs>
          <w:tab w:val="left" w:pos="523"/>
        </w:tabs>
        <w:spacing w:before="120" w:after="60"/>
        <w:ind w:firstLine="288"/>
        <w:jc w:val="both"/>
        <w:rPr>
          <w:sz w:val="22"/>
          <w:lang w:val="en-AU"/>
        </w:rPr>
      </w:pPr>
      <w:r w:rsidRPr="00D21FCE">
        <w:rPr>
          <w:b/>
          <w:bCs/>
          <w:sz w:val="22"/>
          <w:szCs w:val="22"/>
          <w:lang w:val="en-AU"/>
        </w:rPr>
        <w:t>1.</w:t>
      </w:r>
      <w:r w:rsidRPr="00D21FCE">
        <w:rPr>
          <w:sz w:val="22"/>
          <w:szCs w:val="22"/>
          <w:lang w:val="en-AU"/>
        </w:rPr>
        <w:tab/>
        <w:t xml:space="preserve">This Act may be cited as the </w:t>
      </w:r>
      <w:r w:rsidRPr="00D21FCE">
        <w:rPr>
          <w:i/>
          <w:iCs/>
          <w:sz w:val="22"/>
          <w:szCs w:val="22"/>
          <w:lang w:val="en-AU"/>
        </w:rPr>
        <w:t>Supply (Parliamentary Departments)</w:t>
      </w:r>
      <w:r w:rsidR="005107D5" w:rsidRPr="00D21FCE">
        <w:rPr>
          <w:i/>
          <w:iCs/>
          <w:sz w:val="22"/>
          <w:szCs w:val="22"/>
          <w:lang w:val="en-AU"/>
        </w:rPr>
        <w:t xml:space="preserve"> </w:t>
      </w:r>
      <w:r w:rsidRPr="00D21FCE">
        <w:rPr>
          <w:i/>
          <w:iCs/>
          <w:sz w:val="22"/>
          <w:szCs w:val="22"/>
          <w:lang w:val="en-AU"/>
        </w:rPr>
        <w:t>Act 1996</w:t>
      </w:r>
      <w:r w:rsidR="00D21FCE">
        <w:rPr>
          <w:i/>
          <w:iCs/>
          <w:sz w:val="22"/>
          <w:szCs w:val="22"/>
          <w:lang w:val="en-AU"/>
        </w:rPr>
        <w:noBreakHyphen/>
      </w:r>
      <w:r w:rsidRPr="00D21FCE">
        <w:rPr>
          <w:i/>
          <w:iCs/>
          <w:sz w:val="22"/>
          <w:szCs w:val="22"/>
          <w:lang w:val="en-AU"/>
        </w:rPr>
        <w:t>97</w:t>
      </w:r>
      <w:r w:rsidR="0058368D" w:rsidRPr="00D21FCE">
        <w:rPr>
          <w:i/>
          <w:iCs/>
          <w:sz w:val="22"/>
          <w:szCs w:val="22"/>
          <w:lang w:val="en-AU"/>
        </w:rPr>
        <w:t>.</w:t>
      </w:r>
    </w:p>
    <w:p w:rsidR="00107445" w:rsidRPr="00D21FCE" w:rsidRDefault="008F24DE" w:rsidP="007B5033">
      <w:pPr>
        <w:shd w:val="clear" w:color="auto" w:fill="FFFFFF"/>
        <w:spacing w:before="120" w:after="60"/>
        <w:ind w:left="19"/>
        <w:jc w:val="both"/>
        <w:rPr>
          <w:sz w:val="22"/>
          <w:lang w:val="en-AU"/>
        </w:rPr>
      </w:pPr>
      <w:r w:rsidRPr="00D21FCE">
        <w:rPr>
          <w:b/>
          <w:bCs/>
          <w:sz w:val="22"/>
          <w:szCs w:val="22"/>
          <w:lang w:val="en-AU"/>
        </w:rPr>
        <w:t>Commencement</w:t>
      </w:r>
    </w:p>
    <w:p w:rsidR="00107445" w:rsidRPr="00D21FCE" w:rsidRDefault="008F24DE" w:rsidP="007B5033">
      <w:pPr>
        <w:shd w:val="clear" w:color="auto" w:fill="FFFFFF"/>
        <w:tabs>
          <w:tab w:val="left" w:pos="523"/>
        </w:tabs>
        <w:spacing w:before="120" w:after="60"/>
        <w:ind w:firstLine="288"/>
        <w:jc w:val="both"/>
        <w:rPr>
          <w:sz w:val="22"/>
          <w:lang w:val="en-AU"/>
        </w:rPr>
      </w:pPr>
      <w:r w:rsidRPr="00D21FCE">
        <w:rPr>
          <w:b/>
          <w:bCs/>
          <w:sz w:val="22"/>
          <w:szCs w:val="22"/>
          <w:lang w:val="en-AU"/>
        </w:rPr>
        <w:t>2.</w:t>
      </w:r>
      <w:r w:rsidRPr="00D21FCE">
        <w:rPr>
          <w:sz w:val="22"/>
          <w:szCs w:val="22"/>
          <w:lang w:val="en-AU"/>
        </w:rPr>
        <w:tab/>
        <w:t>This Act commences on the day on which it receives the Royal Assent.</w:t>
      </w:r>
    </w:p>
    <w:p w:rsidR="00107445" w:rsidRPr="00D21FCE" w:rsidRDefault="008F24DE" w:rsidP="007B5033">
      <w:pPr>
        <w:shd w:val="clear" w:color="auto" w:fill="FFFFFF"/>
        <w:spacing w:before="120" w:after="60"/>
        <w:ind w:left="19"/>
        <w:jc w:val="both"/>
        <w:rPr>
          <w:sz w:val="22"/>
          <w:lang w:val="en-AU"/>
        </w:rPr>
      </w:pPr>
      <w:r w:rsidRPr="00D21FCE">
        <w:rPr>
          <w:b/>
          <w:bCs/>
          <w:sz w:val="22"/>
          <w:szCs w:val="22"/>
          <w:lang w:val="en-AU"/>
        </w:rPr>
        <w:t>Issue and application of $67 670 000</w:t>
      </w:r>
    </w:p>
    <w:p w:rsidR="00107445" w:rsidRPr="00D21FCE" w:rsidRDefault="008F24DE" w:rsidP="007B5033">
      <w:pPr>
        <w:shd w:val="clear" w:color="auto" w:fill="FFFFFF"/>
        <w:tabs>
          <w:tab w:val="left" w:pos="523"/>
        </w:tabs>
        <w:spacing w:before="120" w:after="60"/>
        <w:ind w:firstLine="288"/>
        <w:jc w:val="both"/>
        <w:rPr>
          <w:sz w:val="22"/>
          <w:lang w:val="en-AU"/>
        </w:rPr>
      </w:pPr>
      <w:r w:rsidRPr="00D21FCE">
        <w:rPr>
          <w:b/>
          <w:bCs/>
          <w:sz w:val="22"/>
          <w:szCs w:val="22"/>
          <w:lang w:val="en-AU"/>
        </w:rPr>
        <w:t>3.</w:t>
      </w:r>
      <w:r w:rsidRPr="00D21FCE">
        <w:rPr>
          <w:sz w:val="22"/>
          <w:szCs w:val="22"/>
          <w:lang w:val="en-AU"/>
        </w:rPr>
        <w:tab/>
      </w:r>
      <w:r w:rsidRPr="00D21FCE">
        <w:rPr>
          <w:b/>
          <w:bCs/>
          <w:sz w:val="22"/>
          <w:szCs w:val="22"/>
          <w:lang w:val="en-AU"/>
        </w:rPr>
        <w:t xml:space="preserve">(1) </w:t>
      </w:r>
      <w:r w:rsidRPr="00D21FCE">
        <w:rPr>
          <w:sz w:val="22"/>
          <w:szCs w:val="22"/>
          <w:lang w:val="en-AU"/>
        </w:rPr>
        <w:t>The Minister may issue out of the Consolidated Revenue Fund and</w:t>
      </w:r>
      <w:r w:rsidR="005107D5" w:rsidRPr="00D21FCE">
        <w:rPr>
          <w:sz w:val="22"/>
          <w:szCs w:val="22"/>
          <w:lang w:val="en-AU"/>
        </w:rPr>
        <w:t xml:space="preserve"> </w:t>
      </w:r>
      <w:r w:rsidRPr="00D21FCE">
        <w:rPr>
          <w:sz w:val="22"/>
          <w:szCs w:val="22"/>
          <w:lang w:val="en-AU"/>
        </w:rPr>
        <w:t>apply for the services specified in the Schedule, in respect of the year ending</w:t>
      </w:r>
      <w:r w:rsidR="005107D5" w:rsidRPr="00D21FCE">
        <w:rPr>
          <w:sz w:val="22"/>
          <w:szCs w:val="22"/>
          <w:lang w:val="en-AU"/>
        </w:rPr>
        <w:t xml:space="preserve"> </w:t>
      </w:r>
      <w:r w:rsidRPr="00D21FCE">
        <w:rPr>
          <w:sz w:val="22"/>
          <w:szCs w:val="22"/>
          <w:lang w:val="en-AU"/>
        </w:rPr>
        <w:t>on 30 June 1997, the sum of $67 670 000.</w:t>
      </w:r>
    </w:p>
    <w:p w:rsidR="00107445" w:rsidRPr="00D21FCE" w:rsidRDefault="005107D5" w:rsidP="007B5033">
      <w:pPr>
        <w:shd w:val="clear" w:color="auto" w:fill="FFFFFF"/>
        <w:tabs>
          <w:tab w:val="left" w:pos="672"/>
        </w:tabs>
        <w:spacing w:before="120" w:after="60"/>
        <w:ind w:left="5"/>
        <w:jc w:val="both"/>
        <w:rPr>
          <w:sz w:val="22"/>
          <w:lang w:val="en-AU"/>
        </w:rPr>
      </w:pPr>
      <w:r w:rsidRPr="00D21FCE">
        <w:rPr>
          <w:sz w:val="22"/>
          <w:lang w:val="en-AU"/>
        </w:rPr>
        <w:br w:type="page"/>
      </w:r>
    </w:p>
    <w:p w:rsidR="00107445" w:rsidRPr="00D21FCE" w:rsidRDefault="008F24DE" w:rsidP="007B5033">
      <w:pPr>
        <w:shd w:val="clear" w:color="auto" w:fill="FFFFFF"/>
        <w:spacing w:before="120" w:after="60"/>
        <w:ind w:firstLine="288"/>
        <w:jc w:val="both"/>
        <w:rPr>
          <w:sz w:val="22"/>
          <w:lang w:val="en-AU"/>
        </w:rPr>
      </w:pPr>
      <w:r w:rsidRPr="00D21FCE">
        <w:rPr>
          <w:b/>
          <w:bCs/>
          <w:sz w:val="22"/>
          <w:szCs w:val="22"/>
          <w:lang w:val="en-AU"/>
        </w:rPr>
        <w:lastRenderedPageBreak/>
        <w:t>(2)</w:t>
      </w:r>
      <w:r w:rsidRPr="00D21FCE">
        <w:rPr>
          <w:sz w:val="22"/>
          <w:szCs w:val="22"/>
          <w:lang w:val="en-AU"/>
        </w:rPr>
        <w:t xml:space="preserve"> The Consolidated Revenue Fund is appropriated as necessary for the purposes of subsection (1).</w:t>
      </w:r>
    </w:p>
    <w:p w:rsidR="00107445" w:rsidRPr="00D21FCE" w:rsidRDefault="008F24DE" w:rsidP="007B5033">
      <w:pPr>
        <w:shd w:val="clear" w:color="auto" w:fill="FFFFFF"/>
        <w:spacing w:before="120" w:after="60"/>
        <w:ind w:left="14"/>
        <w:jc w:val="both"/>
        <w:rPr>
          <w:sz w:val="22"/>
          <w:lang w:val="en-AU"/>
        </w:rPr>
      </w:pPr>
      <w:r w:rsidRPr="00D21FCE">
        <w:rPr>
          <w:b/>
          <w:bCs/>
          <w:sz w:val="22"/>
          <w:szCs w:val="22"/>
          <w:lang w:val="en-AU"/>
        </w:rPr>
        <w:t>Additional appropriation in respect of increases in salaries</w:t>
      </w:r>
    </w:p>
    <w:p w:rsidR="00107445" w:rsidRPr="00D21FCE" w:rsidRDefault="008F24DE" w:rsidP="007B5033">
      <w:pPr>
        <w:shd w:val="clear" w:color="auto" w:fill="FFFFFF"/>
        <w:spacing w:before="120" w:after="60"/>
        <w:ind w:firstLine="288"/>
        <w:jc w:val="both"/>
        <w:rPr>
          <w:sz w:val="22"/>
          <w:lang w:val="en-AU"/>
        </w:rPr>
      </w:pPr>
      <w:r w:rsidRPr="00D21FCE">
        <w:rPr>
          <w:b/>
          <w:bCs/>
          <w:sz w:val="22"/>
          <w:szCs w:val="22"/>
          <w:lang w:val="en-AU"/>
        </w:rPr>
        <w:t xml:space="preserve">4. (1) </w:t>
      </w:r>
      <w:r w:rsidRPr="00D21FCE">
        <w:rPr>
          <w:sz w:val="22"/>
          <w:szCs w:val="22"/>
          <w:lang w:val="en-AU"/>
        </w:rPr>
        <w:t>In addition to the sum referred to in section 3 the Minister may, at any time before 1 December 1996, issue out of the Consolidated Revenue Fund for the service of the year ending on 30 June 1997 amounts not exceeding the amounts determined by the President, by the Speaker, or by the President and the Speaker, under subsection (2), (3) or (4) (as the case may be).</w:t>
      </w:r>
    </w:p>
    <w:p w:rsidR="00107445" w:rsidRPr="00D21FCE" w:rsidRDefault="008F24DE" w:rsidP="007B5033">
      <w:pPr>
        <w:numPr>
          <w:ilvl w:val="0"/>
          <w:numId w:val="1"/>
        </w:numPr>
        <w:shd w:val="clear" w:color="auto" w:fill="FFFFFF"/>
        <w:tabs>
          <w:tab w:val="left" w:pos="557"/>
        </w:tabs>
        <w:spacing w:before="120" w:after="60"/>
        <w:ind w:firstLine="288"/>
        <w:jc w:val="both"/>
        <w:rPr>
          <w:b/>
          <w:bCs/>
          <w:sz w:val="22"/>
          <w:szCs w:val="22"/>
          <w:lang w:val="en-AU"/>
        </w:rPr>
      </w:pPr>
      <w:r w:rsidRPr="00D21FCE">
        <w:rPr>
          <w:sz w:val="22"/>
          <w:szCs w:val="22"/>
          <w:lang w:val="en-AU"/>
        </w:rPr>
        <w:t>For the purposes of subsection (1), the President may determine amounts not exceeding the amounts estimated to be necessary for the payment of such increases in salaries, and in payments in the nature of salary, for which provision is made in subdivision 1 of Division 101 in the Schedule, as have become payable or become payable, or have commenced or commence to be paid, after 23 April 1996, under a law, or an award, order or determination made under a law.</w:t>
      </w:r>
    </w:p>
    <w:p w:rsidR="00107445" w:rsidRPr="00D21FCE" w:rsidRDefault="008F24DE" w:rsidP="007B5033">
      <w:pPr>
        <w:numPr>
          <w:ilvl w:val="0"/>
          <w:numId w:val="1"/>
        </w:numPr>
        <w:shd w:val="clear" w:color="auto" w:fill="FFFFFF"/>
        <w:tabs>
          <w:tab w:val="left" w:pos="557"/>
        </w:tabs>
        <w:spacing w:before="120" w:after="60"/>
        <w:ind w:firstLine="288"/>
        <w:jc w:val="both"/>
        <w:rPr>
          <w:b/>
          <w:bCs/>
          <w:sz w:val="22"/>
          <w:szCs w:val="22"/>
          <w:lang w:val="en-AU"/>
        </w:rPr>
      </w:pPr>
      <w:r w:rsidRPr="00D21FCE">
        <w:rPr>
          <w:sz w:val="22"/>
          <w:szCs w:val="22"/>
          <w:lang w:val="en-AU"/>
        </w:rPr>
        <w:t>For the purposes of subsection (1), the Speaker may determine amounts not exceeding the amounts estimated to be necessary for the payment of such increases in salaries, and in payments in the nature of salary, for which provision is made in subdivision 1 of Division 104 in the Schedule, as have become payable or become payable, or have commenced or commence to be paid, after 23 April 1996, under a law, or an award, order or determination made under a law.</w:t>
      </w:r>
    </w:p>
    <w:p w:rsidR="00107445" w:rsidRPr="00D21FCE" w:rsidRDefault="008F24DE" w:rsidP="007B5033">
      <w:pPr>
        <w:numPr>
          <w:ilvl w:val="0"/>
          <w:numId w:val="1"/>
        </w:numPr>
        <w:shd w:val="clear" w:color="auto" w:fill="FFFFFF"/>
        <w:tabs>
          <w:tab w:val="left" w:pos="557"/>
        </w:tabs>
        <w:spacing w:before="120" w:after="60"/>
        <w:ind w:firstLine="288"/>
        <w:jc w:val="both"/>
        <w:rPr>
          <w:b/>
          <w:bCs/>
          <w:sz w:val="22"/>
          <w:szCs w:val="22"/>
          <w:lang w:val="en-AU"/>
        </w:rPr>
      </w:pPr>
      <w:r w:rsidRPr="00D21FCE">
        <w:rPr>
          <w:sz w:val="22"/>
          <w:szCs w:val="22"/>
          <w:lang w:val="en-AU"/>
        </w:rPr>
        <w:t>For the purposes of subsection (1), the President and the Speaker may jointly determine amounts not exceeding the amounts estimated to be necessary for the payment of such increases in salaries, and in payments in the nature of salary, for which provision is made in subdivision 1 of Division 107, subdivision 1 of Division 108, or subdivision 1 of Division 109, in the Schedule, as have become payable or become payable, or have commenced or commence to be paid, after 23 April 1996, under a law, or an award, order or determination made under a law.</w:t>
      </w:r>
    </w:p>
    <w:p w:rsidR="00107445" w:rsidRPr="00D21FCE" w:rsidRDefault="008F24DE" w:rsidP="007B5033">
      <w:pPr>
        <w:numPr>
          <w:ilvl w:val="0"/>
          <w:numId w:val="1"/>
        </w:numPr>
        <w:shd w:val="clear" w:color="auto" w:fill="FFFFFF"/>
        <w:tabs>
          <w:tab w:val="left" w:pos="557"/>
        </w:tabs>
        <w:spacing w:before="120" w:after="60"/>
        <w:ind w:firstLine="288"/>
        <w:jc w:val="both"/>
        <w:rPr>
          <w:b/>
          <w:bCs/>
          <w:sz w:val="22"/>
          <w:szCs w:val="22"/>
          <w:lang w:val="en-AU"/>
        </w:rPr>
      </w:pPr>
      <w:r w:rsidRPr="00D21FCE">
        <w:rPr>
          <w:sz w:val="22"/>
          <w:szCs w:val="22"/>
          <w:lang w:val="en-AU"/>
        </w:rPr>
        <w:t>Amounts issued under subsection (1) may be applied only for the purpose of expenditure in respect of increases referred to in subsection (2), (3) or (4) in salaries and in payments in the nature of salary and the Minister must report the amounts so issued to the Parliament.</w:t>
      </w:r>
    </w:p>
    <w:p w:rsidR="00107445" w:rsidRPr="00D21FCE" w:rsidRDefault="008F24DE" w:rsidP="007B5033">
      <w:pPr>
        <w:shd w:val="clear" w:color="auto" w:fill="FFFFFF"/>
        <w:tabs>
          <w:tab w:val="left" w:pos="624"/>
        </w:tabs>
        <w:spacing w:before="120" w:after="60"/>
        <w:ind w:firstLine="288"/>
        <w:jc w:val="both"/>
        <w:rPr>
          <w:sz w:val="22"/>
          <w:lang w:val="en-AU"/>
        </w:rPr>
      </w:pPr>
      <w:r w:rsidRPr="00D21FCE">
        <w:rPr>
          <w:b/>
          <w:bCs/>
          <w:sz w:val="22"/>
          <w:szCs w:val="22"/>
          <w:lang w:val="en-AU"/>
        </w:rPr>
        <w:t>(6)</w:t>
      </w:r>
      <w:r w:rsidRPr="00D21FCE">
        <w:rPr>
          <w:sz w:val="22"/>
          <w:szCs w:val="22"/>
          <w:lang w:val="en-AU"/>
        </w:rPr>
        <w:tab/>
        <w:t>The Consolidated Revenue Fund is appropriated as necessary for the</w:t>
      </w:r>
      <w:r w:rsidR="005107D5" w:rsidRPr="00D21FCE">
        <w:rPr>
          <w:sz w:val="22"/>
          <w:szCs w:val="22"/>
          <w:lang w:val="en-AU"/>
        </w:rPr>
        <w:t xml:space="preserve"> </w:t>
      </w:r>
      <w:r w:rsidRPr="00D21FCE">
        <w:rPr>
          <w:sz w:val="22"/>
          <w:szCs w:val="22"/>
          <w:lang w:val="en-AU"/>
        </w:rPr>
        <w:t>purposes of this section.</w:t>
      </w:r>
    </w:p>
    <w:p w:rsidR="00107445" w:rsidRPr="00D21FCE" w:rsidRDefault="008F24DE" w:rsidP="007B5033">
      <w:pPr>
        <w:shd w:val="clear" w:color="auto" w:fill="FFFFFF"/>
        <w:tabs>
          <w:tab w:val="left" w:pos="566"/>
        </w:tabs>
        <w:spacing w:before="120" w:after="60"/>
        <w:ind w:firstLine="288"/>
        <w:jc w:val="both"/>
        <w:rPr>
          <w:sz w:val="22"/>
          <w:lang w:val="en-AU"/>
        </w:rPr>
      </w:pPr>
      <w:r w:rsidRPr="00D21FCE">
        <w:rPr>
          <w:b/>
          <w:bCs/>
          <w:sz w:val="22"/>
          <w:szCs w:val="22"/>
          <w:lang w:val="en-AU"/>
        </w:rPr>
        <w:t>(7)</w:t>
      </w:r>
      <w:r w:rsidRPr="00D21FCE">
        <w:rPr>
          <w:sz w:val="22"/>
          <w:szCs w:val="22"/>
          <w:lang w:val="en-AU"/>
        </w:rPr>
        <w:tab/>
        <w:t>In this section:</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 xml:space="preserve">"President" </w:t>
      </w:r>
      <w:r w:rsidRPr="00D21FCE">
        <w:rPr>
          <w:sz w:val="22"/>
          <w:szCs w:val="22"/>
          <w:lang w:val="en-AU"/>
        </w:rPr>
        <w:t>means the President of the Senate.</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 xml:space="preserve">"Speaker" </w:t>
      </w:r>
      <w:r w:rsidRPr="00D21FCE">
        <w:rPr>
          <w:sz w:val="22"/>
          <w:szCs w:val="22"/>
          <w:lang w:val="en-AU"/>
        </w:rPr>
        <w:t>means the Speaker of the House of Representatives.</w:t>
      </w:r>
    </w:p>
    <w:p w:rsidR="00107445" w:rsidRPr="00D21FCE" w:rsidRDefault="005107D5" w:rsidP="007B5033">
      <w:pPr>
        <w:shd w:val="clear" w:color="auto" w:fill="FFFFFF"/>
        <w:spacing w:before="120" w:after="60"/>
        <w:ind w:left="686"/>
        <w:jc w:val="both"/>
        <w:rPr>
          <w:sz w:val="22"/>
          <w:lang w:val="en-AU"/>
        </w:rPr>
      </w:pPr>
      <w:r w:rsidRPr="00D21FCE">
        <w:rPr>
          <w:sz w:val="22"/>
          <w:lang w:val="en-AU"/>
        </w:rPr>
        <w:br w:type="page"/>
      </w:r>
    </w:p>
    <w:p w:rsidR="00107445" w:rsidRPr="00D21FCE" w:rsidRDefault="008F24DE" w:rsidP="007B5033">
      <w:pPr>
        <w:shd w:val="clear" w:color="auto" w:fill="FFFFFF"/>
        <w:spacing w:before="120" w:after="60"/>
        <w:jc w:val="both"/>
        <w:rPr>
          <w:sz w:val="22"/>
          <w:lang w:val="en-AU"/>
        </w:rPr>
      </w:pPr>
      <w:r w:rsidRPr="00D21FCE">
        <w:rPr>
          <w:b/>
          <w:bCs/>
          <w:sz w:val="22"/>
          <w:szCs w:val="24"/>
          <w:lang w:val="en-AU"/>
        </w:rPr>
        <w:lastRenderedPageBreak/>
        <w:t>Net annotated appropriations</w:t>
      </w:r>
    </w:p>
    <w:p w:rsidR="00107445" w:rsidRPr="00D21FCE" w:rsidRDefault="008F24DE" w:rsidP="007B5033">
      <w:pPr>
        <w:shd w:val="clear" w:color="auto" w:fill="FFFFFF"/>
        <w:spacing w:before="120" w:after="60"/>
        <w:ind w:firstLine="288"/>
        <w:jc w:val="both"/>
        <w:rPr>
          <w:sz w:val="22"/>
          <w:lang w:val="en-AU"/>
        </w:rPr>
      </w:pPr>
      <w:r w:rsidRPr="00D21FCE">
        <w:rPr>
          <w:b/>
          <w:bCs/>
          <w:sz w:val="22"/>
          <w:szCs w:val="24"/>
          <w:lang w:val="en-AU"/>
        </w:rPr>
        <w:t xml:space="preserve">5. (1) </w:t>
      </w:r>
      <w:r w:rsidRPr="00D21FCE">
        <w:rPr>
          <w:sz w:val="22"/>
          <w:szCs w:val="24"/>
          <w:lang w:val="en-AU"/>
        </w:rPr>
        <w:t xml:space="preserve">If the description of the purpose of an appropriation set out in a subdivision or Division in the Schedule includes the words "(net appropriation </w:t>
      </w:r>
      <w:r w:rsidRPr="00D21FCE">
        <w:rPr>
          <w:rFonts w:eastAsia="Times New Roman"/>
          <w:sz w:val="22"/>
          <w:szCs w:val="24"/>
          <w:lang w:val="en-AU"/>
        </w:rPr>
        <w:t xml:space="preserve">— see section 5)", the Schedule is taken, for the purposes of this Act and the </w:t>
      </w:r>
      <w:r w:rsidRPr="00D21FCE">
        <w:rPr>
          <w:rFonts w:eastAsia="Times New Roman"/>
          <w:i/>
          <w:iCs/>
          <w:sz w:val="22"/>
          <w:szCs w:val="24"/>
          <w:lang w:val="en-AU"/>
        </w:rPr>
        <w:t xml:space="preserve">Audit Act 1901, </w:t>
      </w:r>
      <w:r w:rsidRPr="00D21FCE">
        <w:rPr>
          <w:rFonts w:eastAsia="Times New Roman"/>
          <w:sz w:val="22"/>
          <w:szCs w:val="24"/>
          <w:lang w:val="en-AU"/>
        </w:rPr>
        <w:t>to provide that any money received by the Parliamentary Department for which the appropriation is made:</w:t>
      </w:r>
    </w:p>
    <w:p w:rsidR="00107445" w:rsidRPr="00D21FCE" w:rsidRDefault="008F24DE" w:rsidP="007B5033">
      <w:pPr>
        <w:numPr>
          <w:ilvl w:val="0"/>
          <w:numId w:val="2"/>
        </w:numPr>
        <w:shd w:val="clear" w:color="auto" w:fill="FFFFFF"/>
        <w:tabs>
          <w:tab w:val="left" w:pos="528"/>
        </w:tabs>
        <w:spacing w:before="120" w:after="60"/>
        <w:ind w:left="576" w:hanging="288"/>
        <w:jc w:val="both"/>
        <w:rPr>
          <w:sz w:val="22"/>
          <w:szCs w:val="24"/>
          <w:lang w:val="en-AU"/>
        </w:rPr>
      </w:pPr>
      <w:r w:rsidRPr="00D21FCE">
        <w:rPr>
          <w:sz w:val="22"/>
          <w:szCs w:val="24"/>
          <w:lang w:val="en-AU"/>
        </w:rPr>
        <w:t>from the sale, leasing or hiring out of, or other dealing with, goods or personal property; or</w:t>
      </w:r>
    </w:p>
    <w:p w:rsidR="00107445" w:rsidRPr="00D21FCE" w:rsidRDefault="008F24DE" w:rsidP="00D21FCE">
      <w:pPr>
        <w:numPr>
          <w:ilvl w:val="0"/>
          <w:numId w:val="2"/>
        </w:numPr>
        <w:shd w:val="clear" w:color="auto" w:fill="FFFFFF"/>
        <w:tabs>
          <w:tab w:val="left" w:pos="528"/>
        </w:tabs>
        <w:spacing w:before="120" w:after="60"/>
        <w:ind w:left="576" w:hanging="288"/>
        <w:rPr>
          <w:sz w:val="22"/>
          <w:szCs w:val="24"/>
          <w:lang w:val="en-AU"/>
        </w:rPr>
      </w:pPr>
      <w:r w:rsidRPr="00D21FCE">
        <w:rPr>
          <w:sz w:val="22"/>
          <w:szCs w:val="24"/>
          <w:lang w:val="en-AU"/>
        </w:rPr>
        <w:t>from the sale of real property used for the purpose of providing staff residential accommodation or from the leasing of real property for that purpose; or</w:t>
      </w:r>
    </w:p>
    <w:p w:rsidR="00107445" w:rsidRPr="00D21FCE" w:rsidRDefault="008F24DE" w:rsidP="007B5033">
      <w:pPr>
        <w:numPr>
          <w:ilvl w:val="0"/>
          <w:numId w:val="2"/>
        </w:numPr>
        <w:shd w:val="clear" w:color="auto" w:fill="FFFFFF"/>
        <w:tabs>
          <w:tab w:val="left" w:pos="528"/>
        </w:tabs>
        <w:spacing w:before="120" w:after="60"/>
        <w:ind w:left="576" w:hanging="288"/>
        <w:jc w:val="both"/>
        <w:rPr>
          <w:sz w:val="22"/>
          <w:szCs w:val="24"/>
          <w:lang w:val="en-AU"/>
        </w:rPr>
      </w:pPr>
      <w:r w:rsidRPr="00D21FCE">
        <w:rPr>
          <w:sz w:val="22"/>
          <w:szCs w:val="24"/>
          <w:lang w:val="en-AU"/>
        </w:rPr>
        <w:t>from the provision of services; or</w:t>
      </w:r>
    </w:p>
    <w:p w:rsidR="00107445" w:rsidRPr="00D21FCE" w:rsidRDefault="008F24DE" w:rsidP="007B5033">
      <w:pPr>
        <w:numPr>
          <w:ilvl w:val="0"/>
          <w:numId w:val="2"/>
        </w:numPr>
        <w:shd w:val="clear" w:color="auto" w:fill="FFFFFF"/>
        <w:tabs>
          <w:tab w:val="left" w:pos="528"/>
        </w:tabs>
        <w:spacing w:before="120" w:after="60"/>
        <w:ind w:left="576" w:hanging="288"/>
        <w:jc w:val="both"/>
        <w:rPr>
          <w:sz w:val="22"/>
          <w:szCs w:val="24"/>
          <w:lang w:val="en-AU"/>
        </w:rPr>
      </w:pPr>
      <w:r w:rsidRPr="00D21FCE">
        <w:rPr>
          <w:sz w:val="22"/>
          <w:szCs w:val="24"/>
          <w:lang w:val="en-AU"/>
        </w:rPr>
        <w:t xml:space="preserve">from a person </w:t>
      </w:r>
      <w:r w:rsidRPr="00D21FCE">
        <w:rPr>
          <w:b/>
          <w:bCs/>
          <w:sz w:val="22"/>
          <w:szCs w:val="24"/>
          <w:lang w:val="en-AU"/>
        </w:rPr>
        <w:t xml:space="preserve">("employee") </w:t>
      </w:r>
      <w:r w:rsidRPr="00D21FCE">
        <w:rPr>
          <w:sz w:val="22"/>
          <w:szCs w:val="24"/>
          <w:lang w:val="en-AU"/>
        </w:rPr>
        <w:t>appointed or employed by, or performing services for, the Commonwealth as payment for any benefit provided (whether to the employee or another person) in respect of the appointment or employment of, or the services performed by, the employee; or</w:t>
      </w:r>
    </w:p>
    <w:p w:rsidR="00107445" w:rsidRPr="00D21FCE" w:rsidRDefault="008F24DE" w:rsidP="007B5033">
      <w:pPr>
        <w:numPr>
          <w:ilvl w:val="0"/>
          <w:numId w:val="2"/>
        </w:numPr>
        <w:shd w:val="clear" w:color="auto" w:fill="FFFFFF"/>
        <w:tabs>
          <w:tab w:val="left" w:pos="528"/>
        </w:tabs>
        <w:spacing w:before="120" w:after="60"/>
        <w:ind w:left="576" w:hanging="288"/>
        <w:jc w:val="both"/>
        <w:rPr>
          <w:sz w:val="22"/>
          <w:szCs w:val="24"/>
          <w:lang w:val="en-AU"/>
        </w:rPr>
      </w:pPr>
      <w:r w:rsidRPr="00D21FCE">
        <w:rPr>
          <w:sz w:val="22"/>
          <w:szCs w:val="24"/>
          <w:lang w:val="en-AU"/>
        </w:rPr>
        <w:t>from the sub</w:t>
      </w:r>
      <w:r w:rsidR="00D21FCE">
        <w:rPr>
          <w:sz w:val="22"/>
          <w:szCs w:val="24"/>
          <w:lang w:val="en-AU"/>
        </w:rPr>
        <w:noBreakHyphen/>
      </w:r>
      <w:r w:rsidRPr="00D21FCE">
        <w:rPr>
          <w:sz w:val="22"/>
          <w:szCs w:val="24"/>
          <w:lang w:val="en-AU"/>
        </w:rPr>
        <w:t>leasing of real property, or the resale of goods used in fitting out premises, under a property resource agreement between the Minister and the Presiding Officer or Presiding Officers responsible for that Department;</w:t>
      </w:r>
    </w:p>
    <w:p w:rsidR="00107445" w:rsidRPr="00D21FCE" w:rsidRDefault="008F24DE" w:rsidP="007B5033">
      <w:pPr>
        <w:shd w:val="clear" w:color="auto" w:fill="FFFFFF"/>
        <w:spacing w:before="120" w:after="60"/>
        <w:ind w:left="14"/>
        <w:jc w:val="both"/>
        <w:rPr>
          <w:sz w:val="22"/>
          <w:lang w:val="en-AU"/>
        </w:rPr>
      </w:pPr>
      <w:r w:rsidRPr="00D21FCE">
        <w:rPr>
          <w:sz w:val="22"/>
          <w:szCs w:val="24"/>
          <w:lang w:val="en-AU"/>
        </w:rPr>
        <w:t>may be credited to that subdivision or Division, to the extent and on the conditions agreed between the Minister and the Presiding Officer or Presiding Officers.</w:t>
      </w:r>
    </w:p>
    <w:p w:rsidR="00107445" w:rsidRPr="00D21FCE" w:rsidRDefault="008F24DE" w:rsidP="007B5033">
      <w:pPr>
        <w:shd w:val="clear" w:color="auto" w:fill="FFFFFF"/>
        <w:spacing w:before="120" w:after="60"/>
        <w:ind w:firstLine="288"/>
        <w:jc w:val="both"/>
        <w:rPr>
          <w:sz w:val="22"/>
          <w:lang w:val="en-AU"/>
        </w:rPr>
      </w:pPr>
      <w:r w:rsidRPr="00D21FCE">
        <w:rPr>
          <w:b/>
          <w:bCs/>
          <w:sz w:val="22"/>
          <w:szCs w:val="24"/>
          <w:lang w:val="en-AU"/>
        </w:rPr>
        <w:t>(2)</w:t>
      </w:r>
      <w:r w:rsidRPr="00D21FCE">
        <w:rPr>
          <w:sz w:val="22"/>
          <w:szCs w:val="24"/>
          <w:lang w:val="en-AU"/>
        </w:rPr>
        <w:t xml:space="preserve"> If the Consolidated Revenue Fund is credited with an amount purported to have been paid in respect of:</w:t>
      </w:r>
    </w:p>
    <w:p w:rsidR="00107445" w:rsidRPr="00D21FCE" w:rsidRDefault="008F24DE" w:rsidP="007B5033">
      <w:pPr>
        <w:numPr>
          <w:ilvl w:val="0"/>
          <w:numId w:val="3"/>
        </w:numPr>
        <w:shd w:val="clear" w:color="auto" w:fill="FFFFFF"/>
        <w:tabs>
          <w:tab w:val="left" w:pos="552"/>
        </w:tabs>
        <w:spacing w:before="120" w:after="60"/>
        <w:ind w:left="576" w:hanging="288"/>
        <w:jc w:val="both"/>
        <w:rPr>
          <w:sz w:val="22"/>
          <w:szCs w:val="24"/>
          <w:lang w:val="en-AU"/>
        </w:rPr>
      </w:pPr>
      <w:r w:rsidRPr="00D21FCE">
        <w:rPr>
          <w:sz w:val="22"/>
          <w:szCs w:val="24"/>
          <w:lang w:val="en-AU"/>
        </w:rPr>
        <w:t>a sale, or other transaction, referred to in paragraph (1)(a), (b) or (e); or</w:t>
      </w:r>
    </w:p>
    <w:p w:rsidR="00107445" w:rsidRPr="00D21FCE" w:rsidRDefault="008F24DE" w:rsidP="007B5033">
      <w:pPr>
        <w:numPr>
          <w:ilvl w:val="0"/>
          <w:numId w:val="3"/>
        </w:numPr>
        <w:shd w:val="clear" w:color="auto" w:fill="FFFFFF"/>
        <w:tabs>
          <w:tab w:val="left" w:pos="552"/>
        </w:tabs>
        <w:spacing w:before="120" w:after="60"/>
        <w:ind w:left="576" w:hanging="288"/>
        <w:jc w:val="both"/>
        <w:rPr>
          <w:sz w:val="22"/>
          <w:szCs w:val="24"/>
          <w:lang w:val="en-AU"/>
        </w:rPr>
      </w:pPr>
      <w:r w:rsidRPr="00D21FCE">
        <w:rPr>
          <w:sz w:val="22"/>
          <w:szCs w:val="24"/>
          <w:lang w:val="en-AU"/>
        </w:rPr>
        <w:t>the provision of services; or</w:t>
      </w:r>
    </w:p>
    <w:p w:rsidR="00107445" w:rsidRPr="00D21FCE" w:rsidRDefault="008F24DE" w:rsidP="007B5033">
      <w:pPr>
        <w:numPr>
          <w:ilvl w:val="0"/>
          <w:numId w:val="3"/>
        </w:numPr>
        <w:shd w:val="clear" w:color="auto" w:fill="FFFFFF"/>
        <w:tabs>
          <w:tab w:val="left" w:pos="552"/>
        </w:tabs>
        <w:spacing w:before="120" w:after="60"/>
        <w:ind w:left="576" w:hanging="288"/>
        <w:jc w:val="both"/>
        <w:rPr>
          <w:sz w:val="22"/>
          <w:szCs w:val="24"/>
          <w:lang w:val="en-AU"/>
        </w:rPr>
      </w:pPr>
      <w:r w:rsidRPr="00D21FCE">
        <w:rPr>
          <w:sz w:val="22"/>
          <w:szCs w:val="24"/>
          <w:lang w:val="en-AU"/>
        </w:rPr>
        <w:t>any benefit referred to in paragraph (1)(d);</w:t>
      </w:r>
    </w:p>
    <w:p w:rsidR="00107445" w:rsidRPr="00D21FCE" w:rsidRDefault="008F24DE" w:rsidP="007B5033">
      <w:pPr>
        <w:shd w:val="clear" w:color="auto" w:fill="FFFFFF"/>
        <w:spacing w:before="120" w:after="60"/>
        <w:jc w:val="both"/>
        <w:rPr>
          <w:sz w:val="22"/>
          <w:lang w:val="en-AU"/>
        </w:rPr>
      </w:pPr>
      <w:r w:rsidRPr="00D21FCE">
        <w:rPr>
          <w:sz w:val="22"/>
          <w:szCs w:val="24"/>
          <w:lang w:val="en-AU"/>
        </w:rPr>
        <w:t>that amount is taken, for the purposes of subsection (1), to be money received from that sale or other transaction or from the provision of those services or as payment for that benefit (as the case may be), whether or not money has in fact been received in payment of that amount.</w:t>
      </w:r>
    </w:p>
    <w:p w:rsidR="00107445" w:rsidRPr="00D21FCE" w:rsidRDefault="005107D5" w:rsidP="007B5033">
      <w:pPr>
        <w:shd w:val="clear" w:color="auto" w:fill="FFFFFF"/>
        <w:tabs>
          <w:tab w:val="left" w:pos="672"/>
        </w:tabs>
        <w:spacing w:before="120" w:after="60"/>
        <w:ind w:left="5"/>
        <w:jc w:val="both"/>
        <w:rPr>
          <w:sz w:val="22"/>
          <w:lang w:val="en-AU"/>
        </w:rPr>
      </w:pPr>
      <w:r w:rsidRPr="00D21FCE">
        <w:rPr>
          <w:sz w:val="22"/>
          <w:lang w:val="en-AU"/>
        </w:rPr>
        <w:br w:type="page"/>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Payments to Departments out of money appropriated for the purposes of certain employment subsidy schemes or programs</w:t>
      </w:r>
    </w:p>
    <w:p w:rsidR="00107445" w:rsidRPr="00D21FCE" w:rsidRDefault="008F24DE" w:rsidP="007B5033">
      <w:pPr>
        <w:shd w:val="clear" w:color="auto" w:fill="FFFFFF"/>
        <w:spacing w:before="120" w:after="60"/>
        <w:ind w:firstLine="288"/>
        <w:jc w:val="both"/>
        <w:rPr>
          <w:sz w:val="22"/>
          <w:lang w:val="en-AU"/>
        </w:rPr>
      </w:pPr>
      <w:r w:rsidRPr="00D21FCE">
        <w:rPr>
          <w:b/>
          <w:bCs/>
          <w:sz w:val="22"/>
          <w:szCs w:val="22"/>
          <w:lang w:val="en-AU"/>
        </w:rPr>
        <w:t xml:space="preserve">6. (1) </w:t>
      </w:r>
      <w:r w:rsidRPr="00D21FCE">
        <w:rPr>
          <w:sz w:val="22"/>
          <w:szCs w:val="22"/>
          <w:lang w:val="en-AU"/>
        </w:rPr>
        <w:t>If:</w:t>
      </w:r>
    </w:p>
    <w:p w:rsidR="00107445" w:rsidRPr="00D21FCE" w:rsidRDefault="008F24DE" w:rsidP="007B5033">
      <w:pPr>
        <w:numPr>
          <w:ilvl w:val="0"/>
          <w:numId w:val="4"/>
        </w:numPr>
        <w:shd w:val="clear" w:color="auto" w:fill="FFFFFF"/>
        <w:tabs>
          <w:tab w:val="left" w:pos="979"/>
        </w:tabs>
        <w:spacing w:before="120" w:after="60"/>
        <w:ind w:left="1152" w:hanging="576"/>
        <w:jc w:val="both"/>
        <w:rPr>
          <w:sz w:val="22"/>
          <w:szCs w:val="22"/>
          <w:lang w:val="en-AU"/>
        </w:rPr>
      </w:pPr>
      <w:r w:rsidRPr="00D21FCE">
        <w:rPr>
          <w:sz w:val="22"/>
          <w:szCs w:val="22"/>
          <w:lang w:val="en-AU"/>
        </w:rPr>
        <w:t>a payment (whether real or notional) is made to a Parliamentary Department out of money appropriated for the purposes of an approved employment subsidy scheme or program; and</w:t>
      </w:r>
    </w:p>
    <w:p w:rsidR="00107445" w:rsidRPr="00D21FCE" w:rsidRDefault="008F24DE" w:rsidP="007B5033">
      <w:pPr>
        <w:numPr>
          <w:ilvl w:val="0"/>
          <w:numId w:val="5"/>
        </w:numPr>
        <w:shd w:val="clear" w:color="auto" w:fill="FFFFFF"/>
        <w:tabs>
          <w:tab w:val="left" w:pos="979"/>
        </w:tabs>
        <w:spacing w:before="120" w:after="60"/>
        <w:ind w:left="1152" w:hanging="576"/>
        <w:jc w:val="both"/>
        <w:rPr>
          <w:sz w:val="22"/>
          <w:szCs w:val="22"/>
          <w:lang w:val="en-AU"/>
        </w:rPr>
      </w:pPr>
      <w:r w:rsidRPr="00D21FCE">
        <w:rPr>
          <w:sz w:val="22"/>
          <w:szCs w:val="22"/>
          <w:lang w:val="en-AU"/>
        </w:rPr>
        <w:t>the payment is an approved payment; and</w:t>
      </w:r>
    </w:p>
    <w:p w:rsidR="00107445" w:rsidRPr="00D21FCE" w:rsidRDefault="008F24DE" w:rsidP="007B5033">
      <w:pPr>
        <w:numPr>
          <w:ilvl w:val="0"/>
          <w:numId w:val="4"/>
        </w:numPr>
        <w:shd w:val="clear" w:color="auto" w:fill="FFFFFF"/>
        <w:tabs>
          <w:tab w:val="left" w:pos="979"/>
        </w:tabs>
        <w:spacing w:before="120" w:after="60"/>
        <w:ind w:left="1152" w:hanging="576"/>
        <w:jc w:val="both"/>
        <w:rPr>
          <w:sz w:val="22"/>
          <w:szCs w:val="22"/>
          <w:lang w:val="en-AU"/>
        </w:rPr>
      </w:pPr>
      <w:r w:rsidRPr="00D21FCE">
        <w:rPr>
          <w:sz w:val="22"/>
          <w:szCs w:val="22"/>
          <w:lang w:val="en-AU"/>
        </w:rPr>
        <w:t>a subdivision or Division in the Schedule appropriates money to that Department for running costs;</w:t>
      </w:r>
    </w:p>
    <w:p w:rsidR="00107445" w:rsidRPr="00D21FCE" w:rsidRDefault="008F24DE" w:rsidP="007B5033">
      <w:pPr>
        <w:shd w:val="clear" w:color="auto" w:fill="FFFFFF"/>
        <w:spacing w:before="120" w:after="60"/>
        <w:ind w:left="10"/>
        <w:jc w:val="both"/>
        <w:rPr>
          <w:sz w:val="22"/>
          <w:lang w:val="en-AU"/>
        </w:rPr>
      </w:pPr>
      <w:r w:rsidRPr="00D21FCE">
        <w:rPr>
          <w:sz w:val="22"/>
          <w:szCs w:val="22"/>
          <w:lang w:val="en-AU"/>
        </w:rPr>
        <w:t xml:space="preserve">the Schedule is taken, for the purposes of this Act and the </w:t>
      </w:r>
      <w:r w:rsidRPr="00D21FCE">
        <w:rPr>
          <w:i/>
          <w:iCs/>
          <w:sz w:val="22"/>
          <w:szCs w:val="22"/>
          <w:lang w:val="en-AU"/>
        </w:rPr>
        <w:t xml:space="preserve">Audit Act 1901, </w:t>
      </w:r>
      <w:r w:rsidRPr="00D21FCE">
        <w:rPr>
          <w:sz w:val="22"/>
          <w:szCs w:val="22"/>
          <w:lang w:val="en-AU"/>
        </w:rPr>
        <w:t>to provide that any money received by the Department by way of such a payment may be credited to that subdivision or Division.</w:t>
      </w:r>
    </w:p>
    <w:p w:rsidR="00107445" w:rsidRPr="00D21FCE" w:rsidRDefault="008F24DE" w:rsidP="007B5033">
      <w:pPr>
        <w:shd w:val="clear" w:color="auto" w:fill="FFFFFF"/>
        <w:tabs>
          <w:tab w:val="left" w:pos="552"/>
        </w:tabs>
        <w:spacing w:before="120" w:after="60"/>
        <w:ind w:firstLine="288"/>
        <w:jc w:val="both"/>
        <w:rPr>
          <w:sz w:val="22"/>
          <w:lang w:val="en-AU"/>
        </w:rPr>
      </w:pPr>
      <w:r w:rsidRPr="00D21FCE">
        <w:rPr>
          <w:b/>
          <w:bCs/>
          <w:sz w:val="22"/>
          <w:szCs w:val="22"/>
          <w:lang w:val="en-AU"/>
        </w:rPr>
        <w:t>(2)</w:t>
      </w:r>
      <w:r w:rsidRPr="00D21FCE">
        <w:rPr>
          <w:sz w:val="22"/>
          <w:szCs w:val="22"/>
          <w:lang w:val="en-AU"/>
        </w:rPr>
        <w:tab/>
        <w:t>If:</w:t>
      </w:r>
    </w:p>
    <w:p w:rsidR="00107445" w:rsidRPr="00D21FCE" w:rsidRDefault="008F24DE" w:rsidP="007B5033">
      <w:pPr>
        <w:numPr>
          <w:ilvl w:val="0"/>
          <w:numId w:val="6"/>
        </w:numPr>
        <w:shd w:val="clear" w:color="auto" w:fill="FFFFFF"/>
        <w:tabs>
          <w:tab w:val="left" w:pos="979"/>
        </w:tabs>
        <w:spacing w:before="120" w:after="60"/>
        <w:ind w:left="1152" w:hanging="576"/>
        <w:jc w:val="both"/>
        <w:rPr>
          <w:sz w:val="22"/>
          <w:szCs w:val="22"/>
          <w:lang w:val="en-AU"/>
        </w:rPr>
      </w:pPr>
      <w:r w:rsidRPr="00D21FCE">
        <w:rPr>
          <w:sz w:val="22"/>
          <w:szCs w:val="22"/>
          <w:lang w:val="en-AU"/>
        </w:rPr>
        <w:t>the Consolidated Revenue Fund is credited with an amount purporting to be a payment to a Parliamentary Department; and</w:t>
      </w:r>
    </w:p>
    <w:p w:rsidR="00107445" w:rsidRPr="00D21FCE" w:rsidRDefault="0058368D" w:rsidP="007B5033">
      <w:pPr>
        <w:numPr>
          <w:ilvl w:val="0"/>
          <w:numId w:val="7"/>
        </w:numPr>
        <w:shd w:val="clear" w:color="auto" w:fill="FFFFFF"/>
        <w:tabs>
          <w:tab w:val="left" w:pos="979"/>
        </w:tabs>
        <w:spacing w:before="120" w:after="60"/>
        <w:ind w:left="1152" w:hanging="576"/>
        <w:jc w:val="both"/>
        <w:rPr>
          <w:sz w:val="22"/>
          <w:szCs w:val="22"/>
          <w:lang w:val="en-AU"/>
        </w:rPr>
      </w:pPr>
      <w:r w:rsidRPr="00D21FCE">
        <w:rPr>
          <w:sz w:val="22"/>
          <w:szCs w:val="22"/>
          <w:lang w:val="en-AU"/>
        </w:rPr>
        <w:t>that</w:t>
      </w:r>
      <w:r w:rsidR="008F24DE" w:rsidRPr="00D21FCE">
        <w:rPr>
          <w:sz w:val="22"/>
          <w:szCs w:val="22"/>
          <w:lang w:val="en-AU"/>
        </w:rPr>
        <w:t xml:space="preserve"> payment is an approved payment;</w:t>
      </w:r>
    </w:p>
    <w:p w:rsidR="00107445" w:rsidRPr="00D21FCE" w:rsidRDefault="008F24DE" w:rsidP="007B5033">
      <w:pPr>
        <w:shd w:val="clear" w:color="auto" w:fill="FFFFFF"/>
        <w:spacing w:before="120" w:after="60"/>
        <w:jc w:val="both"/>
        <w:rPr>
          <w:sz w:val="22"/>
          <w:lang w:val="en-AU"/>
        </w:rPr>
      </w:pPr>
      <w:r w:rsidRPr="00D21FCE">
        <w:rPr>
          <w:sz w:val="22"/>
          <w:szCs w:val="22"/>
          <w:lang w:val="en-AU"/>
        </w:rPr>
        <w:t>that amount is taken, for the purposes of subsection (1), to be money received by the Department by way of such a payment, whether or not money has in fact been received in respect of the payment.</w:t>
      </w:r>
    </w:p>
    <w:p w:rsidR="00107445" w:rsidRPr="00D21FCE" w:rsidRDefault="008F24DE" w:rsidP="007B5033">
      <w:pPr>
        <w:shd w:val="clear" w:color="auto" w:fill="FFFFFF"/>
        <w:tabs>
          <w:tab w:val="left" w:pos="552"/>
        </w:tabs>
        <w:spacing w:before="120" w:after="60"/>
        <w:ind w:firstLine="288"/>
        <w:jc w:val="both"/>
        <w:rPr>
          <w:sz w:val="22"/>
          <w:lang w:val="en-AU"/>
        </w:rPr>
      </w:pPr>
      <w:r w:rsidRPr="00D21FCE">
        <w:rPr>
          <w:b/>
          <w:bCs/>
          <w:sz w:val="22"/>
          <w:szCs w:val="22"/>
          <w:lang w:val="en-AU"/>
        </w:rPr>
        <w:t>(3)</w:t>
      </w:r>
      <w:r w:rsidRPr="00D21FCE">
        <w:rPr>
          <w:sz w:val="22"/>
          <w:szCs w:val="22"/>
          <w:lang w:val="en-AU"/>
        </w:rPr>
        <w:tab/>
        <w:t>In this section:</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 xml:space="preserve">"approved employment subsidy scheme or program" </w:t>
      </w:r>
      <w:r w:rsidRPr="00D21FCE">
        <w:rPr>
          <w:sz w:val="22"/>
          <w:szCs w:val="22"/>
          <w:lang w:val="en-AU"/>
        </w:rPr>
        <w:t xml:space="preserve">means an employment subsidy scheme or program determined by the Minister, under subsection 9(1) of the </w:t>
      </w:r>
      <w:r w:rsidRPr="00D21FCE">
        <w:rPr>
          <w:i/>
          <w:iCs/>
          <w:sz w:val="22"/>
          <w:szCs w:val="22"/>
          <w:lang w:val="en-AU"/>
        </w:rPr>
        <w:t>Supply Act (No. 1) 1996</w:t>
      </w:r>
      <w:r w:rsidR="00D21FCE">
        <w:rPr>
          <w:i/>
          <w:iCs/>
          <w:sz w:val="22"/>
          <w:szCs w:val="22"/>
          <w:lang w:val="en-AU"/>
        </w:rPr>
        <w:noBreakHyphen/>
      </w:r>
      <w:r w:rsidRPr="00D21FCE">
        <w:rPr>
          <w:i/>
          <w:iCs/>
          <w:sz w:val="22"/>
          <w:szCs w:val="22"/>
          <w:lang w:val="en-AU"/>
        </w:rPr>
        <w:t xml:space="preserve">97, </w:t>
      </w:r>
      <w:r w:rsidRPr="00D21FCE">
        <w:rPr>
          <w:sz w:val="22"/>
          <w:szCs w:val="22"/>
          <w:lang w:val="en-AU"/>
        </w:rPr>
        <w:t>to be an approved employment subsidy scheme or program for the purposes of that Act.</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 xml:space="preserve">"approved payment" </w:t>
      </w:r>
      <w:r w:rsidRPr="00D21FCE">
        <w:rPr>
          <w:sz w:val="22"/>
          <w:szCs w:val="22"/>
          <w:lang w:val="en-AU"/>
        </w:rPr>
        <w:t xml:space="preserve">means a payment (out of money appropriated for an approved employment subsidy scheme or program) declared by the Minister, under subsection 9(2) of the </w:t>
      </w:r>
      <w:r w:rsidRPr="00D21FCE">
        <w:rPr>
          <w:i/>
          <w:iCs/>
          <w:sz w:val="22"/>
          <w:szCs w:val="22"/>
          <w:lang w:val="en-AU"/>
        </w:rPr>
        <w:t>Supply Act (No. 1) 1996</w:t>
      </w:r>
      <w:r w:rsidR="00D21FCE">
        <w:rPr>
          <w:i/>
          <w:iCs/>
          <w:sz w:val="22"/>
          <w:szCs w:val="22"/>
          <w:lang w:val="en-AU"/>
        </w:rPr>
        <w:noBreakHyphen/>
      </w:r>
      <w:r w:rsidRPr="00D21FCE">
        <w:rPr>
          <w:i/>
          <w:iCs/>
          <w:sz w:val="22"/>
          <w:szCs w:val="22"/>
          <w:lang w:val="en-AU"/>
        </w:rPr>
        <w:t xml:space="preserve">97, </w:t>
      </w:r>
      <w:r w:rsidRPr="00D21FCE">
        <w:rPr>
          <w:sz w:val="22"/>
          <w:szCs w:val="22"/>
          <w:lang w:val="en-AU"/>
        </w:rPr>
        <w:t>to be an approved payment for the purposes of that Act.</w:t>
      </w:r>
    </w:p>
    <w:p w:rsidR="00107445" w:rsidRPr="00D21FCE" w:rsidRDefault="005107D5" w:rsidP="007B5033">
      <w:pPr>
        <w:shd w:val="clear" w:color="auto" w:fill="FFFFFF"/>
        <w:spacing w:before="120" w:after="60"/>
        <w:ind w:left="682"/>
        <w:jc w:val="both"/>
        <w:rPr>
          <w:sz w:val="22"/>
          <w:lang w:val="en-AU"/>
        </w:rPr>
      </w:pPr>
      <w:r w:rsidRPr="00D21FCE">
        <w:rPr>
          <w:sz w:val="22"/>
          <w:lang w:val="en-AU"/>
        </w:rPr>
        <w:br w:type="page"/>
      </w:r>
    </w:p>
    <w:p w:rsidR="00107445" w:rsidRPr="00D21FCE" w:rsidRDefault="008F24DE" w:rsidP="007B5033">
      <w:pPr>
        <w:shd w:val="clear" w:color="auto" w:fill="FFFFFF"/>
        <w:spacing w:before="120" w:after="60"/>
        <w:ind w:left="14"/>
        <w:jc w:val="both"/>
        <w:rPr>
          <w:sz w:val="22"/>
          <w:lang w:val="en-AU"/>
        </w:rPr>
      </w:pPr>
      <w:r w:rsidRPr="00D21FCE">
        <w:rPr>
          <w:b/>
          <w:bCs/>
          <w:sz w:val="22"/>
          <w:szCs w:val="22"/>
          <w:lang w:val="en-AU"/>
        </w:rPr>
        <w:t>Advances to President, Speaker or President and Speaker</w:t>
      </w:r>
    </w:p>
    <w:p w:rsidR="00107445" w:rsidRPr="00D21FCE" w:rsidRDefault="008F24DE" w:rsidP="007B5033">
      <w:pPr>
        <w:shd w:val="clear" w:color="auto" w:fill="FFFFFF"/>
        <w:tabs>
          <w:tab w:val="left" w:pos="451"/>
        </w:tabs>
        <w:spacing w:before="120" w:after="60"/>
        <w:ind w:firstLine="288"/>
        <w:jc w:val="both"/>
        <w:rPr>
          <w:sz w:val="22"/>
          <w:lang w:val="en-AU"/>
        </w:rPr>
      </w:pPr>
      <w:r w:rsidRPr="00D21FCE">
        <w:rPr>
          <w:b/>
          <w:bCs/>
          <w:sz w:val="22"/>
          <w:szCs w:val="22"/>
          <w:lang w:val="en-AU"/>
        </w:rPr>
        <w:t>7.</w:t>
      </w:r>
      <w:r w:rsidRPr="00D21FCE">
        <w:rPr>
          <w:b/>
          <w:bCs/>
          <w:sz w:val="22"/>
          <w:szCs w:val="22"/>
          <w:lang w:val="en-AU"/>
        </w:rPr>
        <w:tab/>
        <w:t xml:space="preserve">(1) </w:t>
      </w:r>
      <w:r w:rsidRPr="00D21FCE">
        <w:rPr>
          <w:sz w:val="22"/>
          <w:szCs w:val="22"/>
          <w:lang w:val="en-AU"/>
        </w:rPr>
        <w:t>Expenditure in relation to the Senate in excess of specific</w:t>
      </w:r>
      <w:r w:rsidR="005107D5" w:rsidRPr="00D21FCE">
        <w:rPr>
          <w:sz w:val="22"/>
          <w:szCs w:val="22"/>
          <w:lang w:val="en-AU"/>
        </w:rPr>
        <w:t xml:space="preserve"> </w:t>
      </w:r>
      <w:r w:rsidRPr="00D21FCE">
        <w:rPr>
          <w:sz w:val="22"/>
          <w:szCs w:val="22"/>
          <w:lang w:val="en-AU"/>
        </w:rPr>
        <w:t>appropriation may be charged to any subdivision of Division 101 in the</w:t>
      </w:r>
      <w:r w:rsidR="005107D5" w:rsidRPr="00D21FCE">
        <w:rPr>
          <w:sz w:val="22"/>
          <w:szCs w:val="22"/>
          <w:lang w:val="en-AU"/>
        </w:rPr>
        <w:t xml:space="preserve"> </w:t>
      </w:r>
      <w:r w:rsidRPr="00D21FCE">
        <w:rPr>
          <w:sz w:val="22"/>
          <w:szCs w:val="22"/>
          <w:lang w:val="en-AU"/>
        </w:rPr>
        <w:t>Schedule as the President directs but the total expenditure so charged in the</w:t>
      </w:r>
      <w:r w:rsidR="005107D5" w:rsidRPr="00D21FCE">
        <w:rPr>
          <w:sz w:val="22"/>
          <w:szCs w:val="22"/>
          <w:lang w:val="en-AU"/>
        </w:rPr>
        <w:t xml:space="preserve"> </w:t>
      </w:r>
      <w:r w:rsidRPr="00D21FCE">
        <w:rPr>
          <w:sz w:val="22"/>
          <w:szCs w:val="22"/>
          <w:lang w:val="en-AU"/>
        </w:rPr>
        <w:t>year ending on 30 June 1997, after deduction of amounts of repayments, must</w:t>
      </w:r>
      <w:r w:rsidR="005107D5" w:rsidRPr="00D21FCE">
        <w:rPr>
          <w:sz w:val="22"/>
          <w:szCs w:val="22"/>
          <w:lang w:val="en-AU"/>
        </w:rPr>
        <w:t xml:space="preserve"> </w:t>
      </w:r>
      <w:r w:rsidRPr="00D21FCE">
        <w:rPr>
          <w:sz w:val="22"/>
          <w:szCs w:val="22"/>
          <w:lang w:val="en-AU"/>
        </w:rPr>
        <w:t>not at any time exceed the amount appropriated for that year under the head</w:t>
      </w:r>
      <w:r w:rsidR="005107D5" w:rsidRPr="00D21FCE">
        <w:rPr>
          <w:sz w:val="22"/>
          <w:szCs w:val="22"/>
          <w:lang w:val="en-AU"/>
        </w:rPr>
        <w:t xml:space="preserve"> </w:t>
      </w:r>
      <w:r w:rsidRPr="00D21FCE">
        <w:rPr>
          <w:sz w:val="22"/>
          <w:szCs w:val="22"/>
          <w:lang w:val="en-AU"/>
        </w:rPr>
        <w:t>"Advance to the President of the Senate".</w:t>
      </w:r>
    </w:p>
    <w:p w:rsidR="00107445" w:rsidRPr="00D21FCE" w:rsidRDefault="008F24DE" w:rsidP="007B5033">
      <w:pPr>
        <w:numPr>
          <w:ilvl w:val="0"/>
          <w:numId w:val="8"/>
        </w:numPr>
        <w:shd w:val="clear" w:color="auto" w:fill="FFFFFF"/>
        <w:tabs>
          <w:tab w:val="left" w:pos="576"/>
        </w:tabs>
        <w:spacing w:before="120" w:after="60"/>
        <w:ind w:firstLine="288"/>
        <w:jc w:val="both"/>
        <w:rPr>
          <w:b/>
          <w:bCs/>
          <w:sz w:val="22"/>
          <w:szCs w:val="22"/>
          <w:lang w:val="en-AU"/>
        </w:rPr>
      </w:pPr>
      <w:r w:rsidRPr="00D21FCE">
        <w:rPr>
          <w:sz w:val="22"/>
          <w:szCs w:val="22"/>
          <w:lang w:val="en-AU"/>
        </w:rPr>
        <w:t>Expenditure in relation to the House of Representatives in excess of specific appropriation may be charged to any subdivision of Division 104 in the Schedule as the Speaker directs but the total expenditure so charged in the year ending 30 June 1997, after deduction of amounts of repayments, must not at any time exceed the amount appropriated for that year under the head "Advance to the Speaker of the House of Representatives".</w:t>
      </w:r>
    </w:p>
    <w:p w:rsidR="00107445" w:rsidRPr="00D21FCE" w:rsidRDefault="008F24DE" w:rsidP="007B5033">
      <w:pPr>
        <w:numPr>
          <w:ilvl w:val="0"/>
          <w:numId w:val="8"/>
        </w:numPr>
        <w:shd w:val="clear" w:color="auto" w:fill="FFFFFF"/>
        <w:tabs>
          <w:tab w:val="left" w:pos="576"/>
        </w:tabs>
        <w:spacing w:before="120" w:after="60"/>
        <w:ind w:firstLine="288"/>
        <w:jc w:val="both"/>
        <w:rPr>
          <w:b/>
          <w:bCs/>
          <w:sz w:val="22"/>
          <w:szCs w:val="22"/>
          <w:lang w:val="en-AU"/>
        </w:rPr>
      </w:pPr>
      <w:r w:rsidRPr="00D21FCE">
        <w:rPr>
          <w:sz w:val="22"/>
          <w:szCs w:val="22"/>
          <w:lang w:val="en-AU"/>
        </w:rPr>
        <w:t>Expenditure in relation to the Parliamentary Reporting Staff, the Parliamentary Library or the Joint House Department in excess of specific appropriation may be charged to any subdivision of Division 107, 108 or 109 in the Schedule as the President and the Speaker both direct but the total expenditure so charged in the year ending 30 June 1997, after deduction of amounts of repayments, must not at any time exceed the amount appropriated for mat year under the head "Joint Advance to the President and the Speaker".</w:t>
      </w:r>
    </w:p>
    <w:p w:rsidR="00107445" w:rsidRPr="00D21FCE" w:rsidRDefault="008F24DE" w:rsidP="007B5033">
      <w:pPr>
        <w:shd w:val="clear" w:color="auto" w:fill="FFFFFF"/>
        <w:spacing w:before="120" w:after="60"/>
        <w:ind w:left="10"/>
        <w:jc w:val="both"/>
        <w:rPr>
          <w:sz w:val="22"/>
          <w:lang w:val="en-AU"/>
        </w:rPr>
      </w:pPr>
      <w:r w:rsidRPr="00D21FCE">
        <w:rPr>
          <w:b/>
          <w:bCs/>
          <w:sz w:val="22"/>
          <w:szCs w:val="22"/>
          <w:lang w:val="en-AU"/>
        </w:rPr>
        <w:t>Accounting errors etc. may be corrected after close of financial year</w:t>
      </w:r>
    </w:p>
    <w:p w:rsidR="00107445" w:rsidRPr="00D21FCE" w:rsidRDefault="008F24DE" w:rsidP="007B5033">
      <w:pPr>
        <w:shd w:val="clear" w:color="auto" w:fill="FFFFFF"/>
        <w:tabs>
          <w:tab w:val="left" w:pos="653"/>
        </w:tabs>
        <w:spacing w:before="120" w:after="60"/>
        <w:ind w:firstLine="288"/>
        <w:jc w:val="both"/>
        <w:rPr>
          <w:sz w:val="22"/>
          <w:lang w:val="en-AU"/>
        </w:rPr>
      </w:pPr>
      <w:r w:rsidRPr="00D21FCE">
        <w:rPr>
          <w:b/>
          <w:bCs/>
          <w:sz w:val="22"/>
          <w:szCs w:val="22"/>
          <w:lang w:val="en-AU"/>
        </w:rPr>
        <w:t>8.</w:t>
      </w:r>
      <w:r w:rsidRPr="00D21FCE">
        <w:rPr>
          <w:b/>
          <w:bCs/>
          <w:sz w:val="22"/>
          <w:szCs w:val="22"/>
          <w:lang w:val="en-AU"/>
        </w:rPr>
        <w:tab/>
      </w:r>
      <w:r w:rsidRPr="00D21FCE">
        <w:rPr>
          <w:sz w:val="22"/>
          <w:szCs w:val="22"/>
          <w:lang w:val="en-AU"/>
        </w:rPr>
        <w:t xml:space="preserve">Section 36 of the </w:t>
      </w:r>
      <w:r w:rsidRPr="00D21FCE">
        <w:rPr>
          <w:i/>
          <w:iCs/>
          <w:sz w:val="22"/>
          <w:szCs w:val="22"/>
          <w:lang w:val="en-AU"/>
        </w:rPr>
        <w:t xml:space="preserve">Audit Act 1901 </w:t>
      </w:r>
      <w:r w:rsidRPr="00D21FCE">
        <w:rPr>
          <w:sz w:val="22"/>
          <w:szCs w:val="22"/>
          <w:lang w:val="en-AU"/>
        </w:rPr>
        <w:t>does not prevent the Minister from</w:t>
      </w:r>
      <w:r w:rsidR="005107D5" w:rsidRPr="00D21FCE">
        <w:rPr>
          <w:sz w:val="22"/>
          <w:szCs w:val="22"/>
          <w:lang w:val="en-AU"/>
        </w:rPr>
        <w:t xml:space="preserve"> </w:t>
      </w:r>
      <w:r w:rsidRPr="00D21FCE">
        <w:rPr>
          <w:sz w:val="22"/>
          <w:szCs w:val="22"/>
          <w:lang w:val="en-AU"/>
        </w:rPr>
        <w:t>taking action after 30 June 1997:</w:t>
      </w:r>
    </w:p>
    <w:p w:rsidR="00107445" w:rsidRPr="00D21FCE" w:rsidRDefault="008F24DE" w:rsidP="007B5033">
      <w:pPr>
        <w:numPr>
          <w:ilvl w:val="0"/>
          <w:numId w:val="9"/>
        </w:numPr>
        <w:shd w:val="clear" w:color="auto" w:fill="FFFFFF"/>
        <w:tabs>
          <w:tab w:val="left" w:pos="528"/>
        </w:tabs>
        <w:spacing w:before="120" w:after="60"/>
        <w:ind w:left="576" w:hanging="288"/>
        <w:jc w:val="both"/>
        <w:rPr>
          <w:sz w:val="22"/>
          <w:szCs w:val="22"/>
          <w:lang w:val="en-AU"/>
        </w:rPr>
      </w:pPr>
      <w:r w:rsidRPr="00D21FCE">
        <w:rPr>
          <w:sz w:val="22"/>
          <w:szCs w:val="22"/>
          <w:lang w:val="en-AU"/>
        </w:rPr>
        <w:t>to correct errors or mispostings in the official accounting records of the Commonwealth for the year ending on that day; or</w:t>
      </w:r>
    </w:p>
    <w:p w:rsidR="00107445" w:rsidRPr="00D21FCE" w:rsidRDefault="008F24DE" w:rsidP="007B5033">
      <w:pPr>
        <w:numPr>
          <w:ilvl w:val="0"/>
          <w:numId w:val="9"/>
        </w:numPr>
        <w:shd w:val="clear" w:color="auto" w:fill="FFFFFF"/>
        <w:tabs>
          <w:tab w:val="left" w:pos="528"/>
        </w:tabs>
        <w:spacing w:before="120" w:after="60"/>
        <w:ind w:left="576" w:hanging="288"/>
        <w:jc w:val="both"/>
        <w:rPr>
          <w:sz w:val="22"/>
          <w:szCs w:val="22"/>
          <w:lang w:val="en-AU"/>
        </w:rPr>
      </w:pPr>
      <w:r w:rsidRPr="00D21FCE">
        <w:rPr>
          <w:sz w:val="22"/>
          <w:szCs w:val="22"/>
          <w:lang w:val="en-AU"/>
        </w:rPr>
        <w:t>to balance the Consolidated Revenue Fund, the Trust Fund or the Loan Fund;</w:t>
      </w:r>
    </w:p>
    <w:p w:rsidR="00107445" w:rsidRPr="00D21FCE" w:rsidRDefault="008F24DE" w:rsidP="007B5033">
      <w:pPr>
        <w:shd w:val="clear" w:color="auto" w:fill="FFFFFF"/>
        <w:spacing w:before="120" w:after="60"/>
        <w:ind w:left="14"/>
        <w:jc w:val="both"/>
        <w:rPr>
          <w:sz w:val="22"/>
          <w:lang w:val="en-AU"/>
        </w:rPr>
      </w:pPr>
      <w:r w:rsidRPr="00D21FCE">
        <w:rPr>
          <w:sz w:val="22"/>
          <w:szCs w:val="22"/>
          <w:lang w:val="en-AU"/>
        </w:rPr>
        <w:t>if the action does not result in an amount being debited from one of those Funds otherwise than for the purpose of being credited to another of those Funds.</w:t>
      </w:r>
    </w:p>
    <w:p w:rsidR="00107445" w:rsidRPr="00D21FCE" w:rsidRDefault="008F24DE" w:rsidP="007B5033">
      <w:pPr>
        <w:shd w:val="clear" w:color="auto" w:fill="FFFFFF"/>
        <w:spacing w:before="120" w:after="60"/>
        <w:jc w:val="both"/>
        <w:rPr>
          <w:lang w:val="en-AU"/>
        </w:rPr>
      </w:pPr>
      <w:r w:rsidRPr="00D21FCE">
        <w:rPr>
          <w:szCs w:val="16"/>
          <w:lang w:val="en-AU"/>
        </w:rPr>
        <w:t xml:space="preserve">Note: Section 36 of the </w:t>
      </w:r>
      <w:r w:rsidRPr="00D21FCE">
        <w:rPr>
          <w:i/>
          <w:iCs/>
          <w:szCs w:val="16"/>
          <w:lang w:val="en-AU"/>
        </w:rPr>
        <w:t xml:space="preserve">Audit Act 1901 </w:t>
      </w:r>
      <w:r w:rsidRPr="00D21FCE">
        <w:rPr>
          <w:szCs w:val="16"/>
          <w:lang w:val="en-AU"/>
        </w:rPr>
        <w:t>provides that (except in a particular case provided for in that section) every appropriation out of the Consolidated Revenue Fund for the service of a financial year lapses and ceases to have effect at the end of that year (the unspent balance of any appropriated amount lapsing) and that the accounts of the year are then closed.</w:t>
      </w:r>
    </w:p>
    <w:p w:rsidR="00107445" w:rsidRPr="00D21FCE" w:rsidRDefault="005107D5" w:rsidP="007B5033">
      <w:pPr>
        <w:shd w:val="clear" w:color="auto" w:fill="FFFFFF"/>
        <w:tabs>
          <w:tab w:val="left" w:pos="672"/>
        </w:tabs>
        <w:spacing w:before="120" w:after="60"/>
        <w:ind w:left="10"/>
        <w:jc w:val="both"/>
        <w:rPr>
          <w:sz w:val="22"/>
          <w:lang w:val="en-AU"/>
        </w:rPr>
      </w:pPr>
      <w:r w:rsidRPr="00D21FCE">
        <w:rPr>
          <w:sz w:val="22"/>
          <w:lang w:val="en-AU"/>
        </w:rPr>
        <w:br w:type="page"/>
      </w:r>
    </w:p>
    <w:p w:rsidR="00107445" w:rsidRPr="00D21FCE" w:rsidRDefault="008F24DE" w:rsidP="007B5033">
      <w:pPr>
        <w:shd w:val="clear" w:color="auto" w:fill="FFFFFF"/>
        <w:spacing w:before="120" w:after="60"/>
        <w:ind w:left="1507"/>
        <w:jc w:val="both"/>
        <w:rPr>
          <w:sz w:val="22"/>
          <w:lang w:val="en-AU"/>
        </w:rPr>
      </w:pPr>
      <w:r w:rsidRPr="00D21FCE">
        <w:rPr>
          <w:b/>
          <w:bCs/>
          <w:sz w:val="22"/>
          <w:szCs w:val="22"/>
          <w:lang w:val="en-AU"/>
        </w:rPr>
        <w:t xml:space="preserve">PART 2 </w:t>
      </w:r>
      <w:r w:rsidR="00D21FCE">
        <w:rPr>
          <w:b/>
          <w:bCs/>
          <w:sz w:val="22"/>
          <w:szCs w:val="22"/>
          <w:lang w:val="en-AU"/>
        </w:rPr>
        <w:noBreakHyphen/>
      </w:r>
      <w:r w:rsidRPr="00D21FCE">
        <w:rPr>
          <w:b/>
          <w:bCs/>
          <w:sz w:val="22"/>
          <w:szCs w:val="22"/>
          <w:lang w:val="en-AU"/>
        </w:rPr>
        <w:t xml:space="preserve"> SPECIAL APPLICATION OF ACT</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Definitions</w:t>
      </w:r>
    </w:p>
    <w:p w:rsidR="00107445" w:rsidRPr="00D21FCE" w:rsidRDefault="008F24DE" w:rsidP="007B5033">
      <w:pPr>
        <w:shd w:val="clear" w:color="auto" w:fill="FFFFFF"/>
        <w:tabs>
          <w:tab w:val="left" w:pos="566"/>
        </w:tabs>
        <w:spacing w:before="120" w:after="60"/>
        <w:ind w:firstLine="288"/>
        <w:jc w:val="both"/>
        <w:rPr>
          <w:sz w:val="22"/>
          <w:lang w:val="en-AU"/>
        </w:rPr>
      </w:pPr>
      <w:r w:rsidRPr="00D21FCE">
        <w:rPr>
          <w:b/>
          <w:bCs/>
          <w:sz w:val="22"/>
          <w:szCs w:val="22"/>
          <w:lang w:val="en-AU"/>
        </w:rPr>
        <w:t>9.</w:t>
      </w:r>
      <w:r w:rsidRPr="00D21FCE">
        <w:rPr>
          <w:b/>
          <w:bCs/>
          <w:sz w:val="22"/>
          <w:szCs w:val="22"/>
          <w:lang w:val="en-AU"/>
        </w:rPr>
        <w:tab/>
      </w:r>
      <w:r w:rsidRPr="00D21FCE">
        <w:rPr>
          <w:sz w:val="22"/>
          <w:szCs w:val="22"/>
          <w:lang w:val="en-AU"/>
        </w:rPr>
        <w:t>In this Part:</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 xml:space="preserve">"Financial Management and Accountability Act" </w:t>
      </w:r>
      <w:r w:rsidRPr="00D21FCE">
        <w:rPr>
          <w:sz w:val="22"/>
          <w:szCs w:val="22"/>
          <w:lang w:val="en-AU"/>
        </w:rPr>
        <w:t>means the Act to be cited as:</w:t>
      </w:r>
    </w:p>
    <w:p w:rsidR="00107445" w:rsidRPr="00D21FCE" w:rsidRDefault="008F24DE" w:rsidP="007B5033">
      <w:pPr>
        <w:numPr>
          <w:ilvl w:val="0"/>
          <w:numId w:val="10"/>
        </w:numPr>
        <w:shd w:val="clear" w:color="auto" w:fill="FFFFFF"/>
        <w:tabs>
          <w:tab w:val="left" w:pos="557"/>
        </w:tabs>
        <w:spacing w:before="120" w:after="60"/>
        <w:ind w:left="576" w:hanging="288"/>
        <w:jc w:val="both"/>
        <w:rPr>
          <w:sz w:val="22"/>
          <w:szCs w:val="22"/>
          <w:lang w:val="en-AU"/>
        </w:rPr>
      </w:pPr>
      <w:r w:rsidRPr="00D21FCE">
        <w:rPr>
          <w:sz w:val="22"/>
          <w:szCs w:val="22"/>
          <w:lang w:val="en-AU"/>
        </w:rPr>
        <w:t xml:space="preserve">the </w:t>
      </w:r>
      <w:r w:rsidRPr="00D21FCE">
        <w:rPr>
          <w:i/>
          <w:iCs/>
          <w:sz w:val="22"/>
          <w:szCs w:val="22"/>
          <w:lang w:val="en-AU"/>
        </w:rPr>
        <w:t xml:space="preserve">Financial Management and Accountability Act 1996; </w:t>
      </w:r>
      <w:r w:rsidRPr="00D21FCE">
        <w:rPr>
          <w:sz w:val="22"/>
          <w:szCs w:val="22"/>
          <w:lang w:val="en-AU"/>
        </w:rPr>
        <w:t>or</w:t>
      </w:r>
    </w:p>
    <w:p w:rsidR="00107445" w:rsidRPr="00D21FCE" w:rsidRDefault="008F24DE" w:rsidP="007B5033">
      <w:pPr>
        <w:numPr>
          <w:ilvl w:val="0"/>
          <w:numId w:val="10"/>
        </w:numPr>
        <w:shd w:val="clear" w:color="auto" w:fill="FFFFFF"/>
        <w:tabs>
          <w:tab w:val="left" w:pos="557"/>
        </w:tabs>
        <w:spacing w:before="120" w:after="60"/>
        <w:ind w:left="576" w:hanging="288"/>
        <w:jc w:val="both"/>
        <w:rPr>
          <w:sz w:val="22"/>
          <w:szCs w:val="22"/>
          <w:lang w:val="en-AU"/>
        </w:rPr>
      </w:pPr>
      <w:r w:rsidRPr="00D21FCE">
        <w:rPr>
          <w:sz w:val="22"/>
          <w:szCs w:val="22"/>
          <w:lang w:val="en-AU"/>
        </w:rPr>
        <w:t xml:space="preserve">the </w:t>
      </w:r>
      <w:r w:rsidRPr="00D21FCE">
        <w:rPr>
          <w:i/>
          <w:iCs/>
          <w:sz w:val="22"/>
          <w:szCs w:val="22"/>
          <w:lang w:val="en-AU"/>
        </w:rPr>
        <w:t>Financial Management and Accountability Act 1997.</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Application of Part</w:t>
      </w:r>
    </w:p>
    <w:p w:rsidR="00107445" w:rsidRPr="00D21FCE" w:rsidRDefault="008F24DE" w:rsidP="007B5033">
      <w:pPr>
        <w:shd w:val="clear" w:color="auto" w:fill="FFFFFF"/>
        <w:tabs>
          <w:tab w:val="left" w:pos="677"/>
        </w:tabs>
        <w:spacing w:before="120" w:after="60"/>
        <w:ind w:firstLine="288"/>
        <w:jc w:val="both"/>
        <w:rPr>
          <w:sz w:val="22"/>
          <w:lang w:val="en-AU"/>
        </w:rPr>
      </w:pPr>
      <w:r w:rsidRPr="00D21FCE">
        <w:rPr>
          <w:b/>
          <w:bCs/>
          <w:sz w:val="22"/>
          <w:szCs w:val="22"/>
          <w:lang w:val="en-AU"/>
        </w:rPr>
        <w:t>10.</w:t>
      </w:r>
      <w:r w:rsidRPr="00D21FCE">
        <w:rPr>
          <w:b/>
          <w:bCs/>
          <w:sz w:val="22"/>
          <w:szCs w:val="22"/>
          <w:lang w:val="en-AU"/>
        </w:rPr>
        <w:tab/>
      </w:r>
      <w:r w:rsidRPr="00D21FCE">
        <w:rPr>
          <w:sz w:val="22"/>
          <w:szCs w:val="22"/>
          <w:lang w:val="en-AU"/>
        </w:rPr>
        <w:t>This Part applies if the Financial Management and Accountability Act</w:t>
      </w:r>
      <w:r w:rsidR="005107D5" w:rsidRPr="00D21FCE">
        <w:rPr>
          <w:sz w:val="22"/>
          <w:szCs w:val="22"/>
          <w:lang w:val="en-AU"/>
        </w:rPr>
        <w:t xml:space="preserve"> </w:t>
      </w:r>
      <w:r w:rsidRPr="00D21FCE">
        <w:rPr>
          <w:sz w:val="22"/>
          <w:szCs w:val="22"/>
          <w:lang w:val="en-AU"/>
        </w:rPr>
        <w:t>commences before 30 June 1997.</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Act to have effect subject to modifications</w:t>
      </w:r>
    </w:p>
    <w:p w:rsidR="00107445" w:rsidRPr="00D21FCE" w:rsidRDefault="008F24DE" w:rsidP="007B5033">
      <w:pPr>
        <w:shd w:val="clear" w:color="auto" w:fill="FFFFFF"/>
        <w:tabs>
          <w:tab w:val="left" w:pos="562"/>
        </w:tabs>
        <w:spacing w:before="120" w:after="60"/>
        <w:ind w:firstLine="288"/>
        <w:jc w:val="both"/>
        <w:rPr>
          <w:sz w:val="22"/>
          <w:lang w:val="en-AU"/>
        </w:rPr>
      </w:pPr>
      <w:r w:rsidRPr="00D21FCE">
        <w:rPr>
          <w:b/>
          <w:bCs/>
          <w:sz w:val="22"/>
          <w:szCs w:val="22"/>
          <w:lang w:val="en-AU"/>
        </w:rPr>
        <w:t>11.</w:t>
      </w:r>
      <w:r w:rsidRPr="00D21FCE">
        <w:rPr>
          <w:b/>
          <w:bCs/>
          <w:sz w:val="22"/>
          <w:szCs w:val="22"/>
          <w:lang w:val="en-AU"/>
        </w:rPr>
        <w:tab/>
        <w:t xml:space="preserve">(1) </w:t>
      </w:r>
      <w:r w:rsidRPr="00D21FCE">
        <w:rPr>
          <w:sz w:val="22"/>
          <w:szCs w:val="22"/>
          <w:lang w:val="en-AU"/>
        </w:rPr>
        <w:t>This Act has effect after the commencement of the Financial Management and</w:t>
      </w:r>
      <w:r w:rsidR="005107D5" w:rsidRPr="00D21FCE">
        <w:rPr>
          <w:sz w:val="22"/>
          <w:szCs w:val="22"/>
          <w:lang w:val="en-AU"/>
        </w:rPr>
        <w:t xml:space="preserve"> </w:t>
      </w:r>
      <w:r w:rsidRPr="00D21FCE">
        <w:rPr>
          <w:sz w:val="22"/>
          <w:szCs w:val="22"/>
          <w:lang w:val="en-AU"/>
        </w:rPr>
        <w:t>Accountability Act subject to the modifications set out in the following</w:t>
      </w:r>
      <w:r w:rsidR="005107D5" w:rsidRPr="00D21FCE">
        <w:rPr>
          <w:sz w:val="22"/>
          <w:szCs w:val="22"/>
          <w:lang w:val="en-AU"/>
        </w:rPr>
        <w:t xml:space="preserve"> </w:t>
      </w:r>
      <w:r w:rsidRPr="00D21FCE">
        <w:rPr>
          <w:sz w:val="22"/>
          <w:szCs w:val="22"/>
          <w:lang w:val="en-AU"/>
        </w:rPr>
        <w:t>subsections.</w:t>
      </w:r>
    </w:p>
    <w:p w:rsidR="00107445" w:rsidRPr="00D21FCE" w:rsidRDefault="008F24DE" w:rsidP="007B5033">
      <w:pPr>
        <w:shd w:val="clear" w:color="auto" w:fill="FFFFFF"/>
        <w:tabs>
          <w:tab w:val="left" w:pos="542"/>
        </w:tabs>
        <w:spacing w:before="120" w:after="60"/>
        <w:ind w:firstLine="288"/>
        <w:jc w:val="both"/>
        <w:rPr>
          <w:sz w:val="22"/>
          <w:lang w:val="en-AU"/>
        </w:rPr>
      </w:pPr>
      <w:r w:rsidRPr="00D21FCE">
        <w:rPr>
          <w:b/>
          <w:bCs/>
          <w:sz w:val="22"/>
          <w:szCs w:val="22"/>
          <w:lang w:val="en-AU"/>
        </w:rPr>
        <w:t>(2)</w:t>
      </w:r>
      <w:r w:rsidRPr="00D21FCE">
        <w:rPr>
          <w:sz w:val="22"/>
          <w:szCs w:val="22"/>
          <w:lang w:val="en-AU"/>
        </w:rPr>
        <w:tab/>
        <w:t>After section 2 the following section is inserted:</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Interpretation</w:t>
      </w:r>
    </w:p>
    <w:p w:rsidR="00107445" w:rsidRPr="00D21FCE" w:rsidRDefault="008F24DE" w:rsidP="007B5033">
      <w:pPr>
        <w:shd w:val="clear" w:color="auto" w:fill="FFFFFF"/>
        <w:spacing w:before="120" w:after="60"/>
        <w:ind w:left="206"/>
        <w:jc w:val="both"/>
        <w:rPr>
          <w:sz w:val="22"/>
          <w:lang w:val="en-AU"/>
        </w:rPr>
      </w:pPr>
      <w:r w:rsidRPr="00D21FCE">
        <w:rPr>
          <w:sz w:val="22"/>
          <w:szCs w:val="22"/>
          <w:lang w:val="en-AU"/>
        </w:rPr>
        <w:t>"2A. In this Part:</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 xml:space="preserve">'Financial Management and Accountability Act' </w:t>
      </w:r>
      <w:r w:rsidRPr="00D21FCE">
        <w:rPr>
          <w:sz w:val="22"/>
          <w:szCs w:val="22"/>
          <w:lang w:val="en-AU"/>
        </w:rPr>
        <w:t>means:</w:t>
      </w:r>
    </w:p>
    <w:p w:rsidR="00107445" w:rsidRPr="00D21FCE" w:rsidRDefault="008F24DE" w:rsidP="007B5033">
      <w:pPr>
        <w:numPr>
          <w:ilvl w:val="0"/>
          <w:numId w:val="11"/>
        </w:numPr>
        <w:shd w:val="clear" w:color="auto" w:fill="FFFFFF"/>
        <w:tabs>
          <w:tab w:val="left" w:pos="538"/>
        </w:tabs>
        <w:spacing w:before="120" w:after="60"/>
        <w:ind w:left="576" w:hanging="288"/>
        <w:jc w:val="both"/>
        <w:rPr>
          <w:sz w:val="22"/>
          <w:szCs w:val="22"/>
          <w:lang w:val="en-AU"/>
        </w:rPr>
      </w:pPr>
      <w:r w:rsidRPr="00D21FCE">
        <w:rPr>
          <w:sz w:val="22"/>
          <w:szCs w:val="22"/>
          <w:lang w:val="en-AU"/>
        </w:rPr>
        <w:t xml:space="preserve">the </w:t>
      </w:r>
      <w:r w:rsidRPr="00D21FCE">
        <w:rPr>
          <w:i/>
          <w:iCs/>
          <w:sz w:val="22"/>
          <w:szCs w:val="22"/>
          <w:lang w:val="en-AU"/>
        </w:rPr>
        <w:t xml:space="preserve">Financial Management and Accountability Act 1996; </w:t>
      </w:r>
      <w:r w:rsidRPr="00D21FCE">
        <w:rPr>
          <w:sz w:val="22"/>
          <w:szCs w:val="22"/>
          <w:lang w:val="en-AU"/>
        </w:rPr>
        <w:t>or</w:t>
      </w:r>
    </w:p>
    <w:p w:rsidR="00107445" w:rsidRPr="00D21FCE" w:rsidRDefault="008F24DE" w:rsidP="007B5033">
      <w:pPr>
        <w:numPr>
          <w:ilvl w:val="0"/>
          <w:numId w:val="11"/>
        </w:numPr>
        <w:shd w:val="clear" w:color="auto" w:fill="FFFFFF"/>
        <w:tabs>
          <w:tab w:val="left" w:pos="538"/>
        </w:tabs>
        <w:spacing w:before="120" w:after="60"/>
        <w:ind w:left="576" w:hanging="288"/>
        <w:jc w:val="both"/>
        <w:rPr>
          <w:sz w:val="22"/>
          <w:szCs w:val="22"/>
          <w:lang w:val="en-AU"/>
        </w:rPr>
      </w:pPr>
      <w:r w:rsidRPr="00D21FCE">
        <w:rPr>
          <w:sz w:val="22"/>
          <w:szCs w:val="22"/>
          <w:lang w:val="en-AU"/>
        </w:rPr>
        <w:t xml:space="preserve">the </w:t>
      </w:r>
      <w:r w:rsidRPr="00D21FCE">
        <w:rPr>
          <w:i/>
          <w:iCs/>
          <w:sz w:val="22"/>
          <w:szCs w:val="22"/>
          <w:lang w:val="en-AU"/>
        </w:rPr>
        <w:t>Financial Management and Accountability Act 1997;</w:t>
      </w:r>
    </w:p>
    <w:p w:rsidR="00107445" w:rsidRPr="00D21FCE" w:rsidRDefault="008F24DE" w:rsidP="007B5033">
      <w:pPr>
        <w:shd w:val="clear" w:color="auto" w:fill="FFFFFF"/>
        <w:tabs>
          <w:tab w:val="left" w:pos="538"/>
        </w:tabs>
        <w:spacing w:before="120" w:after="60"/>
        <w:jc w:val="both"/>
        <w:rPr>
          <w:sz w:val="22"/>
          <w:lang w:val="en-AU"/>
        </w:rPr>
      </w:pPr>
      <w:r w:rsidRPr="00D21FCE">
        <w:rPr>
          <w:sz w:val="22"/>
          <w:szCs w:val="22"/>
          <w:lang w:val="en-AU"/>
        </w:rPr>
        <w:t>whichever is in force.".</w:t>
      </w:r>
    </w:p>
    <w:p w:rsidR="00107445" w:rsidRPr="00D21FCE" w:rsidRDefault="008F24DE" w:rsidP="007B5033">
      <w:pPr>
        <w:shd w:val="clear" w:color="auto" w:fill="FFFFFF"/>
        <w:tabs>
          <w:tab w:val="left" w:pos="542"/>
        </w:tabs>
        <w:spacing w:before="120" w:after="60"/>
        <w:ind w:firstLine="288"/>
        <w:jc w:val="both"/>
        <w:rPr>
          <w:sz w:val="22"/>
          <w:lang w:val="en-AU"/>
        </w:rPr>
      </w:pPr>
      <w:r w:rsidRPr="00D21FCE">
        <w:rPr>
          <w:b/>
          <w:bCs/>
          <w:sz w:val="22"/>
          <w:szCs w:val="22"/>
          <w:lang w:val="en-AU"/>
        </w:rPr>
        <w:t>(3)</w:t>
      </w:r>
      <w:r w:rsidRPr="00D21FCE">
        <w:rPr>
          <w:sz w:val="22"/>
          <w:szCs w:val="22"/>
          <w:lang w:val="en-AU"/>
        </w:rPr>
        <w:tab/>
        <w:t>Section 5 is repealed and the following section is substituted:</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Net annotated appropriations</w:t>
      </w:r>
    </w:p>
    <w:p w:rsidR="00107445" w:rsidRPr="00D21FCE" w:rsidRDefault="008F24DE" w:rsidP="007B5033">
      <w:pPr>
        <w:shd w:val="clear" w:color="auto" w:fill="FFFFFF"/>
        <w:spacing w:before="120" w:after="60"/>
        <w:ind w:firstLine="288"/>
        <w:jc w:val="both"/>
        <w:rPr>
          <w:sz w:val="22"/>
          <w:lang w:val="en-AU"/>
        </w:rPr>
      </w:pPr>
      <w:r w:rsidRPr="00D21FCE">
        <w:rPr>
          <w:sz w:val="22"/>
          <w:szCs w:val="22"/>
          <w:lang w:val="en-AU"/>
        </w:rPr>
        <w:t>"5. If:</w:t>
      </w:r>
    </w:p>
    <w:p w:rsidR="00107445" w:rsidRPr="00D21FCE" w:rsidRDefault="008F24DE" w:rsidP="007B5033">
      <w:pPr>
        <w:shd w:val="clear" w:color="auto" w:fill="FFFFFF"/>
        <w:spacing w:before="120" w:after="60"/>
        <w:ind w:left="576" w:hanging="288"/>
        <w:jc w:val="both"/>
        <w:rPr>
          <w:sz w:val="22"/>
          <w:lang w:val="en-AU"/>
        </w:rPr>
      </w:pPr>
      <w:r w:rsidRPr="00D21FCE">
        <w:rPr>
          <w:sz w:val="22"/>
          <w:szCs w:val="22"/>
          <w:lang w:val="en-AU"/>
        </w:rPr>
        <w:t xml:space="preserve">(a) the description of the purpose of an appropriation set out in a subdivision or Division in the Schedule includes the words "net appropriation </w:t>
      </w:r>
      <w:r w:rsidRPr="00D21FCE">
        <w:rPr>
          <w:rFonts w:eastAsia="Times New Roman"/>
          <w:sz w:val="22"/>
          <w:szCs w:val="22"/>
          <w:lang w:val="en-AU"/>
        </w:rPr>
        <w:t>— see section 5"; and</w:t>
      </w:r>
    </w:p>
    <w:p w:rsidR="00107445" w:rsidRPr="00D21FCE" w:rsidRDefault="005107D5" w:rsidP="007B5033">
      <w:pPr>
        <w:shd w:val="clear" w:color="auto" w:fill="FFFFFF"/>
        <w:spacing w:before="120" w:after="60"/>
        <w:ind w:left="701"/>
        <w:jc w:val="both"/>
        <w:rPr>
          <w:sz w:val="22"/>
          <w:lang w:val="en-AU"/>
        </w:rPr>
      </w:pPr>
      <w:r w:rsidRPr="00D21FCE">
        <w:rPr>
          <w:sz w:val="22"/>
          <w:lang w:val="en-AU"/>
        </w:rPr>
        <w:br w:type="page"/>
      </w:r>
    </w:p>
    <w:p w:rsidR="00107445" w:rsidRPr="00D21FCE" w:rsidRDefault="008F24DE" w:rsidP="007B5033">
      <w:pPr>
        <w:shd w:val="clear" w:color="auto" w:fill="FFFFFF"/>
        <w:spacing w:before="120" w:after="60"/>
        <w:ind w:left="576" w:hanging="288"/>
        <w:jc w:val="both"/>
        <w:rPr>
          <w:sz w:val="22"/>
          <w:lang w:val="en-AU"/>
        </w:rPr>
      </w:pPr>
      <w:r w:rsidRPr="00D21FCE">
        <w:rPr>
          <w:sz w:val="22"/>
          <w:szCs w:val="22"/>
          <w:lang w:val="en-AU"/>
        </w:rPr>
        <w:t>(b) there is in force an agreement (entered into under the Financial Management Accountability Act) between:</w:t>
      </w:r>
    </w:p>
    <w:p w:rsidR="00107445" w:rsidRPr="00D21FCE" w:rsidRDefault="00F64DC4" w:rsidP="007B5033">
      <w:pPr>
        <w:shd w:val="clear" w:color="auto" w:fill="FFFFFF"/>
        <w:spacing w:before="120" w:after="60"/>
        <w:ind w:left="1008" w:hanging="432"/>
        <w:jc w:val="both"/>
        <w:rPr>
          <w:sz w:val="22"/>
          <w:lang w:val="en-AU"/>
        </w:rPr>
      </w:pPr>
      <w:r w:rsidRPr="00D21FCE">
        <w:rPr>
          <w:sz w:val="22"/>
          <w:szCs w:val="22"/>
          <w:lang w:val="en-AU"/>
        </w:rPr>
        <w:t>(i)</w:t>
      </w:r>
      <w:r w:rsidRPr="00D21FCE">
        <w:rPr>
          <w:sz w:val="22"/>
          <w:szCs w:val="22"/>
          <w:lang w:val="en-AU"/>
        </w:rPr>
        <w:tab/>
      </w:r>
      <w:r w:rsidR="008F24DE" w:rsidRPr="00D21FCE">
        <w:rPr>
          <w:sz w:val="22"/>
          <w:szCs w:val="22"/>
          <w:lang w:val="en-AU"/>
        </w:rPr>
        <w:t>the Minister; and</w:t>
      </w:r>
    </w:p>
    <w:p w:rsidR="00107445" w:rsidRPr="00D21FCE" w:rsidRDefault="00F64DC4" w:rsidP="007B5033">
      <w:pPr>
        <w:shd w:val="clear" w:color="auto" w:fill="FFFFFF"/>
        <w:spacing w:before="120" w:after="60"/>
        <w:ind w:left="1008" w:hanging="432"/>
        <w:jc w:val="both"/>
        <w:rPr>
          <w:sz w:val="22"/>
          <w:lang w:val="en-AU"/>
        </w:rPr>
      </w:pPr>
      <w:r w:rsidRPr="00D21FCE">
        <w:rPr>
          <w:sz w:val="22"/>
          <w:szCs w:val="22"/>
          <w:lang w:val="en-AU"/>
        </w:rPr>
        <w:t>(ii)</w:t>
      </w:r>
      <w:r w:rsidRPr="00D21FCE">
        <w:rPr>
          <w:sz w:val="22"/>
          <w:szCs w:val="22"/>
          <w:lang w:val="en-AU"/>
        </w:rPr>
        <w:tab/>
      </w:r>
      <w:r w:rsidR="008F24DE" w:rsidRPr="00D21FCE">
        <w:rPr>
          <w:sz w:val="22"/>
          <w:szCs w:val="22"/>
          <w:lang w:val="en-AU"/>
        </w:rPr>
        <w:t>the Presiding Officer or Presiding Officers responsible for the Parliamentary Department for which the appropriation is made;</w:t>
      </w:r>
    </w:p>
    <w:p w:rsidR="00107445" w:rsidRPr="00D21FCE" w:rsidRDefault="008F24DE" w:rsidP="007B5033">
      <w:pPr>
        <w:shd w:val="clear" w:color="auto" w:fill="FFFFFF"/>
        <w:spacing w:before="120" w:after="60"/>
        <w:ind w:left="432"/>
        <w:jc w:val="both"/>
        <w:rPr>
          <w:sz w:val="22"/>
          <w:lang w:val="en-AU"/>
        </w:rPr>
      </w:pPr>
      <w:r w:rsidRPr="00D21FCE">
        <w:rPr>
          <w:sz w:val="22"/>
          <w:szCs w:val="22"/>
          <w:lang w:val="en-AU"/>
        </w:rPr>
        <w:t>to the effect that payments to the Commonwealth in consideration for any service, benefit, activity, transaction or other matter specified in the agreement can be added to the amount appropriated to the Department under the subdivision or Division, to the extent and on the conditions set out in the agreement;</w:t>
      </w:r>
    </w:p>
    <w:p w:rsidR="00107445" w:rsidRPr="00D21FCE" w:rsidRDefault="008F24DE" w:rsidP="007B5033">
      <w:pPr>
        <w:shd w:val="clear" w:color="auto" w:fill="FFFFFF"/>
        <w:spacing w:before="120" w:after="60"/>
        <w:jc w:val="both"/>
        <w:rPr>
          <w:sz w:val="22"/>
          <w:lang w:val="en-AU"/>
        </w:rPr>
      </w:pPr>
      <w:r w:rsidRPr="00D21FCE">
        <w:rPr>
          <w:sz w:val="22"/>
          <w:szCs w:val="22"/>
          <w:lang w:val="en-AU"/>
        </w:rPr>
        <w:t>the subdivision or Division is taken to specify that those payments (whether real or notional) may be credited to the subdivision or Division to the extent and on the conditions set out in the agreement.".</w:t>
      </w:r>
    </w:p>
    <w:p w:rsidR="00107445" w:rsidRPr="00D21FCE" w:rsidRDefault="008F24DE" w:rsidP="007B5033">
      <w:pPr>
        <w:shd w:val="clear" w:color="auto" w:fill="FFFFFF"/>
        <w:tabs>
          <w:tab w:val="left" w:pos="523"/>
        </w:tabs>
        <w:spacing w:before="120" w:after="60"/>
        <w:ind w:firstLine="288"/>
        <w:jc w:val="both"/>
        <w:rPr>
          <w:sz w:val="22"/>
          <w:lang w:val="en-AU"/>
        </w:rPr>
      </w:pPr>
      <w:r w:rsidRPr="00D21FCE">
        <w:rPr>
          <w:b/>
          <w:bCs/>
          <w:sz w:val="22"/>
          <w:szCs w:val="22"/>
          <w:lang w:val="en-AU"/>
        </w:rPr>
        <w:t>(4)</w:t>
      </w:r>
      <w:r w:rsidRPr="00D21FCE">
        <w:rPr>
          <w:sz w:val="22"/>
          <w:szCs w:val="22"/>
          <w:lang w:val="en-AU"/>
        </w:rPr>
        <w:tab/>
        <w:t>Section 6 is modified:</w:t>
      </w:r>
    </w:p>
    <w:p w:rsidR="00107445" w:rsidRPr="00D21FCE" w:rsidRDefault="008F24DE" w:rsidP="007B5033">
      <w:pPr>
        <w:numPr>
          <w:ilvl w:val="0"/>
          <w:numId w:val="12"/>
        </w:numPr>
        <w:shd w:val="clear" w:color="auto" w:fill="FFFFFF"/>
        <w:tabs>
          <w:tab w:val="left" w:pos="514"/>
        </w:tabs>
        <w:spacing w:before="120" w:after="60"/>
        <w:ind w:left="576" w:hanging="288"/>
        <w:jc w:val="both"/>
        <w:rPr>
          <w:sz w:val="22"/>
          <w:szCs w:val="22"/>
          <w:lang w:val="en-AU"/>
        </w:rPr>
      </w:pPr>
      <w:r w:rsidRPr="00D21FCE">
        <w:rPr>
          <w:sz w:val="22"/>
          <w:szCs w:val="22"/>
          <w:lang w:val="en-AU"/>
        </w:rPr>
        <w:t>by omitting from subsection (1) all the words from and including "the Schedule" (second occuring) and substituting "the subdivision or Division is taken to specify that the payment may be credited to the subdivision or Division";</w:t>
      </w:r>
    </w:p>
    <w:p w:rsidR="00107445" w:rsidRPr="00D21FCE" w:rsidRDefault="008F24DE" w:rsidP="007B5033">
      <w:pPr>
        <w:numPr>
          <w:ilvl w:val="0"/>
          <w:numId w:val="13"/>
        </w:numPr>
        <w:shd w:val="clear" w:color="auto" w:fill="FFFFFF"/>
        <w:tabs>
          <w:tab w:val="left" w:pos="514"/>
        </w:tabs>
        <w:spacing w:before="120" w:after="60"/>
        <w:ind w:left="576" w:hanging="288"/>
        <w:jc w:val="both"/>
        <w:rPr>
          <w:sz w:val="22"/>
          <w:szCs w:val="22"/>
          <w:lang w:val="en-AU"/>
        </w:rPr>
      </w:pPr>
      <w:r w:rsidRPr="00D21FCE">
        <w:rPr>
          <w:sz w:val="22"/>
          <w:szCs w:val="22"/>
          <w:lang w:val="en-AU"/>
        </w:rPr>
        <w:t>by omitting subsection (2).</w:t>
      </w:r>
    </w:p>
    <w:p w:rsidR="00107445" w:rsidRPr="00D21FCE" w:rsidRDefault="008F24DE" w:rsidP="007B5033">
      <w:pPr>
        <w:shd w:val="clear" w:color="auto" w:fill="FFFFFF"/>
        <w:tabs>
          <w:tab w:val="left" w:pos="523"/>
        </w:tabs>
        <w:spacing w:before="120" w:after="60"/>
        <w:ind w:firstLine="288"/>
        <w:jc w:val="both"/>
        <w:rPr>
          <w:sz w:val="22"/>
          <w:lang w:val="en-AU"/>
        </w:rPr>
      </w:pPr>
      <w:r w:rsidRPr="00D21FCE">
        <w:rPr>
          <w:b/>
          <w:bCs/>
          <w:sz w:val="22"/>
          <w:szCs w:val="22"/>
          <w:lang w:val="en-AU"/>
        </w:rPr>
        <w:t>(5)</w:t>
      </w:r>
      <w:r w:rsidRPr="00D21FCE">
        <w:rPr>
          <w:sz w:val="22"/>
          <w:szCs w:val="22"/>
          <w:lang w:val="en-AU"/>
        </w:rPr>
        <w:tab/>
        <w:t>After section 6 the following section is inserted:</w:t>
      </w:r>
    </w:p>
    <w:p w:rsidR="00107445" w:rsidRPr="00D21FCE" w:rsidRDefault="008F24DE" w:rsidP="007B5033">
      <w:pPr>
        <w:shd w:val="clear" w:color="auto" w:fill="FFFFFF"/>
        <w:spacing w:before="120" w:after="60"/>
        <w:jc w:val="both"/>
        <w:rPr>
          <w:sz w:val="22"/>
          <w:lang w:val="en-AU"/>
        </w:rPr>
      </w:pPr>
      <w:r w:rsidRPr="00D21FCE">
        <w:rPr>
          <w:b/>
          <w:bCs/>
          <w:sz w:val="22"/>
          <w:szCs w:val="22"/>
          <w:lang w:val="en-AU"/>
        </w:rPr>
        <w:t>Certain amounts taken to be appropriated</w:t>
      </w:r>
    </w:p>
    <w:p w:rsidR="00107445" w:rsidRPr="00D21FCE" w:rsidRDefault="008F24DE" w:rsidP="007B5033">
      <w:pPr>
        <w:shd w:val="clear" w:color="auto" w:fill="FFFFFF"/>
        <w:spacing w:before="120" w:after="60"/>
        <w:ind w:firstLine="288"/>
        <w:jc w:val="both"/>
        <w:rPr>
          <w:sz w:val="22"/>
          <w:lang w:val="en-AU"/>
        </w:rPr>
      </w:pPr>
      <w:r w:rsidRPr="00D21FCE">
        <w:rPr>
          <w:sz w:val="22"/>
          <w:szCs w:val="22"/>
          <w:lang w:val="en-AU"/>
        </w:rPr>
        <w:t>"6A. If a subdivision or Division in the Schedule specifies, or is taken to specify, that payments (whether the word 'payments' or 'money' or any other word is used) of a certain description may be credited to the subdivision or Division:</w:t>
      </w:r>
    </w:p>
    <w:p w:rsidR="00107445" w:rsidRPr="00D21FCE" w:rsidRDefault="008F24DE" w:rsidP="00D21FCE">
      <w:pPr>
        <w:numPr>
          <w:ilvl w:val="0"/>
          <w:numId w:val="14"/>
        </w:numPr>
        <w:shd w:val="clear" w:color="auto" w:fill="FFFFFF"/>
        <w:tabs>
          <w:tab w:val="left" w:pos="509"/>
        </w:tabs>
        <w:spacing w:before="120" w:after="60"/>
        <w:ind w:left="576" w:hanging="288"/>
        <w:rPr>
          <w:sz w:val="22"/>
          <w:szCs w:val="22"/>
          <w:lang w:val="en-AU"/>
        </w:rPr>
      </w:pPr>
      <w:r w:rsidRPr="00D21FCE">
        <w:rPr>
          <w:sz w:val="22"/>
          <w:szCs w:val="22"/>
          <w:lang w:val="en-AU"/>
        </w:rPr>
        <w:t xml:space="preserve">amounts equal to payments (whether real or notional) of </w:t>
      </w:r>
      <w:r w:rsidR="00FA42FD" w:rsidRPr="00D21FCE">
        <w:rPr>
          <w:sz w:val="22"/>
          <w:szCs w:val="22"/>
          <w:lang w:val="en-AU"/>
        </w:rPr>
        <w:t>tha</w:t>
      </w:r>
      <w:r w:rsidRPr="00D21FCE">
        <w:rPr>
          <w:sz w:val="22"/>
          <w:szCs w:val="22"/>
          <w:lang w:val="en-AU"/>
        </w:rPr>
        <w:t>t description credited to the Consolidated Revenue Fund during the year ending on 30 June 1997 are taken to have been appropriated for the purpose or services referred to in that subdivision or Division; and</w:t>
      </w:r>
    </w:p>
    <w:p w:rsidR="00107445" w:rsidRPr="00D21FCE" w:rsidRDefault="008F24DE" w:rsidP="007B5033">
      <w:pPr>
        <w:numPr>
          <w:ilvl w:val="0"/>
          <w:numId w:val="14"/>
        </w:numPr>
        <w:shd w:val="clear" w:color="auto" w:fill="FFFFFF"/>
        <w:tabs>
          <w:tab w:val="left" w:pos="509"/>
        </w:tabs>
        <w:spacing w:before="120" w:after="60"/>
        <w:ind w:left="576" w:hanging="288"/>
        <w:jc w:val="both"/>
        <w:rPr>
          <w:sz w:val="22"/>
          <w:szCs w:val="22"/>
          <w:lang w:val="en-AU"/>
        </w:rPr>
      </w:pPr>
      <w:r w:rsidRPr="00D21FCE">
        <w:rPr>
          <w:sz w:val="22"/>
          <w:szCs w:val="22"/>
          <w:lang w:val="en-AU"/>
        </w:rPr>
        <w:t>the Minister is authorised to issue and apply those amounts accordingly.".</w:t>
      </w:r>
    </w:p>
    <w:p w:rsidR="00107445" w:rsidRPr="00D21FCE" w:rsidRDefault="005107D5" w:rsidP="007B5033">
      <w:pPr>
        <w:shd w:val="clear" w:color="auto" w:fill="FFFFFF"/>
        <w:tabs>
          <w:tab w:val="left" w:pos="667"/>
        </w:tabs>
        <w:spacing w:before="120" w:after="60"/>
        <w:ind w:left="14"/>
        <w:jc w:val="both"/>
        <w:rPr>
          <w:sz w:val="22"/>
          <w:lang w:val="en-AU"/>
        </w:rPr>
      </w:pPr>
      <w:r w:rsidRPr="00D21FCE">
        <w:rPr>
          <w:sz w:val="22"/>
          <w:szCs w:val="22"/>
          <w:lang w:val="en-AU"/>
        </w:rPr>
        <w:br w:type="page"/>
      </w:r>
    </w:p>
    <w:p w:rsidR="00107445" w:rsidRPr="00D21FCE" w:rsidRDefault="008F24DE" w:rsidP="007B5033">
      <w:pPr>
        <w:shd w:val="clear" w:color="auto" w:fill="FFFFFF"/>
        <w:spacing w:before="120" w:after="60"/>
        <w:ind w:firstLine="288"/>
        <w:jc w:val="both"/>
        <w:rPr>
          <w:sz w:val="22"/>
          <w:lang w:val="en-AU"/>
        </w:rPr>
      </w:pPr>
      <w:r w:rsidRPr="00D21FCE">
        <w:rPr>
          <w:b/>
          <w:bCs/>
          <w:sz w:val="22"/>
          <w:szCs w:val="24"/>
          <w:lang w:val="en-AU"/>
        </w:rPr>
        <w:t>(6)</w:t>
      </w:r>
      <w:r w:rsidRPr="00D21FCE">
        <w:rPr>
          <w:sz w:val="22"/>
          <w:szCs w:val="24"/>
          <w:lang w:val="en-AU"/>
        </w:rPr>
        <w:t xml:space="preserve"> Section 8 is repealed and the following section is substituted:</w:t>
      </w:r>
    </w:p>
    <w:p w:rsidR="00107445" w:rsidRPr="00D21FCE" w:rsidRDefault="008F24DE" w:rsidP="007B5033">
      <w:pPr>
        <w:shd w:val="clear" w:color="auto" w:fill="FFFFFF"/>
        <w:spacing w:before="120" w:after="60"/>
        <w:ind w:left="5"/>
        <w:jc w:val="both"/>
        <w:rPr>
          <w:sz w:val="22"/>
          <w:lang w:val="en-AU"/>
        </w:rPr>
      </w:pPr>
      <w:r w:rsidRPr="00D21FCE">
        <w:rPr>
          <w:b/>
          <w:bCs/>
          <w:sz w:val="22"/>
          <w:szCs w:val="24"/>
          <w:lang w:val="en-AU"/>
        </w:rPr>
        <w:t>Consolidated Revenue Fund not to be debited after close of financial year</w:t>
      </w:r>
    </w:p>
    <w:p w:rsidR="00107445" w:rsidRPr="00D21FCE" w:rsidRDefault="008F24DE" w:rsidP="007B5033">
      <w:pPr>
        <w:shd w:val="clear" w:color="auto" w:fill="FFFFFF"/>
        <w:spacing w:before="120" w:after="60"/>
        <w:ind w:firstLine="288"/>
        <w:jc w:val="both"/>
        <w:rPr>
          <w:sz w:val="22"/>
          <w:lang w:val="en-AU"/>
        </w:rPr>
      </w:pPr>
      <w:r w:rsidRPr="00D21FCE">
        <w:rPr>
          <w:sz w:val="22"/>
          <w:szCs w:val="24"/>
          <w:lang w:val="en-AU"/>
        </w:rPr>
        <w:t>"8. (1) An amount appropriated under this Act may not be debited from the Consolidated Revenue Fund after 30 June 1997.</w:t>
      </w:r>
    </w:p>
    <w:p w:rsidR="00107445" w:rsidRPr="00D21FCE" w:rsidRDefault="008F24DE" w:rsidP="007B5033">
      <w:pPr>
        <w:shd w:val="clear" w:color="auto" w:fill="FFFFFF"/>
        <w:spacing w:before="120" w:after="60"/>
        <w:ind w:left="10" w:firstLine="187"/>
        <w:jc w:val="both"/>
        <w:rPr>
          <w:sz w:val="22"/>
          <w:lang w:val="en-AU"/>
        </w:rPr>
      </w:pPr>
      <w:r w:rsidRPr="00D21FCE">
        <w:rPr>
          <w:sz w:val="22"/>
          <w:szCs w:val="24"/>
          <w:lang w:val="en-AU"/>
        </w:rPr>
        <w:t>(2) Subsection (1) does not prevent the Minister from taking action after 30 June 1997:</w:t>
      </w:r>
    </w:p>
    <w:p w:rsidR="00107445" w:rsidRPr="00D21FCE" w:rsidRDefault="008F24DE" w:rsidP="007B5033">
      <w:pPr>
        <w:numPr>
          <w:ilvl w:val="0"/>
          <w:numId w:val="15"/>
        </w:numPr>
        <w:shd w:val="clear" w:color="auto" w:fill="FFFFFF"/>
        <w:tabs>
          <w:tab w:val="left" w:pos="547"/>
        </w:tabs>
        <w:spacing w:before="120" w:after="60"/>
        <w:ind w:left="576" w:hanging="288"/>
        <w:jc w:val="both"/>
        <w:rPr>
          <w:sz w:val="22"/>
          <w:szCs w:val="24"/>
          <w:lang w:val="en-AU"/>
        </w:rPr>
      </w:pPr>
      <w:r w:rsidRPr="00D21FCE">
        <w:rPr>
          <w:sz w:val="22"/>
          <w:szCs w:val="24"/>
          <w:lang w:val="en-AU"/>
        </w:rPr>
        <w:t>to correct errors or mispostings in the financial accounting records of the Commonwealth for the year ending on that day; or</w:t>
      </w:r>
    </w:p>
    <w:p w:rsidR="00107445" w:rsidRPr="00D21FCE" w:rsidRDefault="008F24DE" w:rsidP="007B5033">
      <w:pPr>
        <w:numPr>
          <w:ilvl w:val="0"/>
          <w:numId w:val="15"/>
        </w:numPr>
        <w:shd w:val="clear" w:color="auto" w:fill="FFFFFF"/>
        <w:tabs>
          <w:tab w:val="left" w:pos="547"/>
        </w:tabs>
        <w:spacing w:before="120" w:after="60"/>
        <w:ind w:left="576" w:hanging="288"/>
        <w:jc w:val="both"/>
        <w:rPr>
          <w:sz w:val="22"/>
          <w:szCs w:val="24"/>
          <w:lang w:val="en-AU"/>
        </w:rPr>
      </w:pPr>
      <w:r w:rsidRPr="00D21FCE">
        <w:rPr>
          <w:sz w:val="22"/>
          <w:szCs w:val="24"/>
          <w:lang w:val="en-AU"/>
        </w:rPr>
        <w:t>to balance the Funds (within the meaning of the Financial Management and Accountability Act);</w:t>
      </w:r>
    </w:p>
    <w:p w:rsidR="00107445" w:rsidRPr="00D21FCE" w:rsidRDefault="008F24DE" w:rsidP="007B5033">
      <w:pPr>
        <w:shd w:val="clear" w:color="auto" w:fill="FFFFFF"/>
        <w:spacing w:before="120" w:after="60"/>
        <w:jc w:val="both"/>
        <w:rPr>
          <w:sz w:val="22"/>
          <w:lang w:val="en-AU"/>
        </w:rPr>
      </w:pPr>
      <w:r w:rsidRPr="00D21FCE">
        <w:rPr>
          <w:sz w:val="22"/>
          <w:szCs w:val="24"/>
          <w:lang w:val="en-AU"/>
        </w:rPr>
        <w:t>if the action does not result in an amount being debited from a Fund otherwise than for the purpose of being credited to another Fund.".</w:t>
      </w:r>
    </w:p>
    <w:p w:rsidR="00107445" w:rsidRPr="00D21FCE" w:rsidRDefault="00F60573" w:rsidP="007B5033">
      <w:pPr>
        <w:shd w:val="clear" w:color="auto" w:fill="FFFFFF"/>
        <w:tabs>
          <w:tab w:val="left" w:pos="8774"/>
        </w:tabs>
        <w:spacing w:before="120" w:after="60"/>
        <w:ind w:left="1387"/>
        <w:jc w:val="both"/>
        <w:rPr>
          <w:sz w:val="22"/>
          <w:lang w:val="en-AU"/>
        </w:rPr>
      </w:pPr>
      <w:r w:rsidRPr="00D21FCE">
        <w:rPr>
          <w:noProof/>
          <w:sz w:val="22"/>
          <w:lang w:val="en-AU" w:eastAsia="en-AU"/>
        </w:rPr>
        <mc:AlternateContent>
          <mc:Choice Requires="wps">
            <w:drawing>
              <wp:anchor distT="0" distB="0" distL="114300" distR="114300" simplePos="0" relativeHeight="251661824" behindDoc="0" locked="0" layoutInCell="1" allowOverlap="1" wp14:anchorId="5D464CB3" wp14:editId="6CF94963">
                <wp:simplePos x="0" y="0"/>
                <wp:positionH relativeFrom="column">
                  <wp:posOffset>2223820</wp:posOffset>
                </wp:positionH>
                <wp:positionV relativeFrom="paragraph">
                  <wp:posOffset>656260</wp:posOffset>
                </wp:positionV>
                <wp:extent cx="128747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28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2DB80"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75.1pt,51.65pt" to="276.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XktQEAALc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" strokecolor="black [3040]"/>
            </w:pict>
          </mc:Fallback>
        </mc:AlternateContent>
      </w:r>
      <w:r w:rsidR="005107D5" w:rsidRPr="00D21FCE">
        <w:rPr>
          <w:sz w:val="22"/>
          <w:lang w:val="en-AU"/>
        </w:rPr>
        <w:br w:type="page"/>
      </w:r>
    </w:p>
    <w:p w:rsidR="00107445" w:rsidRPr="00D21FCE" w:rsidRDefault="008F24DE" w:rsidP="007B5033">
      <w:pPr>
        <w:shd w:val="clear" w:color="auto" w:fill="FFFFFF"/>
        <w:tabs>
          <w:tab w:val="left" w:pos="4320"/>
        </w:tabs>
        <w:jc w:val="right"/>
        <w:rPr>
          <w:sz w:val="22"/>
          <w:lang w:val="en-AU"/>
        </w:rPr>
      </w:pPr>
      <w:r w:rsidRPr="00D21FCE">
        <w:rPr>
          <w:b/>
          <w:bCs/>
          <w:sz w:val="24"/>
          <w:szCs w:val="22"/>
          <w:lang w:val="en-AU"/>
        </w:rPr>
        <w:t>SCHEDULE</w:t>
      </w:r>
      <w:r w:rsidRPr="00D21FCE">
        <w:rPr>
          <w:sz w:val="22"/>
          <w:szCs w:val="22"/>
          <w:lang w:val="en-AU"/>
        </w:rPr>
        <w:tab/>
        <w:t>Section 3</w:t>
      </w:r>
    </w:p>
    <w:p w:rsidR="00107445" w:rsidRPr="00D21FCE" w:rsidRDefault="008F24DE" w:rsidP="007B5033">
      <w:pPr>
        <w:shd w:val="clear" w:color="auto" w:fill="FFFFFF"/>
        <w:spacing w:before="120" w:after="240"/>
        <w:jc w:val="center"/>
        <w:rPr>
          <w:sz w:val="22"/>
          <w:lang w:val="en-AU"/>
        </w:rPr>
      </w:pPr>
      <w:r w:rsidRPr="00D21FCE">
        <w:rPr>
          <w:sz w:val="22"/>
          <w:szCs w:val="22"/>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1030"/>
        <w:gridCol w:w="6831"/>
        <w:gridCol w:w="1248"/>
      </w:tblGrid>
      <w:tr w:rsidR="00107445" w:rsidRPr="00D21FCE" w:rsidTr="00295493">
        <w:trPr>
          <w:trHeight w:val="539"/>
          <w:jc w:val="center"/>
        </w:trPr>
        <w:tc>
          <w:tcPr>
            <w:tcW w:w="1030" w:type="dxa"/>
            <w:tcBorders>
              <w:top w:val="single" w:sz="4" w:space="0" w:color="auto"/>
              <w:left w:val="nil"/>
              <w:bottom w:val="single" w:sz="6" w:space="0" w:color="auto"/>
              <w:right w:val="nil"/>
            </w:tcBorders>
            <w:shd w:val="clear" w:color="auto" w:fill="FFFFFF"/>
            <w:vAlign w:val="center"/>
          </w:tcPr>
          <w:p w:rsidR="00107445" w:rsidRPr="00D21FCE" w:rsidRDefault="008F24DE" w:rsidP="007B5033">
            <w:pPr>
              <w:shd w:val="clear" w:color="auto" w:fill="FFFFFF"/>
              <w:jc w:val="both"/>
              <w:rPr>
                <w:lang w:val="en-AU"/>
              </w:rPr>
            </w:pPr>
            <w:r w:rsidRPr="00D21FCE">
              <w:rPr>
                <w:szCs w:val="18"/>
                <w:lang w:val="en-AU"/>
              </w:rPr>
              <w:t>Page Reference</w:t>
            </w:r>
          </w:p>
        </w:tc>
        <w:tc>
          <w:tcPr>
            <w:tcW w:w="6831" w:type="dxa"/>
            <w:tcBorders>
              <w:top w:val="single" w:sz="4" w:space="0" w:color="auto"/>
              <w:left w:val="nil"/>
              <w:bottom w:val="single" w:sz="6" w:space="0" w:color="auto"/>
              <w:right w:val="nil"/>
            </w:tcBorders>
            <w:shd w:val="clear" w:color="auto" w:fill="FFFFFF"/>
            <w:vAlign w:val="center"/>
          </w:tcPr>
          <w:p w:rsidR="00107445" w:rsidRPr="00D21FCE" w:rsidRDefault="008F24DE" w:rsidP="007B5033">
            <w:pPr>
              <w:shd w:val="clear" w:color="auto" w:fill="FFFFFF"/>
              <w:tabs>
                <w:tab w:val="left" w:leader="dot" w:pos="6480"/>
              </w:tabs>
              <w:ind w:left="2083"/>
              <w:jc w:val="both"/>
              <w:rPr>
                <w:lang w:val="en-AU"/>
              </w:rPr>
            </w:pPr>
            <w:r w:rsidRPr="00D21FCE">
              <w:rPr>
                <w:szCs w:val="18"/>
                <w:lang w:val="en-AU"/>
              </w:rPr>
              <w:t>Departments and Services</w:t>
            </w:r>
          </w:p>
        </w:tc>
        <w:tc>
          <w:tcPr>
            <w:tcW w:w="1248" w:type="dxa"/>
            <w:tcBorders>
              <w:top w:val="single" w:sz="4" w:space="0" w:color="auto"/>
              <w:left w:val="nil"/>
              <w:bottom w:val="single" w:sz="6" w:space="0" w:color="auto"/>
              <w:right w:val="nil"/>
            </w:tcBorders>
            <w:shd w:val="clear" w:color="auto" w:fill="FFFFFF"/>
            <w:vAlign w:val="center"/>
          </w:tcPr>
          <w:p w:rsidR="00107445" w:rsidRPr="00D21FCE" w:rsidRDefault="008F24DE" w:rsidP="007B5033">
            <w:pPr>
              <w:shd w:val="clear" w:color="auto" w:fill="FFFFFF"/>
              <w:ind w:right="72"/>
              <w:jc w:val="right"/>
              <w:rPr>
                <w:lang w:val="en-AU"/>
              </w:rPr>
            </w:pPr>
            <w:r w:rsidRPr="00D21FCE">
              <w:rPr>
                <w:szCs w:val="18"/>
                <w:lang w:val="en-AU"/>
              </w:rPr>
              <w:t>Total</w:t>
            </w:r>
          </w:p>
        </w:tc>
      </w:tr>
      <w:tr w:rsidR="00107445" w:rsidRPr="00D21FCE" w:rsidTr="001949DC">
        <w:trPr>
          <w:trHeight w:val="20"/>
          <w:jc w:val="center"/>
        </w:trPr>
        <w:tc>
          <w:tcPr>
            <w:tcW w:w="103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jc w:val="both"/>
              <w:rPr>
                <w:lang w:val="en-AU"/>
              </w:rPr>
            </w:pPr>
          </w:p>
        </w:tc>
        <w:tc>
          <w:tcPr>
            <w:tcW w:w="6831" w:type="dxa"/>
            <w:tcBorders>
              <w:top w:val="single" w:sz="6" w:space="0" w:color="auto"/>
              <w:left w:val="nil"/>
              <w:right w:val="nil"/>
            </w:tcBorders>
            <w:shd w:val="clear" w:color="auto" w:fill="FFFFFF"/>
            <w:vAlign w:val="bottom"/>
          </w:tcPr>
          <w:p w:rsidR="00107445" w:rsidRPr="00D21FCE" w:rsidRDefault="00107445" w:rsidP="007B5033">
            <w:pPr>
              <w:shd w:val="clear" w:color="auto" w:fill="FFFFFF"/>
              <w:tabs>
                <w:tab w:val="left" w:leader="dot" w:pos="6480"/>
              </w:tabs>
              <w:jc w:val="both"/>
              <w:rPr>
                <w:lang w:val="en-AU"/>
              </w:rPr>
            </w:pPr>
          </w:p>
        </w:tc>
        <w:tc>
          <w:tcPr>
            <w:tcW w:w="1248"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spacing w:before="240"/>
              <w:ind w:right="72"/>
              <w:jc w:val="right"/>
              <w:rPr>
                <w:lang w:val="en-AU"/>
              </w:rPr>
            </w:pPr>
            <w:r w:rsidRPr="00D21FCE">
              <w:rPr>
                <w:lang w:val="en-AU"/>
              </w:rPr>
              <w:t>$</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10</w:t>
            </w:r>
          </w:p>
        </w:tc>
        <w:tc>
          <w:tcPr>
            <w:tcW w:w="6831"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6530"/>
                <w:tab w:val="left" w:leader="dot" w:pos="6620"/>
              </w:tabs>
              <w:jc w:val="both"/>
              <w:rPr>
                <w:lang w:val="en-AU"/>
              </w:rPr>
            </w:pPr>
            <w:r w:rsidRPr="00D21FCE">
              <w:rPr>
                <w:szCs w:val="18"/>
                <w:lang w:val="en-AU"/>
              </w:rPr>
              <w:t>Senate</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11 600 000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10</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Advance to the President of the Senate</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300 000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11</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Provision for Running Costs Borrowings</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50 000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12</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House of Representatives</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12 162 000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12</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Advance to the Speaker of the House of Representatives</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300 000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13</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Provision for Running Costs Borrowings</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50 000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14</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Parliamentary Reporting Staff</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17 324 000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14</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Parliamentary Library</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6 826 000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14</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Joint House Department</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17 858 000</w:t>
            </w:r>
          </w:p>
        </w:tc>
      </w:tr>
      <w:tr w:rsidR="00107445" w:rsidRPr="00D21FCE" w:rsidTr="001949DC">
        <w:trPr>
          <w:trHeight w:val="20"/>
          <w:jc w:val="center"/>
        </w:trPr>
        <w:tc>
          <w:tcPr>
            <w:tcW w:w="103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15</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Joint Advance to the President and the Speaker</w:t>
            </w:r>
            <w:r w:rsidR="001949DC" w:rsidRPr="00D21FCE">
              <w:rPr>
                <w:szCs w:val="18"/>
                <w:lang w:val="en-AU"/>
              </w:rPr>
              <w:tab/>
            </w:r>
          </w:p>
        </w:tc>
        <w:tc>
          <w:tcPr>
            <w:tcW w:w="124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1 000 000</w:t>
            </w:r>
          </w:p>
        </w:tc>
      </w:tr>
      <w:tr w:rsidR="00107445" w:rsidRPr="00D21FCE" w:rsidTr="001949DC">
        <w:trPr>
          <w:trHeight w:val="20"/>
          <w:jc w:val="center"/>
        </w:trPr>
        <w:tc>
          <w:tcPr>
            <w:tcW w:w="1030" w:type="dxa"/>
            <w:tcBorders>
              <w:top w:val="nil"/>
              <w:left w:val="nil"/>
              <w:right w:val="nil"/>
            </w:tcBorders>
            <w:shd w:val="clear" w:color="auto" w:fill="FFFFFF"/>
            <w:vAlign w:val="bottom"/>
          </w:tcPr>
          <w:p w:rsidR="00107445" w:rsidRPr="00D21FCE" w:rsidRDefault="008F24DE" w:rsidP="007B5033">
            <w:pPr>
              <w:shd w:val="clear" w:color="auto" w:fill="FFFFFF"/>
              <w:ind w:right="432"/>
              <w:jc w:val="right"/>
              <w:rPr>
                <w:lang w:val="en-AU"/>
              </w:rPr>
            </w:pPr>
            <w:r w:rsidRPr="00D21FCE">
              <w:rPr>
                <w:szCs w:val="18"/>
                <w:lang w:val="en-AU"/>
              </w:rPr>
              <w:t>15</w:t>
            </w:r>
          </w:p>
        </w:tc>
        <w:tc>
          <w:tcPr>
            <w:tcW w:w="6831" w:type="dxa"/>
            <w:tcBorders>
              <w:left w:val="nil"/>
              <w:right w:val="nil"/>
            </w:tcBorders>
            <w:shd w:val="clear" w:color="auto" w:fill="FFFFFF"/>
            <w:vAlign w:val="bottom"/>
          </w:tcPr>
          <w:p w:rsidR="00107445" w:rsidRPr="00D21FCE" w:rsidRDefault="008F24DE" w:rsidP="007B5033">
            <w:pPr>
              <w:shd w:val="clear" w:color="auto" w:fill="FFFFFF"/>
              <w:tabs>
                <w:tab w:val="left" w:leader="dot" w:pos="6620"/>
                <w:tab w:val="left" w:leader="dot" w:pos="6710"/>
              </w:tabs>
              <w:jc w:val="both"/>
              <w:rPr>
                <w:lang w:val="en-AU"/>
              </w:rPr>
            </w:pPr>
            <w:r w:rsidRPr="00D21FCE">
              <w:rPr>
                <w:szCs w:val="18"/>
                <w:lang w:val="en-AU"/>
              </w:rPr>
              <w:t>Provision for Running Costs Borrowings</w:t>
            </w:r>
            <w:r w:rsidR="001949DC" w:rsidRPr="00D21FCE">
              <w:rPr>
                <w:szCs w:val="18"/>
                <w:lang w:val="en-AU"/>
              </w:rPr>
              <w:tab/>
            </w:r>
          </w:p>
        </w:tc>
        <w:tc>
          <w:tcPr>
            <w:tcW w:w="1248"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200 000</w:t>
            </w:r>
          </w:p>
        </w:tc>
      </w:tr>
      <w:tr w:rsidR="00107445" w:rsidRPr="00D21FCE" w:rsidTr="001949DC">
        <w:trPr>
          <w:trHeight w:val="20"/>
          <w:jc w:val="center"/>
        </w:trPr>
        <w:tc>
          <w:tcPr>
            <w:tcW w:w="1030" w:type="dxa"/>
            <w:tcBorders>
              <w:top w:val="nil"/>
              <w:left w:val="nil"/>
              <w:bottom w:val="single" w:sz="4" w:space="0" w:color="auto"/>
              <w:right w:val="nil"/>
            </w:tcBorders>
            <w:shd w:val="clear" w:color="auto" w:fill="FFFFFF"/>
            <w:vAlign w:val="bottom"/>
          </w:tcPr>
          <w:p w:rsidR="00107445" w:rsidRPr="00D21FCE" w:rsidRDefault="00107445" w:rsidP="007B5033">
            <w:pPr>
              <w:shd w:val="clear" w:color="auto" w:fill="FFFFFF"/>
              <w:jc w:val="both"/>
              <w:rPr>
                <w:lang w:val="en-AU"/>
              </w:rPr>
            </w:pPr>
          </w:p>
        </w:tc>
        <w:tc>
          <w:tcPr>
            <w:tcW w:w="6831" w:type="dxa"/>
            <w:tcBorders>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6620"/>
              </w:tabs>
              <w:spacing w:before="240"/>
              <w:ind w:left="1008" w:hanging="432"/>
              <w:jc w:val="both"/>
              <w:rPr>
                <w:lang w:val="en-AU"/>
              </w:rPr>
            </w:pPr>
            <w:r w:rsidRPr="00D21FCE">
              <w:rPr>
                <w:b/>
                <w:bCs/>
                <w:szCs w:val="18"/>
                <w:lang w:val="en-AU"/>
              </w:rPr>
              <w:t>Total</w:t>
            </w:r>
            <w:r w:rsidR="001949DC" w:rsidRPr="00D21FCE">
              <w:rPr>
                <w:b/>
                <w:bCs/>
                <w:szCs w:val="18"/>
                <w:lang w:val="en-AU"/>
              </w:rPr>
              <w:tab/>
            </w:r>
          </w:p>
        </w:tc>
        <w:tc>
          <w:tcPr>
            <w:tcW w:w="1248" w:type="dxa"/>
            <w:tcBorders>
              <w:top w:val="single" w:sz="6" w:space="0" w:color="auto"/>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67 670 000</w:t>
            </w:r>
          </w:p>
        </w:tc>
      </w:tr>
    </w:tbl>
    <w:p w:rsidR="00107445" w:rsidRPr="00D21FCE" w:rsidRDefault="008F24DE" w:rsidP="007B5033">
      <w:pPr>
        <w:shd w:val="clear" w:color="auto" w:fill="FFFFFF"/>
        <w:spacing w:before="240"/>
        <w:jc w:val="center"/>
        <w:rPr>
          <w:sz w:val="24"/>
          <w:lang w:val="en-AU"/>
        </w:rPr>
      </w:pPr>
      <w:r w:rsidRPr="00D21FCE">
        <w:rPr>
          <w:b/>
          <w:bCs/>
          <w:sz w:val="24"/>
          <w:szCs w:val="18"/>
          <w:lang w:val="en-AU"/>
        </w:rPr>
        <w:t>SUMMARY</w:t>
      </w:r>
    </w:p>
    <w:p w:rsidR="00107445" w:rsidRPr="00D21FCE" w:rsidRDefault="008F24DE" w:rsidP="007B5033">
      <w:pPr>
        <w:shd w:val="clear" w:color="auto" w:fill="FFFFFF"/>
        <w:spacing w:before="240" w:after="240"/>
        <w:jc w:val="center"/>
        <w:rPr>
          <w:sz w:val="22"/>
          <w:lang w:val="en-AU"/>
        </w:rPr>
      </w:pPr>
      <w:r w:rsidRPr="00D21FCE">
        <w:rPr>
          <w:b/>
          <w:bCs/>
          <w:sz w:val="22"/>
          <w:szCs w:val="18"/>
          <w:lang w:val="en-AU"/>
        </w:rPr>
        <w:t xml:space="preserve">Supply (Parliamentary Departments) Act </w:t>
      </w:r>
      <w:r w:rsidRPr="00D21FCE">
        <w:rPr>
          <w:rFonts w:eastAsia="Times New Roman"/>
          <w:b/>
          <w:bCs/>
          <w:sz w:val="22"/>
          <w:szCs w:val="18"/>
          <w:lang w:val="en-AU"/>
        </w:rPr>
        <w:t>— 1996</w:t>
      </w:r>
      <w:r w:rsidR="00D21FCE">
        <w:rPr>
          <w:rFonts w:eastAsia="Times New Roman"/>
          <w:b/>
          <w:bCs/>
          <w:sz w:val="22"/>
          <w:szCs w:val="18"/>
          <w:lang w:val="en-AU"/>
        </w:rPr>
        <w:noBreakHyphen/>
      </w:r>
      <w:r w:rsidRPr="00D21FCE">
        <w:rPr>
          <w:rFonts w:eastAsia="Times New Roman"/>
          <w:b/>
          <w:bCs/>
          <w:sz w:val="22"/>
          <w:szCs w:val="18"/>
          <w:lang w:val="en-AU"/>
        </w:rPr>
        <w:t>97, Heavy figures</w:t>
      </w:r>
    </w:p>
    <w:p w:rsidR="00107445" w:rsidRPr="00D21FCE" w:rsidRDefault="008F24DE" w:rsidP="007B5033">
      <w:pPr>
        <w:shd w:val="clear" w:color="auto" w:fill="FFFFFF"/>
        <w:spacing w:after="120"/>
        <w:jc w:val="center"/>
        <w:rPr>
          <w:sz w:val="22"/>
          <w:lang w:val="en-AU"/>
        </w:rPr>
      </w:pPr>
      <w:r w:rsidRPr="00D21FCE">
        <w:rPr>
          <w:sz w:val="22"/>
          <w:szCs w:val="18"/>
          <w:lang w:val="en-AU"/>
        </w:rPr>
        <w:t xml:space="preserve">Appropriation </w:t>
      </w:r>
      <w:r w:rsidRPr="00D21FCE">
        <w:rPr>
          <w:rFonts w:eastAsia="Times New Roman"/>
          <w:sz w:val="22"/>
          <w:szCs w:val="18"/>
          <w:lang w:val="en-AU"/>
        </w:rPr>
        <w:t>— 1995</w:t>
      </w:r>
      <w:r w:rsidR="00D21FCE">
        <w:rPr>
          <w:rFonts w:eastAsia="Times New Roman"/>
          <w:sz w:val="22"/>
          <w:szCs w:val="18"/>
          <w:lang w:val="en-AU"/>
        </w:rPr>
        <w:noBreakHyphen/>
      </w:r>
      <w:r w:rsidRPr="00D21FCE">
        <w:rPr>
          <w:rFonts w:eastAsia="Times New Roman"/>
          <w:sz w:val="22"/>
          <w:szCs w:val="18"/>
          <w:lang w:val="en-AU"/>
        </w:rPr>
        <w:t>96 *, Light figures</w:t>
      </w:r>
    </w:p>
    <w:tbl>
      <w:tblPr>
        <w:tblW w:w="5000" w:type="pct"/>
        <w:jc w:val="center"/>
        <w:tblLayout w:type="fixed"/>
        <w:tblCellMar>
          <w:left w:w="40" w:type="dxa"/>
          <w:right w:w="40" w:type="dxa"/>
        </w:tblCellMar>
        <w:tblLook w:val="0000" w:firstRow="0" w:lastRow="0" w:firstColumn="0" w:lastColumn="0" w:noHBand="0" w:noVBand="0"/>
      </w:tblPr>
      <w:tblGrid>
        <w:gridCol w:w="490"/>
        <w:gridCol w:w="4950"/>
        <w:gridCol w:w="1260"/>
        <w:gridCol w:w="1188"/>
        <w:gridCol w:w="1221"/>
      </w:tblGrid>
      <w:tr w:rsidR="00107445" w:rsidRPr="00D21FCE" w:rsidTr="00C2375F">
        <w:trPr>
          <w:trHeight w:val="462"/>
          <w:jc w:val="center"/>
        </w:trPr>
        <w:tc>
          <w:tcPr>
            <w:tcW w:w="5440" w:type="dxa"/>
            <w:gridSpan w:val="2"/>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jc w:val="both"/>
              <w:rPr>
                <w:lang w:val="en-AU"/>
              </w:rPr>
            </w:pPr>
            <w:r w:rsidRPr="00D21FCE">
              <w:rPr>
                <w:szCs w:val="18"/>
                <w:lang w:val="en-AU"/>
              </w:rPr>
              <w:t>Division</w:t>
            </w:r>
          </w:p>
        </w:tc>
        <w:tc>
          <w:tcPr>
            <w:tcW w:w="1260"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Running Costs</w:t>
            </w:r>
          </w:p>
        </w:tc>
        <w:tc>
          <w:tcPr>
            <w:tcW w:w="1188"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Other Services</w:t>
            </w:r>
          </w:p>
        </w:tc>
        <w:tc>
          <w:tcPr>
            <w:tcW w:w="1221"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Total</w:t>
            </w:r>
          </w:p>
        </w:tc>
      </w:tr>
      <w:tr w:rsidR="00107445" w:rsidRPr="00D21FCE" w:rsidTr="00C2375F">
        <w:trPr>
          <w:trHeight w:val="20"/>
          <w:jc w:val="center"/>
        </w:trPr>
        <w:tc>
          <w:tcPr>
            <w:tcW w:w="49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jc w:val="both"/>
              <w:rPr>
                <w:lang w:val="en-AU"/>
              </w:rPr>
            </w:pPr>
          </w:p>
        </w:tc>
        <w:tc>
          <w:tcPr>
            <w:tcW w:w="4950" w:type="dxa"/>
            <w:tcBorders>
              <w:top w:val="single" w:sz="6" w:space="0" w:color="auto"/>
              <w:left w:val="nil"/>
              <w:right w:val="nil"/>
            </w:tcBorders>
            <w:shd w:val="clear" w:color="auto" w:fill="FFFFFF"/>
            <w:vAlign w:val="bottom"/>
          </w:tcPr>
          <w:p w:rsidR="00107445" w:rsidRPr="00D21FCE" w:rsidRDefault="00107445" w:rsidP="007B5033">
            <w:pPr>
              <w:shd w:val="clear" w:color="auto" w:fill="FFFFFF"/>
              <w:jc w:val="both"/>
              <w:rPr>
                <w:lang w:val="en-AU"/>
              </w:rPr>
            </w:pPr>
          </w:p>
        </w:tc>
        <w:tc>
          <w:tcPr>
            <w:tcW w:w="126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188"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221"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lang w:val="en-AU"/>
              </w:rPr>
              <w:t>$</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101</w:t>
            </w:r>
          </w:p>
        </w:tc>
        <w:tc>
          <w:tcPr>
            <w:tcW w:w="495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4752"/>
              </w:tabs>
              <w:jc w:val="both"/>
              <w:rPr>
                <w:lang w:val="en-AU"/>
              </w:rPr>
            </w:pPr>
            <w:r w:rsidRPr="00D21FCE">
              <w:rPr>
                <w:szCs w:val="18"/>
                <w:lang w:val="en-AU"/>
              </w:rPr>
              <w:t>Senate</w:t>
            </w:r>
            <w:r w:rsidR="00C2375F" w:rsidRPr="00D21FCE">
              <w:rPr>
                <w:szCs w:val="18"/>
                <w:lang w:val="en-AU"/>
              </w:rPr>
              <w:tab/>
            </w: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11 243 000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357 000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lang w:val="en-AU"/>
              </w:rPr>
              <w:t>11 600 000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4950" w:type="dxa"/>
            <w:tcBorders>
              <w:left w:val="nil"/>
              <w:bottom w:val="nil"/>
              <w:right w:val="nil"/>
            </w:tcBorders>
            <w:shd w:val="clear" w:color="auto" w:fill="FFFFFF"/>
            <w:vAlign w:val="bottom"/>
          </w:tcPr>
          <w:p w:rsidR="00107445" w:rsidRPr="00D21FCE" w:rsidRDefault="00107445" w:rsidP="007B5033">
            <w:pPr>
              <w:shd w:val="clear" w:color="auto" w:fill="FFFFFF"/>
              <w:tabs>
                <w:tab w:val="left" w:leader="dot" w:pos="4752"/>
              </w:tabs>
              <w:jc w:val="both"/>
              <w:rPr>
                <w:lang w:val="en-AU"/>
              </w:rPr>
            </w:pP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23 696 000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450 000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24 146 000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104</w:t>
            </w:r>
          </w:p>
        </w:tc>
        <w:tc>
          <w:tcPr>
            <w:tcW w:w="495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4752"/>
              </w:tabs>
              <w:jc w:val="both"/>
              <w:rPr>
                <w:lang w:val="en-AU"/>
              </w:rPr>
            </w:pPr>
            <w:r w:rsidRPr="00D21FCE">
              <w:rPr>
                <w:rFonts w:eastAsia="Times New Roman"/>
                <w:noProof/>
                <w:lang w:val="en-AU"/>
              </w:rPr>
              <w:t>House of Representatives</w:t>
            </w:r>
            <w:r w:rsidR="00C2375F" w:rsidRPr="00D21FCE">
              <w:rPr>
                <w:rFonts w:eastAsia="Times New Roman"/>
                <w:noProof/>
                <w:lang w:val="en-AU"/>
              </w:rPr>
              <w:tab/>
            </w: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lang w:val="en-AU"/>
              </w:rPr>
              <w:t>11 810 000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352 000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12 162 000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4950" w:type="dxa"/>
            <w:tcBorders>
              <w:left w:val="nil"/>
              <w:bottom w:val="nil"/>
              <w:right w:val="nil"/>
            </w:tcBorders>
            <w:shd w:val="clear" w:color="auto" w:fill="FFFFFF"/>
            <w:vAlign w:val="bottom"/>
          </w:tcPr>
          <w:p w:rsidR="00107445" w:rsidRPr="00D21FCE" w:rsidRDefault="00107445" w:rsidP="007B5033">
            <w:pPr>
              <w:shd w:val="clear" w:color="auto" w:fill="FFFFFF"/>
              <w:tabs>
                <w:tab w:val="left" w:leader="dot" w:pos="4752"/>
              </w:tabs>
              <w:jc w:val="both"/>
              <w:rPr>
                <w:lang w:val="en-AU"/>
              </w:rPr>
            </w:pP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23 669 000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448 000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24 117 000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107</w:t>
            </w:r>
          </w:p>
        </w:tc>
        <w:tc>
          <w:tcPr>
            <w:tcW w:w="495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4752"/>
              </w:tabs>
              <w:jc w:val="both"/>
              <w:rPr>
                <w:lang w:val="en-AU"/>
              </w:rPr>
            </w:pPr>
            <w:r w:rsidRPr="00D21FCE">
              <w:rPr>
                <w:rFonts w:eastAsia="Times New Roman"/>
                <w:noProof/>
                <w:lang w:val="en-AU"/>
              </w:rPr>
              <w:t>Parliamentary Reporting Staff</w:t>
            </w:r>
            <w:r w:rsidR="00C2375F" w:rsidRPr="00D21FCE">
              <w:rPr>
                <w:rFonts w:eastAsia="Times New Roman"/>
                <w:noProof/>
                <w:lang w:val="en-AU"/>
              </w:rPr>
              <w:tab/>
            </w: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14 074 000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3 250 000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17 324 000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4950" w:type="dxa"/>
            <w:tcBorders>
              <w:left w:val="nil"/>
              <w:bottom w:val="nil"/>
              <w:right w:val="nil"/>
            </w:tcBorders>
            <w:shd w:val="clear" w:color="auto" w:fill="FFFFFF"/>
            <w:vAlign w:val="bottom"/>
          </w:tcPr>
          <w:p w:rsidR="00107445" w:rsidRPr="00D21FCE" w:rsidRDefault="00107445" w:rsidP="007B5033">
            <w:pPr>
              <w:shd w:val="clear" w:color="auto" w:fill="FFFFFF"/>
              <w:tabs>
                <w:tab w:val="left" w:leader="dot" w:pos="4752"/>
              </w:tabs>
              <w:jc w:val="both"/>
              <w:rPr>
                <w:lang w:val="en-AU"/>
              </w:rPr>
            </w:pP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33 364 000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7 572 000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40 936 000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108</w:t>
            </w:r>
          </w:p>
        </w:tc>
        <w:tc>
          <w:tcPr>
            <w:tcW w:w="495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4752"/>
              </w:tabs>
              <w:jc w:val="both"/>
              <w:rPr>
                <w:lang w:val="en-AU"/>
              </w:rPr>
            </w:pPr>
            <w:r w:rsidRPr="00D21FCE">
              <w:rPr>
                <w:szCs w:val="18"/>
                <w:lang w:val="en-AU"/>
              </w:rPr>
              <w:t>Parliamentary Library</w:t>
            </w:r>
            <w:r w:rsidR="00C2375F" w:rsidRPr="00D21FCE">
              <w:rPr>
                <w:szCs w:val="18"/>
                <w:lang w:val="en-AU"/>
              </w:rPr>
              <w:tab/>
            </w: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6 826 000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underscore" w:pos="1070"/>
              </w:tabs>
              <w:ind w:right="72"/>
              <w:jc w:val="right"/>
              <w:rPr>
                <w:lang w:val="en-AU"/>
              </w:rPr>
            </w:pPr>
            <w:r w:rsidRPr="00D21FCE">
              <w:rPr>
                <w:rFonts w:eastAsia="Times New Roman"/>
                <w:szCs w:val="18"/>
                <w:lang w:val="en-AU"/>
              </w:rPr>
              <w:t>—</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lang w:val="en-AU"/>
              </w:rPr>
              <w:t>6 826 000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4950" w:type="dxa"/>
            <w:tcBorders>
              <w:left w:val="nil"/>
              <w:bottom w:val="nil"/>
              <w:right w:val="nil"/>
            </w:tcBorders>
            <w:shd w:val="clear" w:color="auto" w:fill="FFFFFF"/>
            <w:vAlign w:val="bottom"/>
          </w:tcPr>
          <w:p w:rsidR="00107445" w:rsidRPr="00D21FCE" w:rsidRDefault="00107445" w:rsidP="007B5033">
            <w:pPr>
              <w:shd w:val="clear" w:color="auto" w:fill="FFFFFF"/>
              <w:tabs>
                <w:tab w:val="left" w:leader="dot" w:pos="4752"/>
              </w:tabs>
              <w:jc w:val="both"/>
              <w:rPr>
                <w:lang w:val="en-AU"/>
              </w:rPr>
            </w:pP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16 639 000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rFonts w:eastAsia="Times New Roman"/>
                <w:szCs w:val="18"/>
                <w:lang w:val="en-AU"/>
              </w:rPr>
              <w:t>—</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16 639 000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109</w:t>
            </w:r>
          </w:p>
        </w:tc>
        <w:tc>
          <w:tcPr>
            <w:tcW w:w="495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4752"/>
              </w:tabs>
              <w:jc w:val="both"/>
              <w:rPr>
                <w:lang w:val="en-AU"/>
              </w:rPr>
            </w:pPr>
            <w:r w:rsidRPr="00D21FCE">
              <w:rPr>
                <w:szCs w:val="18"/>
                <w:lang w:val="en-AU"/>
              </w:rPr>
              <w:t>Joint House Department</w:t>
            </w:r>
            <w:r w:rsidR="00C2375F" w:rsidRPr="00D21FCE">
              <w:rPr>
                <w:szCs w:val="18"/>
                <w:lang w:val="en-AU"/>
              </w:rPr>
              <w:tab/>
            </w:r>
          </w:p>
        </w:tc>
        <w:tc>
          <w:tcPr>
            <w:tcW w:w="1260"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16 764 000</w:t>
            </w:r>
          </w:p>
        </w:tc>
        <w:tc>
          <w:tcPr>
            <w:tcW w:w="1188"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1 094 000</w:t>
            </w:r>
          </w:p>
        </w:tc>
        <w:tc>
          <w:tcPr>
            <w:tcW w:w="1221"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17 858 000</w:t>
            </w:r>
          </w:p>
        </w:tc>
      </w:tr>
      <w:tr w:rsidR="00107445" w:rsidRPr="00D21FCE" w:rsidTr="00C2375F">
        <w:trPr>
          <w:trHeight w:val="20"/>
          <w:jc w:val="center"/>
        </w:trPr>
        <w:tc>
          <w:tcPr>
            <w:tcW w:w="49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4950" w:type="dxa"/>
            <w:tcBorders>
              <w:left w:val="nil"/>
              <w:bottom w:val="nil"/>
              <w:right w:val="nil"/>
            </w:tcBorders>
            <w:shd w:val="clear" w:color="auto" w:fill="FFFFFF"/>
            <w:vAlign w:val="bottom"/>
          </w:tcPr>
          <w:p w:rsidR="00107445" w:rsidRPr="00D21FCE" w:rsidRDefault="00107445" w:rsidP="007B5033">
            <w:pPr>
              <w:shd w:val="clear" w:color="auto" w:fill="FFFFFF"/>
              <w:tabs>
                <w:tab w:val="left" w:leader="dot" w:pos="4752"/>
              </w:tabs>
              <w:jc w:val="both"/>
              <w:rPr>
                <w:lang w:val="en-AU"/>
              </w:rPr>
            </w:pPr>
          </w:p>
        </w:tc>
        <w:tc>
          <w:tcPr>
            <w:tcW w:w="126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39 734 000</w:t>
            </w:r>
          </w:p>
        </w:tc>
        <w:tc>
          <w:tcPr>
            <w:tcW w:w="1188"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2 548 000</w:t>
            </w:r>
          </w:p>
        </w:tc>
        <w:tc>
          <w:tcPr>
            <w:tcW w:w="1221"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42 282 000</w:t>
            </w:r>
          </w:p>
        </w:tc>
      </w:tr>
      <w:tr w:rsidR="00107445" w:rsidRPr="00D21FCE" w:rsidTr="00C2375F">
        <w:trPr>
          <w:trHeight w:val="20"/>
          <w:jc w:val="center"/>
        </w:trPr>
        <w:tc>
          <w:tcPr>
            <w:tcW w:w="490" w:type="dxa"/>
            <w:tcBorders>
              <w:top w:val="nil"/>
              <w:left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495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4752"/>
              </w:tabs>
              <w:spacing w:before="240"/>
              <w:jc w:val="both"/>
              <w:rPr>
                <w:lang w:val="en-AU"/>
              </w:rPr>
            </w:pPr>
            <w:r w:rsidRPr="00D21FCE">
              <w:rPr>
                <w:b/>
                <w:bCs/>
                <w:szCs w:val="18"/>
                <w:lang w:val="en-AU"/>
              </w:rPr>
              <w:t>Total</w:t>
            </w:r>
            <w:r w:rsidR="00C2375F" w:rsidRPr="00D21FCE">
              <w:rPr>
                <w:b/>
                <w:bCs/>
                <w:szCs w:val="18"/>
                <w:lang w:val="en-AU"/>
              </w:rPr>
              <w:tab/>
            </w:r>
          </w:p>
        </w:tc>
        <w:tc>
          <w:tcPr>
            <w:tcW w:w="1260" w:type="dxa"/>
            <w:tcBorders>
              <w:top w:val="single" w:sz="6" w:space="0" w:color="auto"/>
              <w:left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60 717 000</w:t>
            </w:r>
          </w:p>
        </w:tc>
        <w:tc>
          <w:tcPr>
            <w:tcW w:w="1188" w:type="dxa"/>
            <w:tcBorders>
              <w:top w:val="single" w:sz="6" w:space="0" w:color="auto"/>
              <w:left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5 053 000</w:t>
            </w:r>
          </w:p>
        </w:tc>
        <w:tc>
          <w:tcPr>
            <w:tcW w:w="1221" w:type="dxa"/>
            <w:tcBorders>
              <w:top w:val="single" w:sz="6" w:space="0" w:color="auto"/>
              <w:left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65 770 000</w:t>
            </w:r>
          </w:p>
        </w:tc>
      </w:tr>
      <w:tr w:rsidR="00107445" w:rsidRPr="00D21FCE" w:rsidTr="00C2375F">
        <w:trPr>
          <w:trHeight w:val="20"/>
          <w:jc w:val="center"/>
        </w:trPr>
        <w:tc>
          <w:tcPr>
            <w:tcW w:w="490" w:type="dxa"/>
            <w:tcBorders>
              <w:top w:val="nil"/>
              <w:left w:val="nil"/>
              <w:bottom w:val="single" w:sz="4" w:space="0" w:color="auto"/>
              <w:right w:val="nil"/>
            </w:tcBorders>
            <w:shd w:val="clear" w:color="auto" w:fill="FFFFFF"/>
            <w:vAlign w:val="bottom"/>
          </w:tcPr>
          <w:p w:rsidR="00107445" w:rsidRPr="00D21FCE" w:rsidRDefault="00107445" w:rsidP="007B5033">
            <w:pPr>
              <w:shd w:val="clear" w:color="auto" w:fill="FFFFFF"/>
              <w:jc w:val="both"/>
              <w:rPr>
                <w:lang w:val="en-AU"/>
              </w:rPr>
            </w:pPr>
          </w:p>
        </w:tc>
        <w:tc>
          <w:tcPr>
            <w:tcW w:w="4950" w:type="dxa"/>
            <w:tcBorders>
              <w:left w:val="nil"/>
              <w:bottom w:val="single" w:sz="4" w:space="0" w:color="auto"/>
              <w:right w:val="nil"/>
            </w:tcBorders>
            <w:shd w:val="clear" w:color="auto" w:fill="FFFFFF"/>
            <w:vAlign w:val="bottom"/>
          </w:tcPr>
          <w:p w:rsidR="00107445" w:rsidRPr="00D21FCE" w:rsidRDefault="00107445" w:rsidP="007B5033">
            <w:pPr>
              <w:shd w:val="clear" w:color="auto" w:fill="FFFFFF"/>
              <w:jc w:val="both"/>
              <w:rPr>
                <w:lang w:val="en-AU"/>
              </w:rPr>
            </w:pPr>
          </w:p>
        </w:tc>
        <w:tc>
          <w:tcPr>
            <w:tcW w:w="1260"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137 102 000</w:t>
            </w:r>
          </w:p>
        </w:tc>
        <w:tc>
          <w:tcPr>
            <w:tcW w:w="1188"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11 018 000</w:t>
            </w:r>
          </w:p>
        </w:tc>
        <w:tc>
          <w:tcPr>
            <w:tcW w:w="1221"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148 120 000</w:t>
            </w:r>
          </w:p>
        </w:tc>
      </w:tr>
    </w:tbl>
    <w:p w:rsidR="00107445" w:rsidRPr="00D21FCE" w:rsidRDefault="00C2375F" w:rsidP="007B5033">
      <w:pPr>
        <w:shd w:val="clear" w:color="auto" w:fill="FFFFFF"/>
        <w:spacing w:before="240"/>
        <w:ind w:left="288" w:hanging="288"/>
        <w:jc w:val="both"/>
        <w:rPr>
          <w:sz w:val="22"/>
          <w:lang w:val="en-AU"/>
        </w:rPr>
      </w:pPr>
      <w:r w:rsidRPr="00D21FCE">
        <w:rPr>
          <w:sz w:val="22"/>
          <w:szCs w:val="18"/>
          <w:lang w:val="en-AU"/>
        </w:rPr>
        <w:t>*</w:t>
      </w:r>
      <w:r w:rsidRPr="00D21FCE">
        <w:rPr>
          <w:sz w:val="22"/>
          <w:szCs w:val="18"/>
          <w:lang w:val="en-AU"/>
        </w:rPr>
        <w:tab/>
      </w:r>
      <w:r w:rsidR="008F24DE" w:rsidRPr="00D21FCE">
        <w:rPr>
          <w:sz w:val="22"/>
          <w:szCs w:val="18"/>
          <w:lang w:val="en-AU"/>
        </w:rPr>
        <w:t xml:space="preserve">Includes amounts issued or estimated to be under Division 102 </w:t>
      </w:r>
      <w:r w:rsidR="008F24DE" w:rsidRPr="00D21FCE">
        <w:rPr>
          <w:rFonts w:eastAsia="Times New Roman"/>
          <w:sz w:val="22"/>
          <w:szCs w:val="18"/>
          <w:lang w:val="en-AU"/>
        </w:rPr>
        <w:t xml:space="preserve">— Advance to the President of the Senate ($300 000), Division 105 — Advance to the Speaker of the House of Representatives ($300 000) and Division 110 — Joint Advance to the President and the Speaker ($1 000 000), Divisions 103, 106 and 111 — Provisions for Running Costs Borrowings and amounts appropriated or estimated to be appropriated under subsection 35(3) of </w:t>
      </w:r>
      <w:r w:rsidR="008F24DE" w:rsidRPr="00D21FCE">
        <w:rPr>
          <w:rFonts w:eastAsia="Times New Roman"/>
          <w:i/>
          <w:iCs/>
          <w:sz w:val="22"/>
          <w:szCs w:val="18"/>
          <w:lang w:val="en-AU"/>
        </w:rPr>
        <w:t>the Audit Act 1901.</w:t>
      </w:r>
    </w:p>
    <w:p w:rsidR="00107445" w:rsidRPr="00D21FCE" w:rsidRDefault="005107D5" w:rsidP="007B5033">
      <w:pPr>
        <w:shd w:val="clear" w:color="auto" w:fill="FFFFFF"/>
        <w:tabs>
          <w:tab w:val="left" w:pos="1546"/>
        </w:tabs>
        <w:spacing w:before="120" w:after="60"/>
        <w:ind w:left="3859"/>
        <w:jc w:val="both"/>
        <w:rPr>
          <w:sz w:val="22"/>
          <w:lang w:val="en-AU"/>
        </w:rPr>
      </w:pPr>
      <w:r w:rsidRPr="00D21FCE">
        <w:rPr>
          <w:sz w:val="22"/>
          <w:lang w:val="en-AU"/>
        </w:rPr>
        <w:br w:type="page"/>
      </w:r>
    </w:p>
    <w:p w:rsidR="00107445" w:rsidRPr="00D21FCE" w:rsidRDefault="008F24DE" w:rsidP="007B5033">
      <w:pPr>
        <w:shd w:val="clear" w:color="auto" w:fill="FFFFFF"/>
        <w:spacing w:after="240"/>
        <w:jc w:val="center"/>
        <w:rPr>
          <w:sz w:val="22"/>
          <w:lang w:val="en-AU"/>
        </w:rPr>
      </w:pPr>
      <w:r w:rsidRPr="00D21FCE">
        <w:rPr>
          <w:b/>
          <w:bCs/>
          <w:sz w:val="22"/>
          <w:szCs w:val="18"/>
          <w:lang w:val="en-AU"/>
        </w:rPr>
        <w:t xml:space="preserve">SCHEDULE </w:t>
      </w:r>
      <w:r w:rsidRPr="00D21FCE">
        <w:rPr>
          <w:rFonts w:eastAsia="Times New Roman"/>
          <w:sz w:val="22"/>
          <w:szCs w:val="18"/>
          <w:lang w:val="en-AU"/>
        </w:rPr>
        <w:t xml:space="preserve">— </w:t>
      </w:r>
      <w:r w:rsidRPr="00D21FCE">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40"/>
        <w:gridCol w:w="2065"/>
        <w:gridCol w:w="1504"/>
      </w:tblGrid>
      <w:tr w:rsidR="00107445" w:rsidRPr="00D21FCE" w:rsidTr="008E0934">
        <w:trPr>
          <w:trHeight w:val="840"/>
          <w:jc w:val="center"/>
        </w:trPr>
        <w:tc>
          <w:tcPr>
            <w:tcW w:w="5549" w:type="dxa"/>
            <w:tcBorders>
              <w:top w:val="single" w:sz="6"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328"/>
              </w:tabs>
              <w:jc w:val="both"/>
              <w:rPr>
                <w:lang w:val="en-AU"/>
              </w:rPr>
            </w:pPr>
          </w:p>
        </w:tc>
        <w:tc>
          <w:tcPr>
            <w:tcW w:w="2069"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7"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295493">
        <w:trPr>
          <w:trHeight w:val="20"/>
          <w:jc w:val="center"/>
        </w:trPr>
        <w:tc>
          <w:tcPr>
            <w:tcW w:w="5549"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spacing w:before="120"/>
              <w:jc w:val="both"/>
              <w:rPr>
                <w:lang w:val="en-AU"/>
              </w:rPr>
            </w:pPr>
            <w:r w:rsidRPr="00D21FCE">
              <w:rPr>
                <w:szCs w:val="18"/>
                <w:lang w:val="en-AU"/>
              </w:rPr>
              <w:t>Division 101.</w:t>
            </w:r>
            <w:r w:rsidRPr="00D21FCE">
              <w:rPr>
                <w:rFonts w:eastAsia="Times New Roman"/>
                <w:szCs w:val="18"/>
                <w:lang w:val="en-AU"/>
              </w:rPr>
              <w:t>—SENATE</w:t>
            </w:r>
          </w:p>
        </w:tc>
        <w:tc>
          <w:tcPr>
            <w:tcW w:w="2069"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spacing w:after="120"/>
              <w:ind w:right="72"/>
              <w:jc w:val="right"/>
              <w:rPr>
                <w:lang w:val="en-AU"/>
              </w:rPr>
            </w:pPr>
            <w:r w:rsidRPr="00D21FCE">
              <w:rPr>
                <w:szCs w:val="18"/>
                <w:lang w:val="en-AU"/>
              </w:rPr>
              <w:t>$</w:t>
            </w:r>
          </w:p>
        </w:tc>
        <w:tc>
          <w:tcPr>
            <w:tcW w:w="1507"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spacing w:after="120"/>
              <w:ind w:right="72"/>
              <w:jc w:val="right"/>
              <w:rPr>
                <w:lang w:val="en-AU"/>
              </w:rPr>
            </w:pPr>
          </w:p>
        </w:tc>
      </w:tr>
      <w:tr w:rsidR="00107445" w:rsidRPr="00D21FCE" w:rsidTr="00295493">
        <w:trPr>
          <w:trHeight w:val="20"/>
          <w:jc w:val="center"/>
        </w:trPr>
        <w:tc>
          <w:tcPr>
            <w:tcW w:w="5549"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ind w:left="576" w:hanging="576"/>
              <w:jc w:val="both"/>
              <w:rPr>
                <w:lang w:val="en-AU"/>
              </w:rPr>
            </w:pPr>
            <w:r w:rsidRPr="00D21FCE">
              <w:rPr>
                <w:b/>
                <w:bCs/>
                <w:szCs w:val="18"/>
                <w:lang w:val="en-AU"/>
              </w:rPr>
              <w:t>1.</w:t>
            </w:r>
            <w:r w:rsidRPr="00D21FCE">
              <w:rPr>
                <w:rFonts w:eastAsia="Times New Roman"/>
                <w:szCs w:val="18"/>
                <w:lang w:val="en-AU"/>
              </w:rPr>
              <w:t xml:space="preserve">— </w:t>
            </w:r>
            <w:r w:rsidRPr="00D21FCE">
              <w:rPr>
                <w:rFonts w:eastAsia="Times New Roman"/>
                <w:b/>
                <w:bCs/>
                <w:szCs w:val="18"/>
                <w:lang w:val="en-AU"/>
              </w:rPr>
              <w:t>Running Costs (net appropriation — see section 5) (see also section 6)</w:t>
            </w:r>
            <w:r w:rsidR="00D315AA" w:rsidRPr="00D21FCE">
              <w:rPr>
                <w:rFonts w:eastAsia="Times New Roman"/>
                <w:b/>
                <w:bCs/>
                <w:szCs w:val="18"/>
                <w:lang w:val="en-AU"/>
              </w:rPr>
              <w:tab/>
            </w:r>
          </w:p>
        </w:tc>
        <w:tc>
          <w:tcPr>
            <w:tcW w:w="2069"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11 243 000</w:t>
            </w:r>
          </w:p>
        </w:tc>
        <w:tc>
          <w:tcPr>
            <w:tcW w:w="1507"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23 696 000</w:t>
            </w:r>
          </w:p>
        </w:tc>
      </w:tr>
      <w:tr w:rsidR="00107445" w:rsidRPr="00D21FCE" w:rsidTr="008E0934">
        <w:trPr>
          <w:trHeight w:val="20"/>
          <w:jc w:val="center"/>
        </w:trPr>
        <w:tc>
          <w:tcPr>
            <w:tcW w:w="5549"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spacing w:before="240"/>
              <w:jc w:val="both"/>
              <w:rPr>
                <w:lang w:val="en-AU"/>
              </w:rPr>
            </w:pPr>
            <w:r w:rsidRPr="00D21FCE">
              <w:rPr>
                <w:b/>
                <w:bCs/>
                <w:szCs w:val="18"/>
                <w:lang w:val="en-AU"/>
              </w:rPr>
              <w:t>2.</w:t>
            </w:r>
            <w:r w:rsidRPr="00D21FCE">
              <w:rPr>
                <w:rFonts w:eastAsia="Times New Roman"/>
                <w:b/>
                <w:bCs/>
                <w:szCs w:val="18"/>
                <w:lang w:val="en-AU"/>
              </w:rPr>
              <w:t>— Other Services</w:t>
            </w:r>
            <w:r w:rsidR="00D315AA" w:rsidRPr="00D21FCE">
              <w:rPr>
                <w:rFonts w:eastAsia="Times New Roman"/>
                <w:b/>
                <w:bCs/>
                <w:szCs w:val="18"/>
                <w:lang w:val="en-AU"/>
              </w:rPr>
              <w:tab/>
            </w:r>
          </w:p>
        </w:tc>
        <w:tc>
          <w:tcPr>
            <w:tcW w:w="2069"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357 000</w:t>
            </w:r>
          </w:p>
        </w:tc>
        <w:tc>
          <w:tcPr>
            <w:tcW w:w="1507"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450 000</w:t>
            </w:r>
          </w:p>
        </w:tc>
      </w:tr>
      <w:tr w:rsidR="00107445" w:rsidRPr="00D21FCE" w:rsidTr="008E0934">
        <w:trPr>
          <w:trHeight w:val="20"/>
          <w:jc w:val="center"/>
        </w:trPr>
        <w:tc>
          <w:tcPr>
            <w:tcW w:w="5549"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328"/>
              </w:tabs>
              <w:spacing w:before="240"/>
              <w:ind w:left="1008" w:hanging="432"/>
              <w:jc w:val="both"/>
              <w:rPr>
                <w:lang w:val="en-AU"/>
              </w:rPr>
            </w:pPr>
            <w:r w:rsidRPr="00D21FCE">
              <w:rPr>
                <w:b/>
                <w:bCs/>
                <w:szCs w:val="18"/>
                <w:lang w:val="en-AU"/>
              </w:rPr>
              <w:t>Total: Senate</w:t>
            </w:r>
            <w:r w:rsidR="00D315AA" w:rsidRPr="00D21FCE">
              <w:rPr>
                <w:b/>
                <w:bCs/>
                <w:szCs w:val="18"/>
                <w:lang w:val="en-AU"/>
              </w:rPr>
              <w:tab/>
            </w:r>
          </w:p>
        </w:tc>
        <w:tc>
          <w:tcPr>
            <w:tcW w:w="2069"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11 600 000</w:t>
            </w:r>
          </w:p>
        </w:tc>
        <w:tc>
          <w:tcPr>
            <w:tcW w:w="1507"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24 146 000</w:t>
            </w:r>
          </w:p>
        </w:tc>
      </w:tr>
    </w:tbl>
    <w:p w:rsidR="00107445" w:rsidRPr="00D21FCE" w:rsidRDefault="008F24DE" w:rsidP="007B5033">
      <w:pPr>
        <w:shd w:val="clear" w:color="auto" w:fill="FFFFFF"/>
        <w:spacing w:before="360" w:after="480"/>
        <w:ind w:left="288" w:hanging="288"/>
        <w:jc w:val="both"/>
        <w:rPr>
          <w:sz w:val="22"/>
          <w:lang w:val="en-AU"/>
        </w:rPr>
      </w:pPr>
      <w:r w:rsidRPr="00D21FCE">
        <w:rPr>
          <w:sz w:val="22"/>
          <w:szCs w:val="18"/>
          <w:lang w:val="en-AU"/>
        </w:rPr>
        <w:t xml:space="preserve">* Includes amounts issued or estimated to be issued under Division 102 </w:t>
      </w:r>
      <w:r w:rsidRPr="00D21FCE">
        <w:rPr>
          <w:rFonts w:eastAsia="Times New Roman"/>
          <w:sz w:val="22"/>
          <w:szCs w:val="18"/>
          <w:lang w:val="en-AU"/>
        </w:rPr>
        <w:t xml:space="preserve">— Advance to the President of the Senate and Division 103 — Provision for Running Costs Borrowings and amounts appropriated or estimated to be appropriated under subsection 35(3) of the </w:t>
      </w:r>
      <w:r w:rsidRPr="00D21FCE">
        <w:rPr>
          <w:rFonts w:eastAsia="Times New Roman"/>
          <w:i/>
          <w:iCs/>
          <w:sz w:val="22"/>
          <w:szCs w:val="18"/>
          <w:lang w:val="en-AU"/>
        </w:rPr>
        <w:t>Audit Act 1901.</w:t>
      </w:r>
    </w:p>
    <w:tbl>
      <w:tblPr>
        <w:tblW w:w="5000" w:type="pct"/>
        <w:jc w:val="center"/>
        <w:tblLayout w:type="fixed"/>
        <w:tblCellMar>
          <w:left w:w="40" w:type="dxa"/>
          <w:right w:w="40" w:type="dxa"/>
        </w:tblCellMar>
        <w:tblLook w:val="0000" w:firstRow="0" w:lastRow="0" w:firstColumn="0" w:lastColumn="0" w:noHBand="0" w:noVBand="0"/>
      </w:tblPr>
      <w:tblGrid>
        <w:gridCol w:w="5560"/>
        <w:gridCol w:w="2046"/>
        <w:gridCol w:w="1503"/>
      </w:tblGrid>
      <w:tr w:rsidR="00107445" w:rsidRPr="00D21FCE" w:rsidTr="008E0934">
        <w:trPr>
          <w:trHeight w:val="863"/>
          <w:jc w:val="center"/>
        </w:trPr>
        <w:tc>
          <w:tcPr>
            <w:tcW w:w="5558" w:type="dxa"/>
            <w:tcBorders>
              <w:top w:val="single" w:sz="4"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328"/>
              </w:tabs>
              <w:jc w:val="both"/>
              <w:rPr>
                <w:lang w:val="en-AU"/>
              </w:rPr>
            </w:pPr>
          </w:p>
        </w:tc>
        <w:tc>
          <w:tcPr>
            <w:tcW w:w="2045"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2"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295493">
        <w:trPr>
          <w:trHeight w:val="20"/>
          <w:jc w:val="center"/>
        </w:trPr>
        <w:tc>
          <w:tcPr>
            <w:tcW w:w="5558"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tabs>
                <w:tab w:val="left" w:leader="dot" w:pos="5328"/>
              </w:tabs>
              <w:jc w:val="both"/>
              <w:rPr>
                <w:lang w:val="en-AU"/>
              </w:rPr>
            </w:pPr>
          </w:p>
        </w:tc>
        <w:tc>
          <w:tcPr>
            <w:tcW w:w="2045"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2"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r>
      <w:tr w:rsidR="00107445" w:rsidRPr="00D21FCE" w:rsidTr="00295493">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jc w:val="both"/>
              <w:rPr>
                <w:lang w:val="en-AU"/>
              </w:rPr>
            </w:pPr>
            <w:r w:rsidRPr="00D21FCE">
              <w:rPr>
                <w:b/>
                <w:bCs/>
                <w:szCs w:val="18"/>
                <w:lang w:val="en-AU"/>
              </w:rPr>
              <w:t>ADVANCE TO THE PRESIDENT OF THE SENATE</w:t>
            </w:r>
          </w:p>
        </w:tc>
        <w:tc>
          <w:tcPr>
            <w:tcW w:w="204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295493">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spacing w:before="240"/>
              <w:ind w:firstLine="10"/>
              <w:jc w:val="both"/>
              <w:rPr>
                <w:lang w:val="en-AU"/>
              </w:rPr>
            </w:pPr>
            <w:r w:rsidRPr="00D21FCE">
              <w:rPr>
                <w:szCs w:val="18"/>
                <w:lang w:val="en-AU"/>
              </w:rPr>
              <w:t>Division 102.</w:t>
            </w:r>
            <w:r w:rsidRPr="00D21FCE">
              <w:rPr>
                <w:rFonts w:eastAsia="Times New Roman"/>
                <w:szCs w:val="18"/>
                <w:lang w:val="en-AU"/>
              </w:rPr>
              <w:t>— ADVANCE TO THE PRESIDENT OF THE SENATE</w:t>
            </w:r>
          </w:p>
        </w:tc>
        <w:tc>
          <w:tcPr>
            <w:tcW w:w="204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295493">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spacing w:before="240"/>
              <w:ind w:left="144"/>
              <w:jc w:val="both"/>
              <w:rPr>
                <w:lang w:val="en-AU"/>
              </w:rPr>
            </w:pPr>
            <w:r w:rsidRPr="00D21FCE">
              <w:rPr>
                <w:szCs w:val="18"/>
                <w:lang w:val="en-AU"/>
              </w:rPr>
              <w:t xml:space="preserve">To enable the President of the Senate to make money available for </w:t>
            </w:r>
            <w:r w:rsidR="008E0934" w:rsidRPr="00D21FCE">
              <w:rPr>
                <w:szCs w:val="18"/>
                <w:lang w:val="en-AU"/>
              </w:rPr>
              <w:t xml:space="preserve"> </w:t>
            </w:r>
            <w:r w:rsidRPr="00D21FCE">
              <w:rPr>
                <w:szCs w:val="18"/>
                <w:lang w:val="en-AU"/>
              </w:rPr>
              <w:t>expenditure:</w:t>
            </w:r>
          </w:p>
        </w:tc>
        <w:tc>
          <w:tcPr>
            <w:tcW w:w="204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295493">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spacing w:before="240"/>
              <w:ind w:left="619" w:hanging="475"/>
              <w:jc w:val="both"/>
              <w:rPr>
                <w:lang w:val="en-AU"/>
              </w:rPr>
            </w:pPr>
            <w:r w:rsidRPr="00D21FCE">
              <w:rPr>
                <w:szCs w:val="18"/>
                <w:lang w:val="en-AU"/>
              </w:rPr>
              <w:t>(a) that the President of the Senate is satisfied is urgently required and:</w:t>
            </w:r>
          </w:p>
        </w:tc>
        <w:tc>
          <w:tcPr>
            <w:tcW w:w="204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295493">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328"/>
              </w:tabs>
              <w:spacing w:before="240"/>
              <w:ind w:left="1008" w:hanging="432"/>
              <w:rPr>
                <w:lang w:val="en-AU"/>
              </w:rPr>
            </w:pPr>
            <w:r w:rsidRPr="00D21FCE">
              <w:rPr>
                <w:szCs w:val="18"/>
                <w:lang w:val="en-AU"/>
              </w:rPr>
              <w:t>(i) was unforeseen until after the last day on which it was practicable to include appropriation for that expenditure in the Bill for this Act before the introduction of that Bill into the House of Representatives; or</w:t>
            </w:r>
          </w:p>
        </w:tc>
        <w:tc>
          <w:tcPr>
            <w:tcW w:w="204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295493">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28"/>
              </w:tabs>
              <w:spacing w:before="240"/>
              <w:ind w:left="1008" w:hanging="432"/>
              <w:jc w:val="both"/>
              <w:rPr>
                <w:lang w:val="en-AU"/>
              </w:rPr>
            </w:pPr>
            <w:r w:rsidRPr="00D21FCE">
              <w:rPr>
                <w:szCs w:val="18"/>
                <w:lang w:val="en-AU"/>
              </w:rPr>
              <w:t>(ii) was erroneously omitted from, or understated in, the Bill for this Act; and</w:t>
            </w:r>
          </w:p>
        </w:tc>
        <w:tc>
          <w:tcPr>
            <w:tcW w:w="204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8E0934">
        <w:trPr>
          <w:trHeight w:val="20"/>
          <w:jc w:val="center"/>
        </w:trPr>
        <w:tc>
          <w:tcPr>
            <w:tcW w:w="5558"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040"/>
              </w:tabs>
              <w:spacing w:before="240"/>
              <w:ind w:left="619" w:hanging="475"/>
              <w:rPr>
                <w:lang w:val="en-AU"/>
              </w:rPr>
            </w:pPr>
            <w:r w:rsidRPr="00D21FCE">
              <w:rPr>
                <w:szCs w:val="18"/>
                <w:lang w:val="en-AU"/>
              </w:rPr>
              <w:t>(b) particulars of which will afterwards be submitted to the Parliament;</w:t>
            </w:r>
          </w:p>
        </w:tc>
        <w:tc>
          <w:tcPr>
            <w:tcW w:w="2045" w:type="dxa"/>
            <w:tcBorders>
              <w:top w:val="nil"/>
              <w:left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2" w:type="dxa"/>
            <w:tcBorders>
              <w:top w:val="nil"/>
              <w:left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8E0934">
        <w:trPr>
          <w:trHeight w:val="20"/>
          <w:jc w:val="center"/>
        </w:trPr>
        <w:tc>
          <w:tcPr>
            <w:tcW w:w="5558"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220"/>
              </w:tabs>
              <w:spacing w:before="240"/>
              <w:ind w:left="144"/>
              <w:jc w:val="both"/>
              <w:rPr>
                <w:lang w:val="en-AU"/>
              </w:rPr>
            </w:pPr>
            <w:r w:rsidRPr="00D21FCE">
              <w:rPr>
                <w:szCs w:val="18"/>
                <w:lang w:val="en-AU"/>
              </w:rPr>
              <w:t>being expenditure for the service of the year ending on 30 June</w:t>
            </w:r>
            <w:r w:rsidRPr="00D21FCE">
              <w:rPr>
                <w:b/>
                <w:bCs/>
                <w:szCs w:val="18"/>
                <w:lang w:val="en-AU"/>
              </w:rPr>
              <w:t xml:space="preserve"> </w:t>
            </w:r>
            <w:r w:rsidRPr="00D21FCE">
              <w:rPr>
                <w:szCs w:val="18"/>
                <w:lang w:val="en-AU"/>
              </w:rPr>
              <w:t>1997 in relation to the Senate</w:t>
            </w:r>
            <w:r w:rsidR="00D315AA" w:rsidRPr="00D21FCE">
              <w:rPr>
                <w:szCs w:val="18"/>
                <w:lang w:val="en-AU"/>
              </w:rPr>
              <w:tab/>
            </w:r>
          </w:p>
        </w:tc>
        <w:tc>
          <w:tcPr>
            <w:tcW w:w="2045"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300 000</w:t>
            </w:r>
          </w:p>
        </w:tc>
        <w:tc>
          <w:tcPr>
            <w:tcW w:w="1502"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300 000</w:t>
            </w:r>
          </w:p>
        </w:tc>
      </w:tr>
    </w:tbl>
    <w:p w:rsidR="00107445" w:rsidRPr="00D21FCE" w:rsidRDefault="008F24DE" w:rsidP="007B5033">
      <w:pPr>
        <w:shd w:val="clear" w:color="auto" w:fill="FFFFFF"/>
        <w:spacing w:before="360"/>
        <w:ind w:left="288" w:hanging="288"/>
        <w:jc w:val="both"/>
        <w:rPr>
          <w:sz w:val="22"/>
          <w:lang w:val="en-AU"/>
        </w:rPr>
      </w:pPr>
      <w:r w:rsidRPr="00D21FCE">
        <w:rPr>
          <w:sz w:val="22"/>
          <w:szCs w:val="18"/>
          <w:lang w:val="en-AU"/>
        </w:rPr>
        <w:t>** Issues and estimated issues of funds from the Advance to the President of the Senate are included in the appropriations to which the relevant amounts have been or will be charged.</w:t>
      </w:r>
    </w:p>
    <w:p w:rsidR="00107445" w:rsidRPr="00D21FCE" w:rsidRDefault="005107D5" w:rsidP="007B5033">
      <w:pPr>
        <w:shd w:val="clear" w:color="auto" w:fill="FFFFFF"/>
        <w:tabs>
          <w:tab w:val="left" w:pos="8712"/>
        </w:tabs>
        <w:spacing w:before="120" w:after="60"/>
        <w:ind w:left="3701"/>
        <w:jc w:val="both"/>
        <w:rPr>
          <w:sz w:val="22"/>
          <w:lang w:val="en-AU"/>
        </w:rPr>
      </w:pPr>
      <w:r w:rsidRPr="00D21FCE">
        <w:rPr>
          <w:sz w:val="22"/>
          <w:lang w:val="en-AU"/>
        </w:rPr>
        <w:br w:type="page"/>
      </w:r>
    </w:p>
    <w:p w:rsidR="00107445" w:rsidRPr="00D21FCE" w:rsidRDefault="008F24DE" w:rsidP="007B5033">
      <w:pPr>
        <w:shd w:val="clear" w:color="auto" w:fill="FFFFFF"/>
        <w:spacing w:after="240"/>
        <w:jc w:val="center"/>
        <w:rPr>
          <w:sz w:val="22"/>
          <w:lang w:val="en-AU"/>
        </w:rPr>
      </w:pPr>
      <w:r w:rsidRPr="00D21FCE">
        <w:rPr>
          <w:b/>
          <w:bCs/>
          <w:sz w:val="22"/>
          <w:szCs w:val="18"/>
          <w:lang w:val="en-AU"/>
        </w:rPr>
        <w:t xml:space="preserve">SCHEDULE </w:t>
      </w:r>
      <w:r w:rsidRPr="00D21FCE">
        <w:rPr>
          <w:rFonts w:eastAsia="Times New Roman"/>
          <w:sz w:val="22"/>
          <w:szCs w:val="18"/>
          <w:lang w:val="en-AU"/>
        </w:rPr>
        <w:t xml:space="preserve">— </w:t>
      </w:r>
      <w:r w:rsidRPr="00D21FCE">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30"/>
        <w:gridCol w:w="2070"/>
        <w:gridCol w:w="1509"/>
      </w:tblGrid>
      <w:tr w:rsidR="00107445" w:rsidRPr="00D21FCE" w:rsidTr="00791BD9">
        <w:trPr>
          <w:trHeight w:val="855"/>
          <w:jc w:val="center"/>
        </w:trPr>
        <w:tc>
          <w:tcPr>
            <w:tcW w:w="5530" w:type="dxa"/>
            <w:tcBorders>
              <w:top w:val="single" w:sz="4"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9"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791BD9">
        <w:trPr>
          <w:trHeight w:val="20"/>
          <w:jc w:val="center"/>
        </w:trPr>
        <w:tc>
          <w:tcPr>
            <w:tcW w:w="553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9"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jc w:val="both"/>
              <w:rPr>
                <w:lang w:val="en-AU"/>
              </w:rPr>
            </w:pPr>
            <w:r w:rsidRPr="00D21FCE">
              <w:rPr>
                <w:b/>
                <w:bCs/>
                <w:szCs w:val="18"/>
                <w:lang w:val="en-AU"/>
              </w:rPr>
              <w:t>PROVISION FOR RUNNING COSTS BORROWINGS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rPr>
                <w:lang w:val="en-AU"/>
              </w:rPr>
            </w:pPr>
            <w:r w:rsidRPr="00D21FCE">
              <w:rPr>
                <w:szCs w:val="18"/>
                <w:lang w:val="en-AU"/>
              </w:rPr>
              <w:t>Division 103.</w:t>
            </w:r>
            <w:r w:rsidRPr="00D21FCE">
              <w:rPr>
                <w:rFonts w:eastAsia="Times New Roman"/>
                <w:szCs w:val="18"/>
                <w:lang w:val="en-AU"/>
              </w:rPr>
              <w:t>— PROVISION FOR RUNNING COSTS BORROWINGS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144"/>
              <w:rPr>
                <w:lang w:val="en-AU"/>
              </w:rPr>
            </w:pPr>
            <w:r w:rsidRPr="00D21FCE">
              <w:rPr>
                <w:szCs w:val="18"/>
                <w:lang w:val="en-AU"/>
              </w:rPr>
              <w:t>To enable the President to make money available for expenditure:</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ind w:left="619" w:hanging="475"/>
              <w:rPr>
                <w:lang w:val="en-AU"/>
              </w:rPr>
            </w:pPr>
            <w:r w:rsidRPr="00D21FCE">
              <w:rPr>
                <w:szCs w:val="18"/>
                <w:lang w:val="en-AU"/>
              </w:rPr>
              <w:t>(a) for the purposes of running costs for which an appropriation has been made under an item, subdivision or Division in this Schedule;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D21FCE">
            <w:pPr>
              <w:shd w:val="clear" w:color="auto" w:fill="FFFFFF"/>
              <w:tabs>
                <w:tab w:val="left" w:leader="dot" w:pos="5400"/>
              </w:tabs>
              <w:spacing w:before="240"/>
              <w:ind w:left="619" w:hanging="475"/>
              <w:rPr>
                <w:lang w:val="en-AU"/>
              </w:rPr>
            </w:pPr>
            <w:r w:rsidRPr="00D21FCE">
              <w:rPr>
                <w:szCs w:val="18"/>
                <w:lang w:val="en-AU"/>
              </w:rPr>
              <w:t>(b) particulars of which will afterwards be submitted to the Parliament</w:t>
            </w:r>
            <w:r w:rsidR="00791BD9" w:rsidRPr="00D21FCE">
              <w:rPr>
                <w:szCs w:val="18"/>
                <w:lang w:val="en-AU"/>
              </w:rPr>
              <w:tab/>
            </w:r>
          </w:p>
        </w:tc>
        <w:tc>
          <w:tcPr>
            <w:tcW w:w="207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50 000</w:t>
            </w:r>
          </w:p>
        </w:tc>
        <w:tc>
          <w:tcPr>
            <w:tcW w:w="1509"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50 000</w:t>
            </w:r>
          </w:p>
        </w:tc>
      </w:tr>
    </w:tbl>
    <w:p w:rsidR="00107445" w:rsidRPr="00D21FCE" w:rsidRDefault="008F24DE" w:rsidP="007B5033">
      <w:pPr>
        <w:shd w:val="clear" w:color="auto" w:fill="FFFFFF"/>
        <w:spacing w:before="240" w:after="60"/>
        <w:ind w:left="288" w:hanging="288"/>
        <w:jc w:val="both"/>
        <w:rPr>
          <w:sz w:val="22"/>
          <w:lang w:val="en-AU"/>
        </w:rPr>
      </w:pPr>
      <w:r w:rsidRPr="00D21FCE">
        <w:rPr>
          <w:sz w:val="22"/>
          <w:szCs w:val="18"/>
          <w:lang w:val="en-AU"/>
        </w:rPr>
        <w:t>* Issues and estimated issues of funds from the Provision for Running Costs Borrowings are included in the appropriations to which the relevant amounts have been or will be charged.</w:t>
      </w:r>
    </w:p>
    <w:p w:rsidR="00107445" w:rsidRPr="00D21FCE" w:rsidRDefault="005107D5" w:rsidP="007B5033">
      <w:pPr>
        <w:shd w:val="clear" w:color="auto" w:fill="FFFFFF"/>
        <w:tabs>
          <w:tab w:val="left" w:pos="1541"/>
        </w:tabs>
        <w:spacing w:before="120" w:after="60"/>
        <w:ind w:left="3845"/>
        <w:jc w:val="both"/>
        <w:rPr>
          <w:sz w:val="22"/>
          <w:lang w:val="en-AU"/>
        </w:rPr>
      </w:pPr>
      <w:r w:rsidRPr="00D21FCE">
        <w:rPr>
          <w:sz w:val="22"/>
          <w:lang w:val="en-AU"/>
        </w:rPr>
        <w:br w:type="page"/>
      </w:r>
    </w:p>
    <w:p w:rsidR="00107445" w:rsidRPr="00D21FCE" w:rsidRDefault="008F24DE" w:rsidP="007B5033">
      <w:pPr>
        <w:shd w:val="clear" w:color="auto" w:fill="FFFFFF"/>
        <w:spacing w:after="240"/>
        <w:jc w:val="center"/>
        <w:rPr>
          <w:sz w:val="22"/>
          <w:lang w:val="en-AU"/>
        </w:rPr>
      </w:pPr>
      <w:r w:rsidRPr="00D21FCE">
        <w:rPr>
          <w:b/>
          <w:bCs/>
          <w:sz w:val="22"/>
          <w:szCs w:val="18"/>
          <w:lang w:val="en-AU"/>
        </w:rPr>
        <w:t xml:space="preserve">SCHEDULE </w:t>
      </w:r>
      <w:r w:rsidRPr="00D21FCE">
        <w:rPr>
          <w:rFonts w:eastAsia="Times New Roman"/>
          <w:sz w:val="22"/>
          <w:szCs w:val="18"/>
          <w:lang w:val="en-AU"/>
        </w:rPr>
        <w:t xml:space="preserve">— </w:t>
      </w:r>
      <w:r w:rsidRPr="00D21FCE">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35"/>
        <w:gridCol w:w="2065"/>
        <w:gridCol w:w="1509"/>
      </w:tblGrid>
      <w:tr w:rsidR="00107445" w:rsidRPr="00D21FCE" w:rsidTr="00883366">
        <w:trPr>
          <w:trHeight w:val="750"/>
          <w:jc w:val="center"/>
        </w:trPr>
        <w:tc>
          <w:tcPr>
            <w:tcW w:w="5535" w:type="dxa"/>
            <w:tcBorders>
              <w:top w:val="single" w:sz="6"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65"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9" w:type="dxa"/>
            <w:tcBorders>
              <w:top w:val="single" w:sz="6"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D64502">
        <w:trPr>
          <w:trHeight w:val="20"/>
          <w:jc w:val="center"/>
        </w:trPr>
        <w:tc>
          <w:tcPr>
            <w:tcW w:w="5535" w:type="dxa"/>
            <w:tcBorders>
              <w:top w:val="single" w:sz="6" w:space="0" w:color="auto"/>
              <w:left w:val="nil"/>
              <w:right w:val="nil"/>
            </w:tcBorders>
            <w:shd w:val="clear" w:color="auto" w:fill="FFFFFF"/>
            <w:vAlign w:val="bottom"/>
          </w:tcPr>
          <w:p w:rsidR="00107445" w:rsidRPr="00D21FCE" w:rsidRDefault="008F24DE" w:rsidP="007B5033">
            <w:pPr>
              <w:shd w:val="clear" w:color="auto" w:fill="FFFFFF"/>
              <w:tabs>
                <w:tab w:val="left" w:leader="dot" w:pos="5184"/>
              </w:tabs>
              <w:jc w:val="both"/>
              <w:rPr>
                <w:lang w:val="en-AU"/>
              </w:rPr>
            </w:pPr>
            <w:r w:rsidRPr="00D21FCE">
              <w:rPr>
                <w:szCs w:val="18"/>
                <w:lang w:val="en-AU"/>
              </w:rPr>
              <w:t>Division 104.</w:t>
            </w:r>
            <w:r w:rsidRPr="00D21FCE">
              <w:rPr>
                <w:rFonts w:eastAsia="Times New Roman"/>
                <w:szCs w:val="18"/>
                <w:lang w:val="en-AU"/>
              </w:rPr>
              <w:t>— HOUSE OF REPRESENTATIVES</w:t>
            </w:r>
          </w:p>
        </w:tc>
        <w:tc>
          <w:tcPr>
            <w:tcW w:w="2065"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9"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D64502">
        <w:trPr>
          <w:trHeight w:val="20"/>
          <w:jc w:val="center"/>
        </w:trPr>
        <w:tc>
          <w:tcPr>
            <w:tcW w:w="5535"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5310"/>
              </w:tabs>
              <w:ind w:left="576" w:hanging="576"/>
              <w:jc w:val="both"/>
              <w:rPr>
                <w:lang w:val="en-AU"/>
              </w:rPr>
            </w:pPr>
            <w:r w:rsidRPr="00D21FCE">
              <w:rPr>
                <w:b/>
                <w:bCs/>
                <w:szCs w:val="18"/>
                <w:lang w:val="en-AU"/>
              </w:rPr>
              <w:t>1.</w:t>
            </w:r>
            <w:r w:rsidRPr="00D21FCE">
              <w:rPr>
                <w:rFonts w:eastAsia="Times New Roman"/>
                <w:b/>
                <w:bCs/>
                <w:szCs w:val="18"/>
                <w:lang w:val="en-AU"/>
              </w:rPr>
              <w:t>— Running Costs (net appropriation — see section 5) (see also section 6)</w:t>
            </w:r>
            <w:r w:rsidR="00883366" w:rsidRPr="00D21FCE">
              <w:rPr>
                <w:rFonts w:eastAsia="Times New Roman"/>
                <w:b/>
                <w:bCs/>
                <w:szCs w:val="18"/>
                <w:lang w:val="en-AU"/>
              </w:rPr>
              <w:tab/>
            </w:r>
          </w:p>
        </w:tc>
        <w:tc>
          <w:tcPr>
            <w:tcW w:w="2065"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11 810 000</w:t>
            </w:r>
          </w:p>
        </w:tc>
        <w:tc>
          <w:tcPr>
            <w:tcW w:w="1509"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23 669 000</w:t>
            </w:r>
          </w:p>
        </w:tc>
      </w:tr>
      <w:tr w:rsidR="00107445" w:rsidRPr="00D21FCE" w:rsidTr="00D64502">
        <w:trPr>
          <w:trHeight w:val="20"/>
          <w:jc w:val="center"/>
        </w:trPr>
        <w:tc>
          <w:tcPr>
            <w:tcW w:w="5535" w:type="dxa"/>
            <w:tcBorders>
              <w:left w:val="nil"/>
              <w:right w:val="nil"/>
            </w:tcBorders>
            <w:shd w:val="clear" w:color="auto" w:fill="FFFFFF"/>
            <w:vAlign w:val="bottom"/>
          </w:tcPr>
          <w:p w:rsidR="00107445" w:rsidRPr="00D21FCE" w:rsidRDefault="008F24DE" w:rsidP="007B5033">
            <w:pPr>
              <w:shd w:val="clear" w:color="auto" w:fill="FFFFFF"/>
              <w:tabs>
                <w:tab w:val="left" w:leader="dot" w:pos="5310"/>
              </w:tabs>
              <w:spacing w:before="240"/>
              <w:jc w:val="both"/>
              <w:rPr>
                <w:lang w:val="en-AU"/>
              </w:rPr>
            </w:pPr>
            <w:r w:rsidRPr="00D21FCE">
              <w:rPr>
                <w:b/>
                <w:bCs/>
                <w:szCs w:val="18"/>
                <w:lang w:val="en-AU"/>
              </w:rPr>
              <w:t>2.</w:t>
            </w:r>
            <w:r w:rsidRPr="00D21FCE">
              <w:rPr>
                <w:rFonts w:eastAsia="Times New Roman"/>
                <w:b/>
                <w:bCs/>
                <w:szCs w:val="18"/>
                <w:lang w:val="en-AU"/>
              </w:rPr>
              <w:t>— Other Services</w:t>
            </w:r>
            <w:r w:rsidR="00883366" w:rsidRPr="00D21FCE">
              <w:rPr>
                <w:rFonts w:eastAsia="Times New Roman"/>
                <w:b/>
                <w:bCs/>
                <w:szCs w:val="18"/>
                <w:lang w:val="en-AU"/>
              </w:rPr>
              <w:tab/>
            </w:r>
          </w:p>
        </w:tc>
        <w:tc>
          <w:tcPr>
            <w:tcW w:w="2065"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352 000</w:t>
            </w:r>
          </w:p>
        </w:tc>
        <w:tc>
          <w:tcPr>
            <w:tcW w:w="1509"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448 000</w:t>
            </w:r>
          </w:p>
        </w:tc>
      </w:tr>
      <w:tr w:rsidR="00107445" w:rsidRPr="00D21FCE" w:rsidTr="00D64502">
        <w:trPr>
          <w:trHeight w:val="20"/>
          <w:jc w:val="center"/>
        </w:trPr>
        <w:tc>
          <w:tcPr>
            <w:tcW w:w="5535"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tabs>
                <w:tab w:val="left" w:leader="dot" w:pos="5310"/>
              </w:tabs>
              <w:spacing w:before="240"/>
              <w:ind w:left="1008" w:hanging="432"/>
              <w:jc w:val="both"/>
              <w:rPr>
                <w:lang w:val="en-AU"/>
              </w:rPr>
            </w:pPr>
            <w:r w:rsidRPr="00D21FCE">
              <w:rPr>
                <w:b/>
                <w:bCs/>
                <w:szCs w:val="18"/>
                <w:lang w:val="en-AU"/>
              </w:rPr>
              <w:t>Total: House of Representatives</w:t>
            </w:r>
            <w:r w:rsidR="00883366" w:rsidRPr="00D21FCE">
              <w:rPr>
                <w:b/>
                <w:bCs/>
                <w:szCs w:val="18"/>
                <w:lang w:val="en-AU"/>
              </w:rPr>
              <w:tab/>
            </w:r>
          </w:p>
        </w:tc>
        <w:tc>
          <w:tcPr>
            <w:tcW w:w="2065" w:type="dxa"/>
            <w:tcBorders>
              <w:top w:val="single" w:sz="4" w:space="0" w:color="auto"/>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12 162 000</w:t>
            </w:r>
          </w:p>
        </w:tc>
        <w:tc>
          <w:tcPr>
            <w:tcW w:w="1509" w:type="dxa"/>
            <w:tcBorders>
              <w:top w:val="single" w:sz="4" w:space="0" w:color="auto"/>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24 117 000</w:t>
            </w:r>
          </w:p>
        </w:tc>
      </w:tr>
    </w:tbl>
    <w:p w:rsidR="00107445" w:rsidRPr="00D21FCE" w:rsidRDefault="008F24DE" w:rsidP="007B5033">
      <w:pPr>
        <w:shd w:val="clear" w:color="auto" w:fill="FFFFFF"/>
        <w:spacing w:before="240" w:after="480"/>
        <w:ind w:left="288" w:hanging="288"/>
        <w:jc w:val="both"/>
        <w:rPr>
          <w:sz w:val="22"/>
          <w:lang w:val="en-AU"/>
        </w:rPr>
      </w:pPr>
      <w:r w:rsidRPr="00D21FCE">
        <w:rPr>
          <w:sz w:val="22"/>
          <w:szCs w:val="18"/>
          <w:lang w:val="en-AU"/>
        </w:rPr>
        <w:t xml:space="preserve">* Includes amounts issued or estimated to be issued under Division 105 </w:t>
      </w:r>
      <w:r w:rsidRPr="00D21FCE">
        <w:rPr>
          <w:rFonts w:eastAsia="Times New Roman"/>
          <w:sz w:val="22"/>
          <w:szCs w:val="18"/>
          <w:lang w:val="en-AU"/>
        </w:rPr>
        <w:t xml:space="preserve">— Advance to the Speaker of the House of Representatives and Division 106 — Provision for Running Costs Borrowings and amounts appropriated or estimated to be appropriated under subsection 35(3) of the </w:t>
      </w:r>
      <w:r w:rsidRPr="00D21FCE">
        <w:rPr>
          <w:rFonts w:eastAsia="Times New Roman"/>
          <w:i/>
          <w:iCs/>
          <w:sz w:val="22"/>
          <w:szCs w:val="18"/>
          <w:lang w:val="en-AU"/>
        </w:rPr>
        <w:t>Audit Act 1901.</w:t>
      </w:r>
    </w:p>
    <w:tbl>
      <w:tblPr>
        <w:tblW w:w="5000" w:type="pct"/>
        <w:jc w:val="center"/>
        <w:tblLayout w:type="fixed"/>
        <w:tblCellMar>
          <w:left w:w="40" w:type="dxa"/>
          <w:right w:w="40" w:type="dxa"/>
        </w:tblCellMar>
        <w:tblLook w:val="0000" w:firstRow="0" w:lastRow="0" w:firstColumn="0" w:lastColumn="0" w:noHBand="0" w:noVBand="0"/>
      </w:tblPr>
      <w:tblGrid>
        <w:gridCol w:w="5530"/>
        <w:gridCol w:w="2070"/>
        <w:gridCol w:w="1509"/>
      </w:tblGrid>
      <w:tr w:rsidR="00107445" w:rsidRPr="00D21FCE" w:rsidTr="00883366">
        <w:trPr>
          <w:trHeight w:val="809"/>
          <w:jc w:val="center"/>
        </w:trPr>
        <w:tc>
          <w:tcPr>
            <w:tcW w:w="5530" w:type="dxa"/>
            <w:tcBorders>
              <w:top w:val="single" w:sz="4"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9"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791BD9">
        <w:trPr>
          <w:trHeight w:val="20"/>
          <w:jc w:val="center"/>
        </w:trPr>
        <w:tc>
          <w:tcPr>
            <w:tcW w:w="553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9"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rPr>
                <w:lang w:val="en-AU"/>
              </w:rPr>
            </w:pPr>
            <w:r w:rsidRPr="00D21FCE">
              <w:rPr>
                <w:b/>
                <w:bCs/>
                <w:szCs w:val="18"/>
                <w:lang w:val="en-AU"/>
              </w:rPr>
              <w:t>ADVANCE TO THE SPEAKER OF THE HOUSE OF REPRESENTATIVES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2D066E">
            <w:pPr>
              <w:shd w:val="clear" w:color="auto" w:fill="FFFFFF"/>
              <w:tabs>
                <w:tab w:val="left" w:leader="dot" w:pos="5184"/>
              </w:tabs>
              <w:spacing w:before="240"/>
              <w:ind w:firstLine="10"/>
              <w:jc w:val="both"/>
              <w:rPr>
                <w:lang w:val="en-AU"/>
              </w:rPr>
            </w:pPr>
            <w:r w:rsidRPr="00D21FCE">
              <w:rPr>
                <w:szCs w:val="18"/>
                <w:lang w:val="en-AU"/>
              </w:rPr>
              <w:t xml:space="preserve">Division 105 </w:t>
            </w:r>
            <w:r w:rsidRPr="00D21FCE">
              <w:rPr>
                <w:rFonts w:eastAsia="Times New Roman"/>
                <w:szCs w:val="18"/>
                <w:lang w:val="en-AU"/>
              </w:rPr>
              <w:t>— ADVANCE TO THE SPEAKER OF THE HOUSE OF REPRESENTATIVES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101"/>
              <w:jc w:val="both"/>
              <w:rPr>
                <w:lang w:val="en-AU"/>
              </w:rPr>
            </w:pPr>
            <w:r w:rsidRPr="00D21FCE">
              <w:rPr>
                <w:szCs w:val="18"/>
                <w:lang w:val="en-AU"/>
              </w:rPr>
              <w:t>To enable the Speaker of the House of Representatives to make money available for expenditure:</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110"/>
              <w:jc w:val="both"/>
              <w:rPr>
                <w:lang w:val="en-AU"/>
              </w:rPr>
            </w:pPr>
            <w:r w:rsidRPr="00D21FCE">
              <w:rPr>
                <w:szCs w:val="18"/>
                <w:lang w:val="en-AU"/>
              </w:rPr>
              <w:t>(a) that the Speaker of the House of Representatives is satisfied is urgently required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48"/>
              <w:jc w:val="both"/>
              <w:rPr>
                <w:lang w:val="en-AU"/>
              </w:rPr>
            </w:pPr>
            <w:r w:rsidRPr="00D21FCE">
              <w:rPr>
                <w:szCs w:val="18"/>
                <w:lang w:val="en-AU"/>
              </w:rPr>
              <w:t>(i) was unforeseen until after the last day on which it was practicable to include appropriation for that expenditure in the Bill for this Act before the introduction of that Bill into the House of Representatives; or</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58"/>
              <w:jc w:val="both"/>
              <w:rPr>
                <w:lang w:val="en-AU"/>
              </w:rPr>
            </w:pPr>
            <w:r w:rsidRPr="00D21FCE">
              <w:rPr>
                <w:szCs w:val="18"/>
                <w:lang w:val="en-AU"/>
              </w:rPr>
              <w:t>(ii) was erroneously omitted from, or understated in, the Bill for this Act;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883366">
        <w:trPr>
          <w:trHeight w:val="20"/>
          <w:jc w:val="center"/>
        </w:trPr>
        <w:tc>
          <w:tcPr>
            <w:tcW w:w="5530" w:type="dxa"/>
            <w:tcBorders>
              <w:top w:val="nil"/>
              <w:left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115"/>
              <w:jc w:val="both"/>
              <w:rPr>
                <w:lang w:val="en-AU"/>
              </w:rPr>
            </w:pPr>
            <w:r w:rsidRPr="00D21FCE">
              <w:rPr>
                <w:szCs w:val="18"/>
                <w:lang w:val="en-AU"/>
              </w:rPr>
              <w:t>(b) particulars of which will afterwards be submitted to the Parliament;</w:t>
            </w:r>
          </w:p>
        </w:tc>
        <w:tc>
          <w:tcPr>
            <w:tcW w:w="2070" w:type="dxa"/>
            <w:tcBorders>
              <w:top w:val="nil"/>
              <w:left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883366">
        <w:trPr>
          <w:trHeight w:val="20"/>
          <w:jc w:val="center"/>
        </w:trPr>
        <w:tc>
          <w:tcPr>
            <w:tcW w:w="5530"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tabs>
                <w:tab w:val="left" w:leader="dot" w:pos="5310"/>
              </w:tabs>
              <w:spacing w:before="240"/>
              <w:ind w:left="106"/>
              <w:jc w:val="both"/>
              <w:rPr>
                <w:lang w:val="en-AU"/>
              </w:rPr>
            </w:pPr>
            <w:r w:rsidRPr="00D21FCE">
              <w:rPr>
                <w:szCs w:val="18"/>
                <w:lang w:val="en-AU"/>
              </w:rPr>
              <w:t>being expenditure for the service of the year ending on 30 June 1997 in relation to the House of Representatives</w:t>
            </w:r>
            <w:r w:rsidR="00883366" w:rsidRPr="00D21FCE">
              <w:rPr>
                <w:szCs w:val="18"/>
                <w:lang w:val="en-AU"/>
              </w:rPr>
              <w:tab/>
            </w:r>
          </w:p>
        </w:tc>
        <w:tc>
          <w:tcPr>
            <w:tcW w:w="2070"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300 000</w:t>
            </w:r>
          </w:p>
        </w:tc>
        <w:tc>
          <w:tcPr>
            <w:tcW w:w="1509"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300 000</w:t>
            </w:r>
          </w:p>
        </w:tc>
      </w:tr>
    </w:tbl>
    <w:p w:rsidR="00107445" w:rsidRPr="00D21FCE" w:rsidRDefault="008F24DE" w:rsidP="007B5033">
      <w:pPr>
        <w:shd w:val="clear" w:color="auto" w:fill="FFFFFF"/>
        <w:spacing w:before="240"/>
        <w:ind w:left="288" w:hanging="288"/>
        <w:jc w:val="both"/>
        <w:rPr>
          <w:sz w:val="22"/>
          <w:lang w:val="en-AU"/>
        </w:rPr>
      </w:pPr>
      <w:r w:rsidRPr="00D21FCE">
        <w:rPr>
          <w:sz w:val="22"/>
          <w:szCs w:val="18"/>
          <w:lang w:val="en-AU"/>
        </w:rPr>
        <w:t>** Issues and estimated issues of funds from the Advance to the Speaker of the House of Representatives are included in the appropriations to which the relevant amounts have been or will be charged.</w:t>
      </w:r>
    </w:p>
    <w:p w:rsidR="00107445" w:rsidRPr="00D21FCE" w:rsidRDefault="005107D5" w:rsidP="007B5033">
      <w:pPr>
        <w:shd w:val="clear" w:color="auto" w:fill="FFFFFF"/>
        <w:tabs>
          <w:tab w:val="left" w:pos="8813"/>
        </w:tabs>
        <w:spacing w:before="120" w:after="60"/>
        <w:ind w:left="3739"/>
        <w:jc w:val="both"/>
        <w:rPr>
          <w:sz w:val="22"/>
          <w:lang w:val="en-AU"/>
        </w:rPr>
      </w:pPr>
      <w:r w:rsidRPr="00D21FCE">
        <w:rPr>
          <w:sz w:val="22"/>
          <w:lang w:val="en-AU"/>
        </w:rPr>
        <w:br w:type="page"/>
      </w:r>
    </w:p>
    <w:p w:rsidR="00107445" w:rsidRPr="00D21FCE" w:rsidRDefault="008F24DE" w:rsidP="007B5033">
      <w:pPr>
        <w:shd w:val="clear" w:color="auto" w:fill="FFFFFF"/>
        <w:spacing w:after="360"/>
        <w:jc w:val="center"/>
        <w:rPr>
          <w:sz w:val="22"/>
          <w:lang w:val="en-AU"/>
        </w:rPr>
      </w:pPr>
      <w:r w:rsidRPr="00D21FCE">
        <w:rPr>
          <w:b/>
          <w:bCs/>
          <w:sz w:val="22"/>
          <w:szCs w:val="18"/>
          <w:lang w:val="en-AU"/>
        </w:rPr>
        <w:t xml:space="preserve">SCHEDULE </w:t>
      </w:r>
      <w:r w:rsidRPr="00D21FCE">
        <w:rPr>
          <w:rFonts w:eastAsia="Times New Roman"/>
          <w:sz w:val="22"/>
          <w:szCs w:val="18"/>
          <w:lang w:val="en-AU"/>
        </w:rPr>
        <w:t xml:space="preserve">— </w:t>
      </w:r>
      <w:r w:rsidRPr="00D21FCE">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30"/>
        <w:gridCol w:w="2070"/>
        <w:gridCol w:w="1509"/>
      </w:tblGrid>
      <w:tr w:rsidR="00107445" w:rsidRPr="00D21FCE" w:rsidTr="00770056">
        <w:trPr>
          <w:trHeight w:val="728"/>
          <w:jc w:val="center"/>
        </w:trPr>
        <w:tc>
          <w:tcPr>
            <w:tcW w:w="5530" w:type="dxa"/>
            <w:tcBorders>
              <w:top w:val="single" w:sz="4" w:space="0" w:color="auto"/>
              <w:left w:val="nil"/>
              <w:bottom w:val="single" w:sz="4" w:space="0" w:color="auto"/>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4" w:space="0" w:color="auto"/>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9" w:type="dxa"/>
            <w:tcBorders>
              <w:top w:val="single" w:sz="4" w:space="0" w:color="auto"/>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770056">
        <w:trPr>
          <w:trHeight w:val="20"/>
          <w:jc w:val="center"/>
        </w:trPr>
        <w:tc>
          <w:tcPr>
            <w:tcW w:w="5530" w:type="dxa"/>
            <w:tcBorders>
              <w:top w:val="single" w:sz="4" w:space="0" w:color="auto"/>
              <w:left w:val="nil"/>
              <w:bottom w:val="nil"/>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4"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9" w:type="dxa"/>
            <w:tcBorders>
              <w:top w:val="single" w:sz="4"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jc w:val="both"/>
              <w:rPr>
                <w:lang w:val="en-AU"/>
              </w:rPr>
            </w:pPr>
            <w:r w:rsidRPr="00D21FCE">
              <w:rPr>
                <w:b/>
                <w:bCs/>
                <w:szCs w:val="18"/>
                <w:lang w:val="en-AU"/>
              </w:rPr>
              <w:t>PROVISION FOR RUNNING COSTS BORROWINGS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rPr>
                <w:lang w:val="en-AU"/>
              </w:rPr>
            </w:pPr>
            <w:r w:rsidRPr="00D21FCE">
              <w:rPr>
                <w:szCs w:val="18"/>
                <w:lang w:val="en-AU"/>
              </w:rPr>
              <w:t>Division 106.</w:t>
            </w:r>
            <w:r w:rsidRPr="00D21FCE">
              <w:rPr>
                <w:rFonts w:eastAsia="Times New Roman"/>
                <w:szCs w:val="18"/>
                <w:lang w:val="en-AU"/>
              </w:rPr>
              <w:t>— PROVISION FOR RUNNING COSTS BORROWINGS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144"/>
              <w:jc w:val="both"/>
              <w:rPr>
                <w:lang w:val="en-AU"/>
              </w:rPr>
            </w:pPr>
            <w:r w:rsidRPr="00D21FCE">
              <w:rPr>
                <w:szCs w:val="18"/>
                <w:lang w:val="en-AU"/>
              </w:rPr>
              <w:t>To enable the Speaker of the House of Representatives to make money available for expenditure:</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19" w:hanging="475"/>
              <w:jc w:val="both"/>
              <w:rPr>
                <w:lang w:val="en-AU"/>
              </w:rPr>
            </w:pPr>
            <w:r w:rsidRPr="00D21FCE">
              <w:rPr>
                <w:szCs w:val="18"/>
                <w:lang w:val="en-AU"/>
              </w:rPr>
              <w:t>(a) for the purposes of running costs for which an appropriation has been made under an item, subdivision or Division in this Schedule;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19" w:hanging="475"/>
              <w:jc w:val="both"/>
              <w:rPr>
                <w:lang w:val="en-AU"/>
              </w:rPr>
            </w:pPr>
            <w:r w:rsidRPr="00D21FCE">
              <w:rPr>
                <w:szCs w:val="18"/>
                <w:lang w:val="en-AU"/>
              </w:rPr>
              <w:t>(b) particulars of which will afterwards be submitted to the</w:t>
            </w:r>
            <w:r w:rsidRPr="00D21FCE">
              <w:rPr>
                <w:b/>
                <w:bCs/>
                <w:szCs w:val="18"/>
                <w:lang w:val="en-AU"/>
              </w:rPr>
              <w:t xml:space="preserve"> </w:t>
            </w:r>
            <w:r w:rsidRPr="00D21FCE">
              <w:rPr>
                <w:szCs w:val="18"/>
                <w:lang w:val="en-AU"/>
              </w:rPr>
              <w:t>Parliament</w:t>
            </w:r>
            <w:r w:rsidR="00916711" w:rsidRPr="00D21FCE">
              <w:rPr>
                <w:szCs w:val="18"/>
                <w:lang w:val="en-AU"/>
              </w:rPr>
              <w:tab/>
            </w:r>
          </w:p>
        </w:tc>
        <w:tc>
          <w:tcPr>
            <w:tcW w:w="207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50 000</w:t>
            </w:r>
          </w:p>
        </w:tc>
        <w:tc>
          <w:tcPr>
            <w:tcW w:w="1509"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50 000</w:t>
            </w:r>
          </w:p>
        </w:tc>
      </w:tr>
    </w:tbl>
    <w:p w:rsidR="00107445" w:rsidRPr="00D21FCE" w:rsidRDefault="008F24DE" w:rsidP="007B5033">
      <w:pPr>
        <w:shd w:val="clear" w:color="auto" w:fill="FFFFFF"/>
        <w:spacing w:before="240" w:after="60"/>
        <w:ind w:left="288" w:hanging="288"/>
        <w:jc w:val="both"/>
        <w:rPr>
          <w:sz w:val="22"/>
          <w:lang w:val="en-AU"/>
        </w:rPr>
      </w:pPr>
      <w:r w:rsidRPr="00D21FCE">
        <w:rPr>
          <w:sz w:val="22"/>
          <w:szCs w:val="18"/>
          <w:lang w:val="en-AU"/>
        </w:rPr>
        <w:t>* Issues and estimated issues of funds from the Provision for Running Costs Borrowings are included in the appropriations to which the relevant amounts have been or will be charged.</w:t>
      </w:r>
    </w:p>
    <w:p w:rsidR="00107445" w:rsidRPr="00D21FCE" w:rsidRDefault="005107D5" w:rsidP="007B5033">
      <w:pPr>
        <w:shd w:val="clear" w:color="auto" w:fill="FFFFFF"/>
        <w:tabs>
          <w:tab w:val="left" w:pos="1555"/>
        </w:tabs>
        <w:spacing w:before="120" w:after="60"/>
        <w:ind w:left="3850"/>
        <w:jc w:val="both"/>
        <w:rPr>
          <w:sz w:val="22"/>
          <w:lang w:val="en-AU"/>
        </w:rPr>
      </w:pPr>
      <w:r w:rsidRPr="00D21FCE">
        <w:rPr>
          <w:sz w:val="22"/>
          <w:lang w:val="en-AU"/>
        </w:rPr>
        <w:br w:type="page"/>
      </w:r>
    </w:p>
    <w:p w:rsidR="00107445" w:rsidRPr="00D21FCE" w:rsidRDefault="008F24DE" w:rsidP="007B5033">
      <w:pPr>
        <w:shd w:val="clear" w:color="auto" w:fill="FFFFFF"/>
        <w:spacing w:after="240"/>
        <w:jc w:val="center"/>
        <w:rPr>
          <w:sz w:val="22"/>
          <w:lang w:val="en-AU"/>
        </w:rPr>
      </w:pPr>
      <w:r w:rsidRPr="00D21FCE">
        <w:rPr>
          <w:b/>
          <w:bCs/>
          <w:sz w:val="22"/>
          <w:szCs w:val="18"/>
          <w:lang w:val="en-AU"/>
        </w:rPr>
        <w:t xml:space="preserve">SCHEDULE </w:t>
      </w:r>
      <w:r w:rsidRPr="00D21FCE">
        <w:rPr>
          <w:rFonts w:eastAsia="Times New Roman"/>
          <w:sz w:val="22"/>
          <w:szCs w:val="18"/>
          <w:lang w:val="en-AU"/>
        </w:rPr>
        <w:t xml:space="preserve">— </w:t>
      </w:r>
      <w:r w:rsidRPr="00D21FCE">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30"/>
        <w:gridCol w:w="2075"/>
        <w:gridCol w:w="1504"/>
      </w:tblGrid>
      <w:tr w:rsidR="00107445" w:rsidRPr="00D21FCE" w:rsidTr="001A681E">
        <w:trPr>
          <w:trHeight w:val="665"/>
          <w:jc w:val="center"/>
        </w:trPr>
        <w:tc>
          <w:tcPr>
            <w:tcW w:w="5530" w:type="dxa"/>
            <w:tcBorders>
              <w:top w:val="single" w:sz="4"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5"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4"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791BD9">
        <w:trPr>
          <w:trHeight w:val="20"/>
          <w:jc w:val="center"/>
        </w:trPr>
        <w:tc>
          <w:tcPr>
            <w:tcW w:w="553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5"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4"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jc w:val="both"/>
              <w:rPr>
                <w:lang w:val="en-AU"/>
              </w:rPr>
            </w:pPr>
            <w:r w:rsidRPr="00D21FCE">
              <w:rPr>
                <w:szCs w:val="18"/>
                <w:lang w:val="en-AU"/>
              </w:rPr>
              <w:t>Division 107.</w:t>
            </w:r>
            <w:r w:rsidRPr="00D21FCE">
              <w:rPr>
                <w:rFonts w:eastAsia="Times New Roman"/>
                <w:szCs w:val="18"/>
                <w:lang w:val="en-AU"/>
              </w:rPr>
              <w:t>— PARLIAMENTARY REPORTING STAFF</w:t>
            </w:r>
          </w:p>
        </w:tc>
        <w:tc>
          <w:tcPr>
            <w:tcW w:w="2075"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4"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ind w:left="288" w:hanging="288"/>
              <w:jc w:val="both"/>
              <w:rPr>
                <w:lang w:val="en-AU"/>
              </w:rPr>
            </w:pPr>
            <w:r w:rsidRPr="00D21FCE">
              <w:rPr>
                <w:b/>
                <w:bCs/>
                <w:szCs w:val="18"/>
                <w:lang w:val="en-AU"/>
              </w:rPr>
              <w:t>1.</w:t>
            </w:r>
            <w:r w:rsidRPr="00D21FCE">
              <w:rPr>
                <w:rFonts w:eastAsia="Times New Roman"/>
                <w:szCs w:val="18"/>
                <w:lang w:val="en-AU"/>
              </w:rPr>
              <w:t xml:space="preserve">— </w:t>
            </w:r>
            <w:r w:rsidRPr="00D21FCE">
              <w:rPr>
                <w:rFonts w:eastAsia="Times New Roman"/>
                <w:b/>
                <w:bCs/>
                <w:szCs w:val="18"/>
                <w:lang w:val="en-AU"/>
              </w:rPr>
              <w:t>Running Costs (net appropriation — see section 5) (see also section 6)</w:t>
            </w:r>
            <w:r w:rsidR="009F35B5" w:rsidRPr="00D21FCE">
              <w:rPr>
                <w:rFonts w:eastAsia="Times New Roman"/>
                <w:b/>
                <w:bCs/>
                <w:szCs w:val="18"/>
                <w:lang w:val="en-AU"/>
              </w:rPr>
              <w:tab/>
            </w:r>
          </w:p>
        </w:tc>
        <w:tc>
          <w:tcPr>
            <w:tcW w:w="2075"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14 074 000</w:t>
            </w:r>
          </w:p>
        </w:tc>
        <w:tc>
          <w:tcPr>
            <w:tcW w:w="1504"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33 364 000</w:t>
            </w:r>
          </w:p>
        </w:tc>
      </w:tr>
      <w:tr w:rsidR="00107445" w:rsidRPr="00D21FCE" w:rsidTr="001A681E">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240"/>
              <w:jc w:val="both"/>
              <w:rPr>
                <w:lang w:val="en-AU"/>
              </w:rPr>
            </w:pPr>
            <w:r w:rsidRPr="00D21FCE">
              <w:rPr>
                <w:b/>
                <w:bCs/>
                <w:szCs w:val="18"/>
                <w:lang w:val="en-AU"/>
              </w:rPr>
              <w:t>2.</w:t>
            </w:r>
            <w:r w:rsidRPr="00D21FCE">
              <w:rPr>
                <w:rFonts w:eastAsia="Times New Roman"/>
                <w:b/>
                <w:bCs/>
                <w:szCs w:val="18"/>
                <w:lang w:val="en-AU"/>
              </w:rPr>
              <w:t>— Capital expenditure</w:t>
            </w:r>
            <w:r w:rsidR="009F35B5" w:rsidRPr="00D21FCE">
              <w:rPr>
                <w:rFonts w:eastAsia="Times New Roman"/>
                <w:b/>
                <w:bCs/>
                <w:szCs w:val="18"/>
                <w:lang w:val="en-AU"/>
              </w:rPr>
              <w:tab/>
            </w:r>
          </w:p>
        </w:tc>
        <w:tc>
          <w:tcPr>
            <w:tcW w:w="2075"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3 250 000</w:t>
            </w:r>
          </w:p>
        </w:tc>
        <w:tc>
          <w:tcPr>
            <w:tcW w:w="1504"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7 572 000</w:t>
            </w:r>
          </w:p>
        </w:tc>
      </w:tr>
      <w:tr w:rsidR="00107445" w:rsidRPr="00D21FCE" w:rsidTr="001A681E">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360"/>
              <w:ind w:left="1008" w:hanging="432"/>
              <w:jc w:val="both"/>
              <w:rPr>
                <w:lang w:val="en-AU"/>
              </w:rPr>
            </w:pPr>
            <w:r w:rsidRPr="00D21FCE">
              <w:rPr>
                <w:b/>
                <w:bCs/>
                <w:szCs w:val="18"/>
                <w:lang w:val="en-AU"/>
              </w:rPr>
              <w:t>Total: Parliamentary Reporting Staff</w:t>
            </w:r>
            <w:r w:rsidR="009F35B5" w:rsidRPr="00D21FCE">
              <w:rPr>
                <w:b/>
                <w:bCs/>
                <w:szCs w:val="18"/>
                <w:lang w:val="en-AU"/>
              </w:rPr>
              <w:tab/>
            </w:r>
          </w:p>
        </w:tc>
        <w:tc>
          <w:tcPr>
            <w:tcW w:w="2075"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17 324 000</w:t>
            </w:r>
          </w:p>
        </w:tc>
        <w:tc>
          <w:tcPr>
            <w:tcW w:w="1504"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40 936 000</w:t>
            </w:r>
          </w:p>
        </w:tc>
      </w:tr>
      <w:tr w:rsidR="00107445" w:rsidRPr="00D21FCE" w:rsidTr="00791BD9">
        <w:trPr>
          <w:trHeight w:val="20"/>
          <w:jc w:val="center"/>
        </w:trPr>
        <w:tc>
          <w:tcPr>
            <w:tcW w:w="553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120"/>
              <w:jc w:val="both"/>
              <w:rPr>
                <w:lang w:val="en-AU"/>
              </w:rPr>
            </w:pPr>
            <w:r w:rsidRPr="00D21FCE">
              <w:rPr>
                <w:szCs w:val="18"/>
                <w:lang w:val="en-AU"/>
              </w:rPr>
              <w:t>Division 108.</w:t>
            </w:r>
            <w:r w:rsidRPr="00D21FCE">
              <w:rPr>
                <w:rFonts w:eastAsia="Times New Roman"/>
                <w:szCs w:val="18"/>
                <w:lang w:val="en-AU"/>
              </w:rPr>
              <w:t>— PARLIAMENTARY LIBRARY</w:t>
            </w:r>
          </w:p>
        </w:tc>
        <w:tc>
          <w:tcPr>
            <w:tcW w:w="2075"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4"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1A681E">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ind w:left="288" w:hanging="288"/>
              <w:jc w:val="both"/>
              <w:rPr>
                <w:lang w:val="en-AU"/>
              </w:rPr>
            </w:pPr>
            <w:r w:rsidRPr="00D21FCE">
              <w:rPr>
                <w:b/>
                <w:bCs/>
                <w:szCs w:val="18"/>
                <w:lang w:val="en-AU"/>
              </w:rPr>
              <w:t>1.</w:t>
            </w:r>
            <w:r w:rsidRPr="00D21FCE">
              <w:rPr>
                <w:rFonts w:eastAsia="Times New Roman"/>
                <w:szCs w:val="18"/>
                <w:lang w:val="en-AU"/>
              </w:rPr>
              <w:t xml:space="preserve">— </w:t>
            </w:r>
            <w:r w:rsidRPr="00D21FCE">
              <w:rPr>
                <w:rFonts w:eastAsia="Times New Roman"/>
                <w:b/>
                <w:bCs/>
                <w:szCs w:val="18"/>
                <w:lang w:val="en-AU"/>
              </w:rPr>
              <w:t>Running Costs (net appropriation — see section 5) (see also section 6)</w:t>
            </w:r>
            <w:r w:rsidR="009F35B5" w:rsidRPr="00D21FCE">
              <w:rPr>
                <w:rFonts w:eastAsia="Times New Roman"/>
                <w:b/>
                <w:bCs/>
                <w:szCs w:val="18"/>
                <w:lang w:val="en-AU"/>
              </w:rPr>
              <w:tab/>
            </w:r>
          </w:p>
        </w:tc>
        <w:tc>
          <w:tcPr>
            <w:tcW w:w="2075"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6 826 000</w:t>
            </w:r>
          </w:p>
        </w:tc>
        <w:tc>
          <w:tcPr>
            <w:tcW w:w="1504"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16 639 000</w:t>
            </w:r>
          </w:p>
        </w:tc>
      </w:tr>
      <w:tr w:rsidR="00107445" w:rsidRPr="00D21FCE" w:rsidTr="001A681E">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360"/>
              <w:ind w:left="1008" w:hanging="432"/>
              <w:jc w:val="both"/>
              <w:rPr>
                <w:lang w:val="en-AU"/>
              </w:rPr>
            </w:pPr>
            <w:r w:rsidRPr="00D21FCE">
              <w:rPr>
                <w:b/>
                <w:bCs/>
                <w:szCs w:val="18"/>
                <w:lang w:val="en-AU"/>
              </w:rPr>
              <w:t>Total: Parliamentary Library</w:t>
            </w:r>
            <w:r w:rsidR="009F35B5" w:rsidRPr="00D21FCE">
              <w:rPr>
                <w:b/>
                <w:bCs/>
                <w:szCs w:val="18"/>
                <w:lang w:val="en-AU"/>
              </w:rPr>
              <w:tab/>
            </w:r>
          </w:p>
        </w:tc>
        <w:tc>
          <w:tcPr>
            <w:tcW w:w="2075"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6 826 000</w:t>
            </w:r>
          </w:p>
        </w:tc>
        <w:tc>
          <w:tcPr>
            <w:tcW w:w="1504"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16 639 000</w:t>
            </w:r>
          </w:p>
        </w:tc>
      </w:tr>
      <w:tr w:rsidR="00107445" w:rsidRPr="00D21FCE" w:rsidTr="00791BD9">
        <w:trPr>
          <w:trHeight w:val="20"/>
          <w:jc w:val="center"/>
        </w:trPr>
        <w:tc>
          <w:tcPr>
            <w:tcW w:w="553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120"/>
              <w:jc w:val="both"/>
              <w:rPr>
                <w:lang w:val="en-AU"/>
              </w:rPr>
            </w:pPr>
            <w:r w:rsidRPr="00D21FCE">
              <w:rPr>
                <w:szCs w:val="18"/>
                <w:lang w:val="en-AU"/>
              </w:rPr>
              <w:t>Division 109.</w:t>
            </w:r>
            <w:r w:rsidRPr="00D21FCE">
              <w:rPr>
                <w:rFonts w:eastAsia="Times New Roman"/>
                <w:szCs w:val="18"/>
                <w:lang w:val="en-AU"/>
              </w:rPr>
              <w:t>— JOINT HOUSE DEPARTMENT</w:t>
            </w:r>
          </w:p>
        </w:tc>
        <w:tc>
          <w:tcPr>
            <w:tcW w:w="2075"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4"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ind w:left="288" w:hanging="288"/>
              <w:jc w:val="both"/>
              <w:rPr>
                <w:lang w:val="en-AU"/>
              </w:rPr>
            </w:pPr>
            <w:r w:rsidRPr="00D21FCE">
              <w:rPr>
                <w:b/>
                <w:bCs/>
                <w:szCs w:val="18"/>
                <w:lang w:val="en-AU"/>
              </w:rPr>
              <w:t>1.</w:t>
            </w:r>
            <w:r w:rsidRPr="00D21FCE">
              <w:rPr>
                <w:rFonts w:eastAsia="Times New Roman"/>
                <w:szCs w:val="18"/>
                <w:lang w:val="en-AU"/>
              </w:rPr>
              <w:t xml:space="preserve">— </w:t>
            </w:r>
            <w:r w:rsidRPr="00D21FCE">
              <w:rPr>
                <w:rFonts w:eastAsia="Times New Roman"/>
                <w:b/>
                <w:bCs/>
                <w:szCs w:val="18"/>
                <w:lang w:val="en-AU"/>
              </w:rPr>
              <w:t>Running Costs (net appropriation — see section 5) (see also section 6)</w:t>
            </w:r>
            <w:r w:rsidR="009F35B5" w:rsidRPr="00D21FCE">
              <w:rPr>
                <w:rFonts w:eastAsia="Times New Roman"/>
                <w:b/>
                <w:bCs/>
                <w:szCs w:val="18"/>
                <w:lang w:val="en-AU"/>
              </w:rPr>
              <w:tab/>
            </w:r>
          </w:p>
        </w:tc>
        <w:tc>
          <w:tcPr>
            <w:tcW w:w="2075"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16 764 000</w:t>
            </w:r>
          </w:p>
        </w:tc>
        <w:tc>
          <w:tcPr>
            <w:tcW w:w="1504" w:type="dxa"/>
            <w:tcBorders>
              <w:top w:val="nil"/>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39 734 000</w:t>
            </w:r>
          </w:p>
        </w:tc>
      </w:tr>
      <w:tr w:rsidR="00107445" w:rsidRPr="00D21FCE" w:rsidTr="001A681E">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240"/>
              <w:jc w:val="both"/>
              <w:rPr>
                <w:lang w:val="en-AU"/>
              </w:rPr>
            </w:pPr>
            <w:r w:rsidRPr="00D21FCE">
              <w:rPr>
                <w:b/>
                <w:bCs/>
                <w:szCs w:val="18"/>
                <w:lang w:val="en-AU"/>
              </w:rPr>
              <w:t>2.</w:t>
            </w:r>
            <w:r w:rsidRPr="00D21FCE">
              <w:rPr>
                <w:rFonts w:eastAsia="Times New Roman"/>
                <w:b/>
                <w:bCs/>
                <w:szCs w:val="18"/>
                <w:lang w:val="en-AU"/>
              </w:rPr>
              <w:t>— Capital expenditure</w:t>
            </w:r>
            <w:r w:rsidR="009F35B5" w:rsidRPr="00D21FCE">
              <w:rPr>
                <w:rFonts w:eastAsia="Times New Roman"/>
                <w:b/>
                <w:bCs/>
                <w:szCs w:val="18"/>
                <w:lang w:val="en-AU"/>
              </w:rPr>
              <w:tab/>
            </w:r>
          </w:p>
        </w:tc>
        <w:tc>
          <w:tcPr>
            <w:tcW w:w="2075"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1 094 000</w:t>
            </w:r>
          </w:p>
        </w:tc>
        <w:tc>
          <w:tcPr>
            <w:tcW w:w="1504" w:type="dxa"/>
            <w:tcBorders>
              <w:top w:val="nil"/>
              <w:left w:val="nil"/>
              <w:bottom w:val="single" w:sz="4"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2 548 000</w:t>
            </w:r>
          </w:p>
        </w:tc>
      </w:tr>
      <w:tr w:rsidR="00107445" w:rsidRPr="00D21FCE" w:rsidTr="001A681E">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310"/>
                <w:tab w:val="left" w:pos="5450"/>
              </w:tabs>
              <w:spacing w:before="360" w:after="120"/>
              <w:ind w:left="1008" w:hanging="432"/>
              <w:jc w:val="both"/>
              <w:rPr>
                <w:lang w:val="en-AU"/>
              </w:rPr>
            </w:pPr>
            <w:r w:rsidRPr="00D21FCE">
              <w:rPr>
                <w:b/>
                <w:bCs/>
                <w:szCs w:val="18"/>
                <w:lang w:val="en-AU"/>
              </w:rPr>
              <w:t>Total: Joint House Department</w:t>
            </w:r>
            <w:r w:rsidR="009F35B5" w:rsidRPr="00D21FCE">
              <w:rPr>
                <w:b/>
                <w:bCs/>
                <w:szCs w:val="18"/>
                <w:lang w:val="en-AU"/>
              </w:rPr>
              <w:tab/>
            </w:r>
          </w:p>
        </w:tc>
        <w:tc>
          <w:tcPr>
            <w:tcW w:w="2075"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spacing w:after="120"/>
              <w:ind w:right="72"/>
              <w:jc w:val="right"/>
              <w:rPr>
                <w:lang w:val="en-AU"/>
              </w:rPr>
            </w:pPr>
            <w:r w:rsidRPr="00D21FCE">
              <w:rPr>
                <w:b/>
                <w:bCs/>
                <w:szCs w:val="18"/>
                <w:lang w:val="en-AU"/>
              </w:rPr>
              <w:t>17 858 000</w:t>
            </w:r>
          </w:p>
        </w:tc>
        <w:tc>
          <w:tcPr>
            <w:tcW w:w="1504"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spacing w:after="120"/>
              <w:ind w:right="72"/>
              <w:jc w:val="right"/>
              <w:rPr>
                <w:lang w:val="en-AU"/>
              </w:rPr>
            </w:pPr>
            <w:r w:rsidRPr="00D21FCE">
              <w:rPr>
                <w:b/>
                <w:bCs/>
                <w:szCs w:val="18"/>
                <w:lang w:val="en-AU"/>
              </w:rPr>
              <w:t>42 282 000</w:t>
            </w:r>
          </w:p>
        </w:tc>
      </w:tr>
    </w:tbl>
    <w:p w:rsidR="00107445" w:rsidRPr="00D21FCE" w:rsidRDefault="008F24DE" w:rsidP="007B5033">
      <w:pPr>
        <w:shd w:val="clear" w:color="auto" w:fill="FFFFFF"/>
        <w:spacing w:before="240" w:after="60"/>
        <w:ind w:left="288" w:hanging="288"/>
        <w:jc w:val="both"/>
        <w:rPr>
          <w:sz w:val="22"/>
          <w:lang w:val="en-AU"/>
        </w:rPr>
      </w:pPr>
      <w:r w:rsidRPr="00D21FCE">
        <w:rPr>
          <w:sz w:val="22"/>
          <w:szCs w:val="18"/>
          <w:lang w:val="en-AU"/>
        </w:rPr>
        <w:t xml:space="preserve">* Includes amounts issued or estimated to be issued under Division 110 </w:t>
      </w:r>
      <w:r w:rsidRPr="00D21FCE">
        <w:rPr>
          <w:rFonts w:eastAsia="Times New Roman"/>
          <w:sz w:val="22"/>
          <w:szCs w:val="18"/>
          <w:lang w:val="en-AU"/>
        </w:rPr>
        <w:t xml:space="preserve">— Joint Advance to the President and the Speaker and Division 111— Provision for Running Costs Borrowings and amounts appropriated or estimated to be appropriated under subsection 35(3) of the </w:t>
      </w:r>
      <w:r w:rsidRPr="00D21FCE">
        <w:rPr>
          <w:rFonts w:eastAsia="Times New Roman"/>
          <w:i/>
          <w:iCs/>
          <w:sz w:val="22"/>
          <w:szCs w:val="18"/>
          <w:lang w:val="en-AU"/>
        </w:rPr>
        <w:t>Audit Act 1901.</w:t>
      </w:r>
    </w:p>
    <w:p w:rsidR="00107445" w:rsidRPr="00D21FCE" w:rsidRDefault="005107D5" w:rsidP="007B5033">
      <w:pPr>
        <w:shd w:val="clear" w:color="auto" w:fill="FFFFFF"/>
        <w:tabs>
          <w:tab w:val="left" w:pos="8707"/>
        </w:tabs>
        <w:spacing w:before="120" w:after="60"/>
        <w:ind w:left="3696"/>
        <w:jc w:val="both"/>
        <w:rPr>
          <w:sz w:val="22"/>
          <w:lang w:val="en-AU"/>
        </w:rPr>
      </w:pPr>
      <w:r w:rsidRPr="00D21FCE">
        <w:rPr>
          <w:sz w:val="22"/>
          <w:lang w:val="en-AU"/>
        </w:rPr>
        <w:br w:type="page"/>
      </w:r>
    </w:p>
    <w:p w:rsidR="00107445" w:rsidRPr="00D21FCE" w:rsidRDefault="008F24DE" w:rsidP="007B5033">
      <w:pPr>
        <w:shd w:val="clear" w:color="auto" w:fill="FFFFFF"/>
        <w:spacing w:after="240"/>
        <w:jc w:val="center"/>
        <w:rPr>
          <w:sz w:val="22"/>
          <w:lang w:val="en-AU"/>
        </w:rPr>
      </w:pPr>
      <w:r w:rsidRPr="00D21FCE">
        <w:rPr>
          <w:b/>
          <w:bCs/>
          <w:sz w:val="22"/>
          <w:szCs w:val="18"/>
          <w:lang w:val="en-AU"/>
        </w:rPr>
        <w:t>SCHEDULE</w:t>
      </w:r>
      <w:r w:rsidRPr="00D21FCE">
        <w:rPr>
          <w:sz w:val="22"/>
          <w:szCs w:val="18"/>
          <w:lang w:val="en-AU"/>
        </w:rPr>
        <w:t xml:space="preserve"> </w:t>
      </w:r>
      <w:r w:rsidRPr="00D21FCE">
        <w:rPr>
          <w:rFonts w:eastAsia="Times New Roman"/>
          <w:sz w:val="22"/>
          <w:szCs w:val="18"/>
          <w:lang w:val="en-AU"/>
        </w:rPr>
        <w:t xml:space="preserve">— </w:t>
      </w:r>
      <w:r w:rsidRPr="00D21FCE">
        <w:rPr>
          <w:rFonts w:eastAsia="Times New Roman"/>
          <w:i/>
          <w:iCs/>
          <w:sz w:val="22"/>
          <w:szCs w:val="18"/>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5530"/>
        <w:gridCol w:w="2070"/>
        <w:gridCol w:w="1509"/>
      </w:tblGrid>
      <w:tr w:rsidR="00107445" w:rsidRPr="00D21FCE" w:rsidTr="00FE3AC3">
        <w:trPr>
          <w:trHeight w:val="675"/>
          <w:jc w:val="center"/>
        </w:trPr>
        <w:tc>
          <w:tcPr>
            <w:tcW w:w="5530" w:type="dxa"/>
            <w:tcBorders>
              <w:top w:val="single" w:sz="4" w:space="0" w:color="auto"/>
              <w:left w:val="nil"/>
              <w:bottom w:val="single" w:sz="6" w:space="0" w:color="auto"/>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Supply Appropriation 1996</w:t>
            </w:r>
            <w:r w:rsidR="00D21FCE">
              <w:rPr>
                <w:szCs w:val="18"/>
                <w:lang w:val="en-AU"/>
              </w:rPr>
              <w:noBreakHyphen/>
            </w:r>
            <w:r w:rsidRPr="00D21FCE">
              <w:rPr>
                <w:szCs w:val="18"/>
                <w:lang w:val="en-AU"/>
              </w:rPr>
              <w:t>97</w:t>
            </w:r>
          </w:p>
        </w:tc>
        <w:tc>
          <w:tcPr>
            <w:tcW w:w="1509" w:type="dxa"/>
            <w:tcBorders>
              <w:top w:val="single" w:sz="4" w:space="0" w:color="auto"/>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Appropriation 1995</w:t>
            </w:r>
            <w:r w:rsidR="00D21FCE">
              <w:rPr>
                <w:szCs w:val="18"/>
                <w:lang w:val="en-AU"/>
              </w:rPr>
              <w:noBreakHyphen/>
            </w:r>
            <w:r w:rsidRPr="00D21FCE">
              <w:rPr>
                <w:szCs w:val="18"/>
                <w:lang w:val="en-AU"/>
              </w:rPr>
              <w:t>96 *</w:t>
            </w:r>
          </w:p>
        </w:tc>
      </w:tr>
      <w:tr w:rsidR="00107445" w:rsidRPr="00D21FCE" w:rsidTr="00D21FCE">
        <w:trPr>
          <w:trHeight w:val="371"/>
          <w:jc w:val="center"/>
        </w:trPr>
        <w:tc>
          <w:tcPr>
            <w:tcW w:w="553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tabs>
                <w:tab w:val="left" w:leader="dot" w:pos="5184"/>
              </w:tabs>
              <w:jc w:val="both"/>
              <w:rPr>
                <w:lang w:val="en-AU"/>
              </w:rPr>
            </w:pPr>
          </w:p>
        </w:tc>
        <w:tc>
          <w:tcPr>
            <w:tcW w:w="207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c>
          <w:tcPr>
            <w:tcW w:w="1509"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szCs w:val="18"/>
                <w:lang w:val="en-AU"/>
              </w:rPr>
              <w:t>$</w:t>
            </w: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D21FCE" w:rsidRPr="00D21FCE" w:rsidRDefault="00D21FCE" w:rsidP="00D21FCE">
            <w:pPr>
              <w:shd w:val="clear" w:color="auto" w:fill="FFFFFF"/>
              <w:tabs>
                <w:tab w:val="left" w:leader="dot" w:pos="5184"/>
              </w:tabs>
              <w:jc w:val="both"/>
              <w:rPr>
                <w:b/>
                <w:bCs/>
                <w:szCs w:val="18"/>
                <w:lang w:val="en-AU"/>
              </w:rPr>
            </w:pPr>
            <w:r w:rsidRPr="00D21FCE">
              <w:rPr>
                <w:b/>
                <w:bCs/>
                <w:szCs w:val="18"/>
                <w:lang w:val="en-AU"/>
              </w:rPr>
              <w:t>JO</w:t>
            </w:r>
            <w:r w:rsidR="008F24DE" w:rsidRPr="00D21FCE">
              <w:rPr>
                <w:b/>
                <w:bCs/>
                <w:szCs w:val="18"/>
                <w:lang w:val="en-AU"/>
              </w:rPr>
              <w:t>INT ADVANCE TO THE PRESIDENT</w:t>
            </w:r>
            <w:r w:rsidRPr="00D21FCE">
              <w:rPr>
                <w:b/>
                <w:bCs/>
                <w:szCs w:val="18"/>
                <w:lang w:val="en-AU"/>
              </w:rPr>
              <w:t xml:space="preserve"> </w:t>
            </w:r>
          </w:p>
          <w:p w:rsidR="00107445" w:rsidRPr="00D21FCE" w:rsidRDefault="00D21FCE" w:rsidP="00D21FCE">
            <w:pPr>
              <w:shd w:val="clear" w:color="auto" w:fill="FFFFFF"/>
              <w:tabs>
                <w:tab w:val="left" w:leader="dot" w:pos="5184"/>
              </w:tabs>
              <w:jc w:val="both"/>
              <w:rPr>
                <w:b/>
                <w:bCs/>
                <w:lang w:val="en-AU"/>
              </w:rPr>
            </w:pPr>
            <w:r w:rsidRPr="00D21FCE">
              <w:rPr>
                <w:b/>
                <w:bCs/>
                <w:szCs w:val="18"/>
                <w:lang w:val="en-AU"/>
              </w:rPr>
              <w:t>A</w:t>
            </w:r>
            <w:r w:rsidR="008F24DE" w:rsidRPr="00D21FCE">
              <w:rPr>
                <w:b/>
                <w:bCs/>
                <w:szCs w:val="18"/>
                <w:lang w:val="en-AU"/>
              </w:rPr>
              <w:t>ND THE SPEAKER</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firstLine="5"/>
              <w:jc w:val="both"/>
              <w:rPr>
                <w:lang w:val="en-AU"/>
              </w:rPr>
            </w:pPr>
            <w:r w:rsidRPr="00D21FCE">
              <w:rPr>
                <w:szCs w:val="18"/>
                <w:lang w:val="en-AU"/>
              </w:rPr>
              <w:t>Division 110</w:t>
            </w:r>
            <w:r w:rsidR="002D066E" w:rsidRPr="00D21FCE">
              <w:rPr>
                <w:szCs w:val="18"/>
                <w:lang w:val="en-AU"/>
              </w:rPr>
              <w:t>.</w:t>
            </w:r>
            <w:r w:rsidRPr="00D21FCE">
              <w:rPr>
                <w:szCs w:val="18"/>
                <w:lang w:val="en-AU"/>
              </w:rPr>
              <w:t xml:space="preserve"> </w:t>
            </w:r>
            <w:r w:rsidRPr="00D21FCE">
              <w:rPr>
                <w:rFonts w:eastAsia="Times New Roman"/>
                <w:szCs w:val="18"/>
                <w:lang w:val="en-AU"/>
              </w:rPr>
              <w:t>— JOINT ADVANCE TO THE PRESIDENT AND THE SPEAKER</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ind w:left="144"/>
              <w:rPr>
                <w:lang w:val="en-AU"/>
              </w:rPr>
            </w:pPr>
            <w:r w:rsidRPr="00D21FCE">
              <w:rPr>
                <w:szCs w:val="18"/>
                <w:lang w:val="en-AU"/>
              </w:rPr>
              <w:t>To enable the President of the Senate and the Speaker of the House of Representatives to make money available for expenditure:</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19" w:hanging="475"/>
              <w:jc w:val="both"/>
              <w:rPr>
                <w:lang w:val="en-AU"/>
              </w:rPr>
            </w:pPr>
            <w:r w:rsidRPr="00D21FCE">
              <w:rPr>
                <w:szCs w:val="18"/>
                <w:lang w:val="en-AU"/>
              </w:rPr>
              <w:t>(a) that both are satisfied is urgently required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ind w:left="1008" w:hanging="432"/>
              <w:rPr>
                <w:lang w:val="en-AU"/>
              </w:rPr>
            </w:pPr>
            <w:r w:rsidRPr="00D21FCE">
              <w:rPr>
                <w:szCs w:val="18"/>
                <w:lang w:val="en-AU"/>
              </w:rPr>
              <w:t>(i) was unforeseen until after the last day on which it was practicable to include appropriation for that expenditure in the Bill for this Act before the introduction of that Bill into the House of Representatives; or</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1008" w:hanging="432"/>
              <w:jc w:val="both"/>
              <w:rPr>
                <w:lang w:val="en-AU"/>
              </w:rPr>
            </w:pPr>
            <w:r w:rsidRPr="00D21FCE">
              <w:rPr>
                <w:szCs w:val="18"/>
                <w:lang w:val="en-AU"/>
              </w:rPr>
              <w:t>(ii) was erroneously omitted from, or understated in, the Bill for this Act;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ind w:left="619" w:hanging="475"/>
              <w:rPr>
                <w:lang w:val="en-AU"/>
              </w:rPr>
            </w:pPr>
            <w:r w:rsidRPr="00D21FCE">
              <w:rPr>
                <w:szCs w:val="18"/>
                <w:lang w:val="en-AU"/>
              </w:rPr>
              <w:t>(b) particulars of which will afterwards be submitted to the Parliament;</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D21FCE">
            <w:pPr>
              <w:shd w:val="clear" w:color="auto" w:fill="FFFFFF"/>
              <w:tabs>
                <w:tab w:val="left" w:leader="dot" w:pos="5184"/>
              </w:tabs>
              <w:spacing w:before="240"/>
              <w:ind w:left="144"/>
              <w:rPr>
                <w:lang w:val="en-AU"/>
              </w:rPr>
            </w:pPr>
            <w:r w:rsidRPr="00D21FCE">
              <w:rPr>
                <w:szCs w:val="18"/>
                <w:lang w:val="en-AU"/>
              </w:rPr>
              <w:t>being expenditure for the service of the year ending on 30 June 1997 in relation to the Parliamentary Reporting Staff, the Parliamentary Library or the Joint House Department</w:t>
            </w:r>
            <w:r w:rsidR="00FE3AC3" w:rsidRPr="00D21FCE">
              <w:rPr>
                <w:szCs w:val="18"/>
                <w:lang w:val="en-AU"/>
              </w:rPr>
              <w:tab/>
            </w:r>
          </w:p>
        </w:tc>
        <w:tc>
          <w:tcPr>
            <w:tcW w:w="207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1 000 000</w:t>
            </w:r>
          </w:p>
        </w:tc>
        <w:tc>
          <w:tcPr>
            <w:tcW w:w="1509"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1 000 000</w:t>
            </w:r>
          </w:p>
        </w:tc>
      </w:tr>
      <w:tr w:rsidR="00107445" w:rsidRPr="00D21FCE" w:rsidTr="00791BD9">
        <w:trPr>
          <w:trHeight w:val="20"/>
          <w:jc w:val="center"/>
        </w:trPr>
        <w:tc>
          <w:tcPr>
            <w:tcW w:w="5530" w:type="dxa"/>
            <w:tcBorders>
              <w:top w:val="single" w:sz="6" w:space="0" w:color="auto"/>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480"/>
              <w:jc w:val="both"/>
              <w:rPr>
                <w:lang w:val="en-AU"/>
              </w:rPr>
            </w:pPr>
            <w:r w:rsidRPr="00D21FCE">
              <w:rPr>
                <w:b/>
                <w:bCs/>
                <w:szCs w:val="18"/>
                <w:lang w:val="en-AU"/>
              </w:rPr>
              <w:t>PROVISION FOR RUNNING COSTS BORROWINGS</w:t>
            </w:r>
          </w:p>
        </w:tc>
        <w:tc>
          <w:tcPr>
            <w:tcW w:w="2070"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single" w:sz="6" w:space="0" w:color="auto"/>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rPr>
                <w:lang w:val="en-AU"/>
              </w:rPr>
            </w:pPr>
            <w:r w:rsidRPr="00D21FCE">
              <w:rPr>
                <w:szCs w:val="18"/>
                <w:lang w:val="en-AU"/>
              </w:rPr>
              <w:t>Division 111</w:t>
            </w:r>
            <w:r w:rsidR="002D066E" w:rsidRPr="00D21FCE">
              <w:rPr>
                <w:szCs w:val="18"/>
                <w:lang w:val="en-AU"/>
              </w:rPr>
              <w:t>.</w:t>
            </w:r>
            <w:r w:rsidRPr="00D21FCE">
              <w:rPr>
                <w:rFonts w:eastAsia="Times New Roman"/>
                <w:szCs w:val="18"/>
                <w:lang w:val="en-AU"/>
              </w:rPr>
              <w:t>— PROVISION FOR RUNNING COSTS BORROWINGS</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D21FCE">
            <w:pPr>
              <w:shd w:val="clear" w:color="auto" w:fill="FFFFFF"/>
              <w:tabs>
                <w:tab w:val="left" w:leader="dot" w:pos="5184"/>
              </w:tabs>
              <w:spacing w:before="240"/>
              <w:ind w:left="144"/>
              <w:rPr>
                <w:lang w:val="en-AU"/>
              </w:rPr>
            </w:pPr>
            <w:r w:rsidRPr="00D21FCE">
              <w:rPr>
                <w:szCs w:val="18"/>
                <w:lang w:val="en-AU"/>
              </w:rPr>
              <w:t>To enable the President of the Senate and the Speaker of the House of Representatives to make money available for expenditure:</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nil"/>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19" w:hanging="475"/>
              <w:jc w:val="both"/>
              <w:rPr>
                <w:lang w:val="en-AU"/>
              </w:rPr>
            </w:pPr>
            <w:r w:rsidRPr="00D21FCE">
              <w:rPr>
                <w:szCs w:val="18"/>
                <w:lang w:val="en-AU"/>
              </w:rPr>
              <w:t>(a) for the purposes of running costs for which an appropriation has been made under an item, subdivision or Division in this Schedule; and</w:t>
            </w:r>
          </w:p>
        </w:tc>
        <w:tc>
          <w:tcPr>
            <w:tcW w:w="2070"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c>
          <w:tcPr>
            <w:tcW w:w="1509" w:type="dxa"/>
            <w:tcBorders>
              <w:top w:val="nil"/>
              <w:left w:val="nil"/>
              <w:bottom w:val="nil"/>
              <w:right w:val="nil"/>
            </w:tcBorders>
            <w:shd w:val="clear" w:color="auto" w:fill="FFFFFF"/>
            <w:vAlign w:val="bottom"/>
          </w:tcPr>
          <w:p w:rsidR="00107445" w:rsidRPr="00D21FCE" w:rsidRDefault="00107445" w:rsidP="007B5033">
            <w:pPr>
              <w:shd w:val="clear" w:color="auto" w:fill="FFFFFF"/>
              <w:ind w:right="72"/>
              <w:jc w:val="right"/>
              <w:rPr>
                <w:lang w:val="en-AU"/>
              </w:rPr>
            </w:pPr>
          </w:p>
        </w:tc>
      </w:tr>
      <w:tr w:rsidR="00107445" w:rsidRPr="00D21FCE" w:rsidTr="00791BD9">
        <w:trPr>
          <w:trHeight w:val="20"/>
          <w:jc w:val="center"/>
        </w:trPr>
        <w:tc>
          <w:tcPr>
            <w:tcW w:w="553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tabs>
                <w:tab w:val="left" w:leader="dot" w:pos="5184"/>
              </w:tabs>
              <w:spacing w:before="240"/>
              <w:ind w:left="619" w:hanging="475"/>
              <w:jc w:val="both"/>
              <w:rPr>
                <w:lang w:val="en-AU"/>
              </w:rPr>
            </w:pPr>
            <w:r w:rsidRPr="00D21FCE">
              <w:rPr>
                <w:szCs w:val="18"/>
                <w:lang w:val="en-AU"/>
              </w:rPr>
              <w:t>(b) particulars of which will afterwards be submitted to the Parliament</w:t>
            </w:r>
            <w:r w:rsidR="00FE3AC3" w:rsidRPr="00D21FCE">
              <w:rPr>
                <w:szCs w:val="18"/>
                <w:lang w:val="en-AU"/>
              </w:rPr>
              <w:tab/>
            </w:r>
          </w:p>
        </w:tc>
        <w:tc>
          <w:tcPr>
            <w:tcW w:w="2070"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200 000</w:t>
            </w:r>
          </w:p>
        </w:tc>
        <w:tc>
          <w:tcPr>
            <w:tcW w:w="1509" w:type="dxa"/>
            <w:tcBorders>
              <w:top w:val="nil"/>
              <w:left w:val="nil"/>
              <w:bottom w:val="single" w:sz="6" w:space="0" w:color="auto"/>
              <w:right w:val="nil"/>
            </w:tcBorders>
            <w:shd w:val="clear" w:color="auto" w:fill="FFFFFF"/>
            <w:vAlign w:val="bottom"/>
          </w:tcPr>
          <w:p w:rsidR="00107445" w:rsidRPr="00D21FCE" w:rsidRDefault="008F24DE" w:rsidP="007B5033">
            <w:pPr>
              <w:shd w:val="clear" w:color="auto" w:fill="FFFFFF"/>
              <w:ind w:right="72"/>
              <w:jc w:val="right"/>
              <w:rPr>
                <w:lang w:val="en-AU"/>
              </w:rPr>
            </w:pPr>
            <w:r w:rsidRPr="00D21FCE">
              <w:rPr>
                <w:b/>
                <w:bCs/>
                <w:szCs w:val="18"/>
                <w:lang w:val="en-AU"/>
              </w:rPr>
              <w:t>200 000</w:t>
            </w:r>
          </w:p>
        </w:tc>
      </w:tr>
    </w:tbl>
    <w:p w:rsidR="00107445" w:rsidRPr="00D21FCE" w:rsidRDefault="008F24DE" w:rsidP="007B5033">
      <w:pPr>
        <w:shd w:val="clear" w:color="auto" w:fill="FFFFFF"/>
        <w:spacing w:before="240" w:after="60"/>
        <w:ind w:left="288" w:hanging="288"/>
        <w:jc w:val="both"/>
        <w:rPr>
          <w:sz w:val="22"/>
          <w:lang w:val="en-AU"/>
        </w:rPr>
      </w:pPr>
      <w:r w:rsidRPr="00D21FCE">
        <w:rPr>
          <w:sz w:val="22"/>
          <w:szCs w:val="18"/>
          <w:lang w:val="en-AU"/>
        </w:rPr>
        <w:t>* Issues and estimated issues of funds from the Joint Advance to the President and the Speaker of the House of Representatives and from the Provision for Running Costs Borrowings are included in the appropriations to which the relevant amounts have been or will be charged.</w:t>
      </w:r>
    </w:p>
    <w:p w:rsidR="00107445" w:rsidRPr="00D21FCE" w:rsidRDefault="005107D5" w:rsidP="007B5033">
      <w:pPr>
        <w:shd w:val="clear" w:color="auto" w:fill="FFFFFF"/>
        <w:spacing w:before="120" w:after="60"/>
        <w:jc w:val="both"/>
        <w:rPr>
          <w:sz w:val="22"/>
          <w:lang w:val="en-AU"/>
        </w:rPr>
      </w:pPr>
      <w:r w:rsidRPr="00D21FCE">
        <w:rPr>
          <w:sz w:val="22"/>
          <w:lang w:val="en-AU"/>
        </w:rPr>
        <w:br w:type="page"/>
      </w:r>
    </w:p>
    <w:p w:rsidR="00107445" w:rsidRPr="00D21FCE" w:rsidRDefault="008F24DE" w:rsidP="007B5033">
      <w:pPr>
        <w:shd w:val="clear" w:color="auto" w:fill="FFFFFF"/>
        <w:jc w:val="both"/>
        <w:rPr>
          <w:sz w:val="22"/>
          <w:lang w:val="en-AU"/>
        </w:rPr>
      </w:pPr>
      <w:r w:rsidRPr="00D21FCE">
        <w:rPr>
          <w:sz w:val="22"/>
          <w:szCs w:val="18"/>
          <w:lang w:val="en-AU"/>
        </w:rPr>
        <w:t>[</w:t>
      </w:r>
      <w:r w:rsidRPr="00D21FCE">
        <w:rPr>
          <w:i/>
          <w:iCs/>
          <w:sz w:val="22"/>
          <w:szCs w:val="18"/>
          <w:lang w:val="en-AU"/>
        </w:rPr>
        <w:t>Minister's second reading speech made in</w:t>
      </w:r>
      <w:r w:rsidRPr="00D21FCE">
        <w:rPr>
          <w:rFonts w:eastAsia="Times New Roman"/>
          <w:sz w:val="22"/>
          <w:szCs w:val="18"/>
          <w:lang w:val="en-AU"/>
        </w:rPr>
        <w:t>—</w:t>
      </w:r>
    </w:p>
    <w:p w:rsidR="00107445" w:rsidRPr="00D21FCE" w:rsidRDefault="008F24DE" w:rsidP="007B5033">
      <w:pPr>
        <w:shd w:val="clear" w:color="auto" w:fill="FFFFFF"/>
        <w:ind w:left="864"/>
        <w:jc w:val="both"/>
        <w:rPr>
          <w:sz w:val="22"/>
          <w:lang w:val="en-AU"/>
        </w:rPr>
      </w:pPr>
      <w:r w:rsidRPr="00D21FCE">
        <w:rPr>
          <w:i/>
          <w:iCs/>
          <w:sz w:val="22"/>
          <w:szCs w:val="18"/>
          <w:lang w:val="en-AU"/>
        </w:rPr>
        <w:t>House of Representatives on 8 May 1996</w:t>
      </w:r>
    </w:p>
    <w:p w:rsidR="00107445" w:rsidRPr="00D21FCE" w:rsidRDefault="008F24DE" w:rsidP="007B5033">
      <w:pPr>
        <w:shd w:val="clear" w:color="auto" w:fill="FFFFFF"/>
        <w:ind w:left="864"/>
        <w:jc w:val="both"/>
        <w:rPr>
          <w:sz w:val="22"/>
          <w:lang w:val="en-AU"/>
        </w:rPr>
      </w:pPr>
      <w:r w:rsidRPr="00D21FCE">
        <w:rPr>
          <w:i/>
          <w:iCs/>
          <w:sz w:val="22"/>
          <w:szCs w:val="18"/>
          <w:lang w:val="en-AU"/>
        </w:rPr>
        <w:t>Senate on 30 May 1996</w:t>
      </w:r>
      <w:r w:rsidRPr="00D21FCE">
        <w:rPr>
          <w:sz w:val="22"/>
          <w:szCs w:val="18"/>
          <w:lang w:val="en-AU"/>
        </w:rPr>
        <w:t>]</w:t>
      </w:r>
    </w:p>
    <w:p w:rsidR="00107445" w:rsidRPr="00D21FCE" w:rsidRDefault="008F24DE" w:rsidP="007B5033">
      <w:pPr>
        <w:shd w:val="clear" w:color="auto" w:fill="FFFFFF"/>
        <w:spacing w:before="11160" w:after="120"/>
        <w:jc w:val="both"/>
        <w:rPr>
          <w:lang w:val="en-AU"/>
        </w:rPr>
      </w:pPr>
      <w:r w:rsidRPr="00D21FCE">
        <w:rPr>
          <w:szCs w:val="18"/>
          <w:lang w:val="en-AU"/>
        </w:rPr>
        <w:t>78163 Cat. No. 96 4745 7 ISBN 0644 448962</w:t>
      </w:r>
    </w:p>
    <w:p w:rsidR="00107445" w:rsidRPr="00D21FCE" w:rsidRDefault="00F432CA" w:rsidP="007B5033">
      <w:pPr>
        <w:spacing w:after="60"/>
        <w:jc w:val="right"/>
        <w:rPr>
          <w:sz w:val="22"/>
          <w:szCs w:val="24"/>
          <w:lang w:val="en-AU"/>
        </w:rPr>
      </w:pPr>
      <w:r w:rsidRPr="00D21FCE">
        <w:rPr>
          <w:noProof/>
          <w:sz w:val="22"/>
          <w:szCs w:val="24"/>
          <w:lang w:val="en-AU" w:eastAsia="en-AU"/>
        </w:rPr>
        <w:drawing>
          <wp:inline distT="0" distB="0" distL="0" distR="0" wp14:anchorId="77AFD44E" wp14:editId="2F70B43D">
            <wp:extent cx="1257935"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621665"/>
                    </a:xfrm>
                    <a:prstGeom prst="rect">
                      <a:avLst/>
                    </a:prstGeom>
                    <a:noFill/>
                    <a:ln>
                      <a:noFill/>
                    </a:ln>
                  </pic:spPr>
                </pic:pic>
              </a:graphicData>
            </a:graphic>
          </wp:inline>
        </w:drawing>
      </w:r>
    </w:p>
    <w:p w:rsidR="008F24DE" w:rsidRPr="00D21FCE" w:rsidRDefault="008F24DE" w:rsidP="007B5033">
      <w:pPr>
        <w:pBdr>
          <w:top w:val="single" w:sz="4" w:space="1" w:color="auto"/>
        </w:pBdr>
        <w:shd w:val="clear" w:color="auto" w:fill="FFFFFF"/>
        <w:tabs>
          <w:tab w:val="left" w:pos="6994"/>
        </w:tabs>
        <w:jc w:val="right"/>
        <w:rPr>
          <w:lang w:val="en-AU"/>
        </w:rPr>
      </w:pPr>
      <w:r w:rsidRPr="00D21FCE">
        <w:rPr>
          <w:szCs w:val="18"/>
          <w:lang w:val="en-AU"/>
        </w:rPr>
        <w:t>Printed by Authority by the Commonwealth Government Printer</w:t>
      </w:r>
      <w:r w:rsidRPr="00D21FCE">
        <w:rPr>
          <w:szCs w:val="18"/>
          <w:lang w:val="en-AU"/>
        </w:rPr>
        <w:tab/>
        <w:t>(17/96</w:t>
      </w:r>
    </w:p>
    <w:sectPr w:rsidR="008F24DE" w:rsidRPr="00D21FCE" w:rsidSect="00C94F2F">
      <w:headerReference w:type="even" r:id="rId10"/>
      <w:headerReference w:type="default" r:id="rId11"/>
      <w:footerReference w:type="even" r:id="rId12"/>
      <w:footerReference w:type="default" r:id="rId13"/>
      <w:headerReference w:type="first" r:id="rId14"/>
      <w:footerReference w:type="first" r:id="rId15"/>
      <w:type w:val="nextColumn"/>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73" w:rsidRDefault="00440C73" w:rsidP="00C94F2F">
      <w:r>
        <w:separator/>
      </w:r>
    </w:p>
  </w:endnote>
  <w:endnote w:type="continuationSeparator" w:id="0">
    <w:p w:rsidR="00440C73" w:rsidRDefault="00440C73" w:rsidP="00C9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2C" w:rsidRDefault="00EC3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2C" w:rsidRDefault="00EC3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2C" w:rsidRDefault="00EC3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73" w:rsidRDefault="00440C73" w:rsidP="00C94F2F">
      <w:r>
        <w:separator/>
      </w:r>
    </w:p>
  </w:footnote>
  <w:footnote w:type="continuationSeparator" w:id="0">
    <w:p w:rsidR="00440C73" w:rsidRDefault="00440C73" w:rsidP="00C9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16411"/>
      <w:docPartObj>
        <w:docPartGallery w:val="Page Numbers (Top of Page)"/>
        <w:docPartUnique/>
      </w:docPartObj>
    </w:sdtPr>
    <w:sdtEndPr>
      <w:rPr>
        <w:noProof/>
        <w:sz w:val="22"/>
      </w:rPr>
    </w:sdtEndPr>
    <w:sdtContent>
      <w:p w:rsidR="00C94F2F" w:rsidRPr="00C94F2F" w:rsidRDefault="00C94F2F">
        <w:pPr>
          <w:pStyle w:val="Header"/>
          <w:rPr>
            <w:sz w:val="22"/>
          </w:rPr>
        </w:pPr>
        <w:r w:rsidRPr="00C94F2F">
          <w:rPr>
            <w:sz w:val="22"/>
          </w:rPr>
          <w:fldChar w:fldCharType="begin"/>
        </w:r>
        <w:r w:rsidRPr="00C94F2F">
          <w:rPr>
            <w:sz w:val="22"/>
          </w:rPr>
          <w:instrText xml:space="preserve"> PAGE   \* MERGEFORMAT </w:instrText>
        </w:r>
        <w:r w:rsidRPr="00C94F2F">
          <w:rPr>
            <w:sz w:val="22"/>
          </w:rPr>
          <w:fldChar w:fldCharType="separate"/>
        </w:r>
        <w:r w:rsidR="00EC3E2C">
          <w:rPr>
            <w:noProof/>
            <w:sz w:val="22"/>
          </w:rPr>
          <w:t>16</w:t>
        </w:r>
        <w:r w:rsidRPr="00C94F2F">
          <w:rPr>
            <w:noProof/>
            <w:sz w:val="22"/>
          </w:rPr>
          <w:fldChar w:fldCharType="end"/>
        </w:r>
        <w:r w:rsidRPr="00C94F2F">
          <w:rPr>
            <w:noProof/>
            <w:sz w:val="22"/>
          </w:rPr>
          <w:tab/>
        </w:r>
        <w:r w:rsidRPr="00C94F2F">
          <w:rPr>
            <w:i/>
            <w:iCs/>
            <w:sz w:val="22"/>
            <w:szCs w:val="23"/>
            <w:lang w:val="en-US"/>
          </w:rPr>
          <w:t xml:space="preserve">Supply (Parliamentary Departments) </w:t>
        </w:r>
        <w:r w:rsidRPr="00C94F2F">
          <w:rPr>
            <w:sz w:val="22"/>
            <w:szCs w:val="23"/>
            <w:lang w:val="en-US"/>
          </w:rPr>
          <w:t xml:space="preserve">1996-97   </w:t>
        </w:r>
        <w:r w:rsidRPr="00C94F2F">
          <w:rPr>
            <w:i/>
            <w:iCs/>
            <w:sz w:val="22"/>
            <w:szCs w:val="23"/>
            <w:lang w:val="en-US"/>
          </w:rPr>
          <w:t xml:space="preserve">No. </w:t>
        </w:r>
        <w:r w:rsidRPr="00C94F2F">
          <w:rPr>
            <w:sz w:val="22"/>
            <w:szCs w:val="23"/>
            <w:lang w:val="en-US"/>
          </w:rPr>
          <w:t>12, 1996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2F" w:rsidRPr="00C94F2F" w:rsidRDefault="00C94F2F" w:rsidP="00C94F2F">
    <w:pPr>
      <w:pStyle w:val="Header"/>
      <w:tabs>
        <w:tab w:val="clear" w:pos="4680"/>
        <w:tab w:val="center" w:pos="7020"/>
      </w:tabs>
      <w:jc w:val="right"/>
      <w:rPr>
        <w:sz w:val="22"/>
      </w:rPr>
    </w:pPr>
    <w:r w:rsidRPr="00C94F2F">
      <w:rPr>
        <w:i/>
        <w:iCs/>
        <w:sz w:val="22"/>
        <w:szCs w:val="23"/>
        <w:lang w:val="en-US"/>
      </w:rPr>
      <w:t xml:space="preserve">Supply (Parliamentary Departments) </w:t>
    </w:r>
    <w:r w:rsidRPr="00C94F2F">
      <w:rPr>
        <w:sz w:val="22"/>
        <w:szCs w:val="23"/>
        <w:lang w:val="en-US"/>
      </w:rPr>
      <w:t xml:space="preserve">1996-97 </w:t>
    </w:r>
    <w:r>
      <w:rPr>
        <w:sz w:val="22"/>
        <w:szCs w:val="23"/>
        <w:lang w:val="en-US"/>
      </w:rPr>
      <w:t xml:space="preserve">  </w:t>
    </w:r>
    <w:r w:rsidRPr="00C94F2F">
      <w:rPr>
        <w:i/>
        <w:iCs/>
        <w:sz w:val="22"/>
        <w:szCs w:val="23"/>
        <w:lang w:val="en-US"/>
      </w:rPr>
      <w:t xml:space="preserve">No. </w:t>
    </w:r>
    <w:r w:rsidRPr="00C94F2F">
      <w:rPr>
        <w:sz w:val="22"/>
        <w:szCs w:val="23"/>
        <w:lang w:val="en-US"/>
      </w:rPr>
      <w:t>12, 1996</w:t>
    </w:r>
    <w:r w:rsidRPr="00C94F2F">
      <w:rPr>
        <w:sz w:val="22"/>
      </w:rPr>
      <w:tab/>
    </w:r>
    <w:sdt>
      <w:sdtPr>
        <w:rPr>
          <w:sz w:val="22"/>
        </w:rPr>
        <w:id w:val="-954250947"/>
        <w:docPartObj>
          <w:docPartGallery w:val="Page Numbers (Top of Page)"/>
          <w:docPartUnique/>
        </w:docPartObj>
      </w:sdtPr>
      <w:sdtEndPr>
        <w:rPr>
          <w:noProof/>
        </w:rPr>
      </w:sdtEndPr>
      <w:sdtContent>
        <w:r w:rsidRPr="00C94F2F">
          <w:rPr>
            <w:sz w:val="22"/>
          </w:rPr>
          <w:fldChar w:fldCharType="begin"/>
        </w:r>
        <w:r w:rsidRPr="00C94F2F">
          <w:rPr>
            <w:sz w:val="22"/>
          </w:rPr>
          <w:instrText xml:space="preserve"> PAGE   \* MERGEFORMAT </w:instrText>
        </w:r>
        <w:r w:rsidRPr="00C94F2F">
          <w:rPr>
            <w:sz w:val="22"/>
          </w:rPr>
          <w:fldChar w:fldCharType="separate"/>
        </w:r>
        <w:r w:rsidR="00EC3E2C">
          <w:rPr>
            <w:noProof/>
            <w:sz w:val="22"/>
          </w:rPr>
          <w:t>15</w:t>
        </w:r>
        <w:r w:rsidRPr="00C94F2F">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2C" w:rsidRDefault="00EC3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321"/>
    <w:multiLevelType w:val="singleLevel"/>
    <w:tmpl w:val="950425A6"/>
    <w:lvl w:ilvl="0">
      <w:start w:val="1"/>
      <w:numFmt w:val="lowerLetter"/>
      <w:lvlText w:val="(%1)"/>
      <w:legacy w:legacy="1" w:legacySpace="0" w:legacyIndent="360"/>
      <w:lvlJc w:val="left"/>
      <w:rPr>
        <w:rFonts w:ascii="Times New Roman" w:hAnsi="Times New Roman" w:cs="Times New Roman" w:hint="default"/>
      </w:rPr>
    </w:lvl>
  </w:abstractNum>
  <w:abstractNum w:abstractNumId="1">
    <w:nsid w:val="147B656D"/>
    <w:multiLevelType w:val="singleLevel"/>
    <w:tmpl w:val="A536A816"/>
    <w:lvl w:ilvl="0">
      <w:start w:val="1"/>
      <w:numFmt w:val="lowerLetter"/>
      <w:lvlText w:val="(%1)"/>
      <w:legacy w:legacy="1" w:legacySpace="0" w:legacyIndent="331"/>
      <w:lvlJc w:val="left"/>
      <w:rPr>
        <w:rFonts w:ascii="Times New Roman" w:hAnsi="Times New Roman" w:cs="Times New Roman" w:hint="default"/>
      </w:rPr>
    </w:lvl>
  </w:abstractNum>
  <w:abstractNum w:abstractNumId="2">
    <w:nsid w:val="2E390201"/>
    <w:multiLevelType w:val="singleLevel"/>
    <w:tmpl w:val="A536A816"/>
    <w:lvl w:ilvl="0">
      <w:start w:val="1"/>
      <w:numFmt w:val="lowerLetter"/>
      <w:lvlText w:val="(%1)"/>
      <w:legacy w:legacy="1" w:legacySpace="0" w:legacyIndent="331"/>
      <w:lvlJc w:val="left"/>
      <w:rPr>
        <w:rFonts w:ascii="Times New Roman" w:hAnsi="Times New Roman" w:cs="Times New Roman" w:hint="default"/>
      </w:rPr>
    </w:lvl>
  </w:abstractNum>
  <w:abstractNum w:abstractNumId="3">
    <w:nsid w:val="301C5AE2"/>
    <w:multiLevelType w:val="singleLevel"/>
    <w:tmpl w:val="C5143A78"/>
    <w:lvl w:ilvl="0">
      <w:start w:val="1"/>
      <w:numFmt w:val="lowerLetter"/>
      <w:lvlText w:val="(%1)"/>
      <w:legacy w:legacy="1" w:legacySpace="0" w:legacyIndent="346"/>
      <w:lvlJc w:val="left"/>
      <w:rPr>
        <w:rFonts w:ascii="Times New Roman" w:hAnsi="Times New Roman" w:cs="Times New Roman" w:hint="default"/>
      </w:rPr>
    </w:lvl>
  </w:abstractNum>
  <w:abstractNum w:abstractNumId="4">
    <w:nsid w:val="30DC29E0"/>
    <w:multiLevelType w:val="singleLevel"/>
    <w:tmpl w:val="827C4A20"/>
    <w:lvl w:ilvl="0">
      <w:start w:val="2"/>
      <w:numFmt w:val="decimal"/>
      <w:lvlText w:val="(%1)"/>
      <w:legacy w:legacy="1" w:legacySpace="0" w:legacyIndent="351"/>
      <w:lvlJc w:val="left"/>
      <w:rPr>
        <w:rFonts w:ascii="Times New Roman" w:hAnsi="Times New Roman" w:cs="Times New Roman" w:hint="default"/>
      </w:rPr>
    </w:lvl>
  </w:abstractNum>
  <w:abstractNum w:abstractNumId="5">
    <w:nsid w:val="32BC0742"/>
    <w:multiLevelType w:val="singleLevel"/>
    <w:tmpl w:val="CB96E9A0"/>
    <w:lvl w:ilvl="0">
      <w:start w:val="1"/>
      <w:numFmt w:val="lowerLetter"/>
      <w:lvlText w:val="(%1)"/>
      <w:legacy w:legacy="1" w:legacySpace="0" w:legacyIndent="418"/>
      <w:lvlJc w:val="left"/>
      <w:rPr>
        <w:rFonts w:ascii="Times New Roman" w:hAnsi="Times New Roman" w:cs="Times New Roman" w:hint="default"/>
      </w:rPr>
    </w:lvl>
  </w:abstractNum>
  <w:abstractNum w:abstractNumId="6">
    <w:nsid w:val="39A52BC6"/>
    <w:multiLevelType w:val="singleLevel"/>
    <w:tmpl w:val="A536A816"/>
    <w:lvl w:ilvl="0">
      <w:start w:val="1"/>
      <w:numFmt w:val="lowerLetter"/>
      <w:lvlText w:val="(%1)"/>
      <w:legacy w:legacy="1" w:legacySpace="0" w:legacyIndent="331"/>
      <w:lvlJc w:val="left"/>
      <w:rPr>
        <w:rFonts w:ascii="Times New Roman" w:hAnsi="Times New Roman" w:cs="Times New Roman" w:hint="default"/>
      </w:rPr>
    </w:lvl>
  </w:abstractNum>
  <w:abstractNum w:abstractNumId="7">
    <w:nsid w:val="4C8E3080"/>
    <w:multiLevelType w:val="singleLevel"/>
    <w:tmpl w:val="C5143A78"/>
    <w:lvl w:ilvl="0">
      <w:start w:val="1"/>
      <w:numFmt w:val="lowerLetter"/>
      <w:lvlText w:val="(%1)"/>
      <w:legacy w:legacy="1" w:legacySpace="0" w:legacyIndent="346"/>
      <w:lvlJc w:val="left"/>
      <w:rPr>
        <w:rFonts w:ascii="Times New Roman" w:hAnsi="Times New Roman" w:cs="Times New Roman" w:hint="default"/>
      </w:rPr>
    </w:lvl>
  </w:abstractNum>
  <w:abstractNum w:abstractNumId="8">
    <w:nsid w:val="5B120D23"/>
    <w:multiLevelType w:val="singleLevel"/>
    <w:tmpl w:val="3EB64578"/>
    <w:lvl w:ilvl="0">
      <w:start w:val="1"/>
      <w:numFmt w:val="lowerLetter"/>
      <w:lvlText w:val="(%1)"/>
      <w:legacy w:legacy="1" w:legacySpace="0" w:legacyIndent="350"/>
      <w:lvlJc w:val="left"/>
      <w:rPr>
        <w:rFonts w:ascii="Times New Roman" w:hAnsi="Times New Roman" w:cs="Times New Roman" w:hint="default"/>
      </w:rPr>
    </w:lvl>
  </w:abstractNum>
  <w:abstractNum w:abstractNumId="9">
    <w:nsid w:val="5CE175E0"/>
    <w:multiLevelType w:val="singleLevel"/>
    <w:tmpl w:val="CB96E9A0"/>
    <w:lvl w:ilvl="0">
      <w:start w:val="1"/>
      <w:numFmt w:val="lowerLetter"/>
      <w:lvlText w:val="(%1)"/>
      <w:legacy w:legacy="1" w:legacySpace="0" w:legacyIndent="418"/>
      <w:lvlJc w:val="left"/>
      <w:rPr>
        <w:rFonts w:ascii="Times New Roman" w:hAnsi="Times New Roman" w:cs="Times New Roman" w:hint="default"/>
      </w:rPr>
    </w:lvl>
  </w:abstractNum>
  <w:abstractNum w:abstractNumId="10">
    <w:nsid w:val="614E27C0"/>
    <w:multiLevelType w:val="singleLevel"/>
    <w:tmpl w:val="4F863E1A"/>
    <w:lvl w:ilvl="0">
      <w:start w:val="2"/>
      <w:numFmt w:val="decimal"/>
      <w:lvlText w:val="(%1)"/>
      <w:legacy w:legacy="1" w:legacySpace="0" w:legacyIndent="384"/>
      <w:lvlJc w:val="left"/>
      <w:rPr>
        <w:rFonts w:ascii="Times New Roman" w:hAnsi="Times New Roman" w:cs="Times New Roman" w:hint="default"/>
      </w:rPr>
    </w:lvl>
  </w:abstractNum>
  <w:abstractNum w:abstractNumId="11">
    <w:nsid w:val="686A05FD"/>
    <w:multiLevelType w:val="singleLevel"/>
    <w:tmpl w:val="EE4ED38C"/>
    <w:lvl w:ilvl="0">
      <w:start w:val="1"/>
      <w:numFmt w:val="lowerLetter"/>
      <w:lvlText w:val="(%1)"/>
      <w:legacy w:legacy="1" w:legacySpace="0" w:legacyIndent="341"/>
      <w:lvlJc w:val="left"/>
      <w:rPr>
        <w:rFonts w:ascii="Times New Roman" w:hAnsi="Times New Roman" w:cs="Times New Roman" w:hint="default"/>
      </w:rPr>
    </w:lvl>
  </w:abstractNum>
  <w:num w:numId="1">
    <w:abstractNumId w:val="4"/>
  </w:num>
  <w:num w:numId="2">
    <w:abstractNumId w:val="1"/>
  </w:num>
  <w:num w:numId="3">
    <w:abstractNumId w:val="0"/>
  </w:num>
  <w:num w:numId="4">
    <w:abstractNumId w:val="9"/>
  </w:num>
  <w:num w:numId="5">
    <w:abstractNumId w:val="9"/>
    <w:lvlOverride w:ilvl="0">
      <w:lvl w:ilvl="0">
        <w:start w:val="1"/>
        <w:numFmt w:val="lowerLetter"/>
        <w:lvlText w:val="(%1)"/>
        <w:legacy w:legacy="1" w:legacySpace="0" w:legacyIndent="417"/>
        <w:lvlJc w:val="left"/>
        <w:rPr>
          <w:rFonts w:ascii="Times New Roman" w:hAnsi="Times New Roman" w:cs="Times New Roman" w:hint="default"/>
        </w:rPr>
      </w:lvl>
    </w:lvlOverride>
  </w:num>
  <w:num w:numId="6">
    <w:abstractNumId w:val="5"/>
  </w:num>
  <w:num w:numId="7">
    <w:abstractNumId w:val="5"/>
    <w:lvlOverride w:ilvl="0">
      <w:lvl w:ilvl="0">
        <w:start w:val="1"/>
        <w:numFmt w:val="lowerLetter"/>
        <w:lvlText w:val="(%1)"/>
        <w:legacy w:legacy="1" w:legacySpace="0" w:legacyIndent="417"/>
        <w:lvlJc w:val="left"/>
        <w:rPr>
          <w:rFonts w:ascii="Times New Roman" w:hAnsi="Times New Roman" w:cs="Times New Roman" w:hint="default"/>
        </w:rPr>
      </w:lvl>
    </w:lvlOverride>
  </w:num>
  <w:num w:numId="8">
    <w:abstractNumId w:val="10"/>
  </w:num>
  <w:num w:numId="9">
    <w:abstractNumId w:val="11"/>
  </w:num>
  <w:num w:numId="10">
    <w:abstractNumId w:val="3"/>
  </w:num>
  <w:num w:numId="11">
    <w:abstractNumId w:val="7"/>
  </w:num>
  <w:num w:numId="12">
    <w:abstractNumId w:val="2"/>
  </w:num>
  <w:num w:numId="13">
    <w:abstractNumId w:val="2"/>
    <w:lvlOverride w:ilvl="0">
      <w:lvl w:ilvl="0">
        <w:start w:val="1"/>
        <w:numFmt w:val="lowerLetter"/>
        <w:lvlText w:val="(%1)"/>
        <w:legacy w:legacy="1" w:legacySpace="0" w:legacyIndent="332"/>
        <w:lvlJc w:val="left"/>
        <w:rPr>
          <w:rFonts w:ascii="Times New Roman" w:hAnsi="Times New Roman" w:cs="Times New Roman" w:hint="default"/>
        </w:rPr>
      </w:lvl>
    </w:lvlOverride>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CA"/>
    <w:rsid w:val="00045821"/>
    <w:rsid w:val="000F4D47"/>
    <w:rsid w:val="00107445"/>
    <w:rsid w:val="001949DC"/>
    <w:rsid w:val="001A4538"/>
    <w:rsid w:val="001A681E"/>
    <w:rsid w:val="001B3C2F"/>
    <w:rsid w:val="001E22B4"/>
    <w:rsid w:val="002447DC"/>
    <w:rsid w:val="00295493"/>
    <w:rsid w:val="002D066E"/>
    <w:rsid w:val="00317B48"/>
    <w:rsid w:val="00320553"/>
    <w:rsid w:val="00440C73"/>
    <w:rsid w:val="0045620F"/>
    <w:rsid w:val="004A1A10"/>
    <w:rsid w:val="004E5B9D"/>
    <w:rsid w:val="00505A27"/>
    <w:rsid w:val="005107D5"/>
    <w:rsid w:val="00576A54"/>
    <w:rsid w:val="00577ED7"/>
    <w:rsid w:val="0058368D"/>
    <w:rsid w:val="006534D4"/>
    <w:rsid w:val="00770056"/>
    <w:rsid w:val="00791BD9"/>
    <w:rsid w:val="00792EFA"/>
    <w:rsid w:val="007B5033"/>
    <w:rsid w:val="00883366"/>
    <w:rsid w:val="00892CA3"/>
    <w:rsid w:val="008D4C75"/>
    <w:rsid w:val="008E0934"/>
    <w:rsid w:val="008F24DE"/>
    <w:rsid w:val="00916711"/>
    <w:rsid w:val="009211F8"/>
    <w:rsid w:val="00995BB8"/>
    <w:rsid w:val="009F35B5"/>
    <w:rsid w:val="009F5233"/>
    <w:rsid w:val="00B23E33"/>
    <w:rsid w:val="00B31156"/>
    <w:rsid w:val="00BA3C64"/>
    <w:rsid w:val="00C13A5E"/>
    <w:rsid w:val="00C2375F"/>
    <w:rsid w:val="00C94F2F"/>
    <w:rsid w:val="00D21FCE"/>
    <w:rsid w:val="00D315AA"/>
    <w:rsid w:val="00D64502"/>
    <w:rsid w:val="00DB4F87"/>
    <w:rsid w:val="00DF1032"/>
    <w:rsid w:val="00E3120A"/>
    <w:rsid w:val="00E32C05"/>
    <w:rsid w:val="00E5797C"/>
    <w:rsid w:val="00EB4E50"/>
    <w:rsid w:val="00EC3E2C"/>
    <w:rsid w:val="00F40660"/>
    <w:rsid w:val="00F432CA"/>
    <w:rsid w:val="00F47D49"/>
    <w:rsid w:val="00F60573"/>
    <w:rsid w:val="00F64DC4"/>
    <w:rsid w:val="00FA42FD"/>
    <w:rsid w:val="00FE3AC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5F"/>
    <w:pPr>
      <w:ind w:left="720"/>
      <w:contextualSpacing/>
    </w:pPr>
  </w:style>
  <w:style w:type="paragraph" w:styleId="Header">
    <w:name w:val="header"/>
    <w:basedOn w:val="Normal"/>
    <w:link w:val="HeaderChar"/>
    <w:uiPriority w:val="99"/>
    <w:unhideWhenUsed/>
    <w:rsid w:val="00C94F2F"/>
    <w:pPr>
      <w:tabs>
        <w:tab w:val="center" w:pos="4680"/>
        <w:tab w:val="right" w:pos="9360"/>
      </w:tabs>
    </w:pPr>
  </w:style>
  <w:style w:type="character" w:customStyle="1" w:styleId="HeaderChar">
    <w:name w:val="Header Char"/>
    <w:basedOn w:val="DefaultParagraphFont"/>
    <w:link w:val="Header"/>
    <w:uiPriority w:val="99"/>
    <w:rsid w:val="00C94F2F"/>
    <w:rPr>
      <w:rFonts w:ascii="Times New Roman" w:hAnsi="Times New Roman" w:cs="Times New Roman"/>
      <w:sz w:val="20"/>
      <w:szCs w:val="20"/>
    </w:rPr>
  </w:style>
  <w:style w:type="paragraph" w:styleId="Footer">
    <w:name w:val="footer"/>
    <w:basedOn w:val="Normal"/>
    <w:link w:val="FooterChar"/>
    <w:uiPriority w:val="99"/>
    <w:unhideWhenUsed/>
    <w:rsid w:val="00C94F2F"/>
    <w:pPr>
      <w:tabs>
        <w:tab w:val="center" w:pos="4680"/>
        <w:tab w:val="right" w:pos="9360"/>
      </w:tabs>
    </w:pPr>
  </w:style>
  <w:style w:type="character" w:customStyle="1" w:styleId="FooterChar">
    <w:name w:val="Footer Char"/>
    <w:basedOn w:val="DefaultParagraphFont"/>
    <w:link w:val="Footer"/>
    <w:uiPriority w:val="99"/>
    <w:rsid w:val="00C94F2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B5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5F"/>
    <w:pPr>
      <w:ind w:left="720"/>
      <w:contextualSpacing/>
    </w:pPr>
  </w:style>
  <w:style w:type="paragraph" w:styleId="Header">
    <w:name w:val="header"/>
    <w:basedOn w:val="Normal"/>
    <w:link w:val="HeaderChar"/>
    <w:uiPriority w:val="99"/>
    <w:unhideWhenUsed/>
    <w:rsid w:val="00C94F2F"/>
    <w:pPr>
      <w:tabs>
        <w:tab w:val="center" w:pos="4680"/>
        <w:tab w:val="right" w:pos="9360"/>
      </w:tabs>
    </w:pPr>
  </w:style>
  <w:style w:type="character" w:customStyle="1" w:styleId="HeaderChar">
    <w:name w:val="Header Char"/>
    <w:basedOn w:val="DefaultParagraphFont"/>
    <w:link w:val="Header"/>
    <w:uiPriority w:val="99"/>
    <w:rsid w:val="00C94F2F"/>
    <w:rPr>
      <w:rFonts w:ascii="Times New Roman" w:hAnsi="Times New Roman" w:cs="Times New Roman"/>
      <w:sz w:val="20"/>
      <w:szCs w:val="20"/>
    </w:rPr>
  </w:style>
  <w:style w:type="paragraph" w:styleId="Footer">
    <w:name w:val="footer"/>
    <w:basedOn w:val="Normal"/>
    <w:link w:val="FooterChar"/>
    <w:uiPriority w:val="99"/>
    <w:unhideWhenUsed/>
    <w:rsid w:val="00C94F2F"/>
    <w:pPr>
      <w:tabs>
        <w:tab w:val="center" w:pos="4680"/>
        <w:tab w:val="right" w:pos="9360"/>
      </w:tabs>
    </w:pPr>
  </w:style>
  <w:style w:type="character" w:customStyle="1" w:styleId="FooterChar">
    <w:name w:val="Footer Char"/>
    <w:basedOn w:val="DefaultParagraphFont"/>
    <w:link w:val="Footer"/>
    <w:uiPriority w:val="99"/>
    <w:rsid w:val="00C94F2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B5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3668</Words>
  <Characters>18312</Characters>
  <Application>Microsoft Office Word</Application>
  <DocSecurity>0</DocSecurity>
  <Lines>152</Lines>
  <Paragraphs>43</Paragraphs>
  <ScaleCrop>false</ScaleCrop>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2020-10-16T23:23:00Z</dcterms:created>
  <dcterms:modified xsi:type="dcterms:W3CDTF">2020-10-16T23:23:00Z</dcterms:modified>
</cp:coreProperties>
</file>