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B1A71" w14:textId="77777777" w:rsidR="000B4F48" w:rsidRPr="0094166C" w:rsidRDefault="009A78C6" w:rsidP="0094166C">
      <w:pPr>
        <w:pStyle w:val="Bodytext50"/>
        <w:spacing w:line="240" w:lineRule="auto"/>
        <w:jc w:val="center"/>
        <w:rPr>
          <w:b/>
          <w:sz w:val="36"/>
          <w:szCs w:val="24"/>
        </w:rPr>
      </w:pPr>
      <w:bookmarkStart w:id="0" w:name="bookmark0"/>
      <w:r>
        <w:rPr>
          <w:b/>
          <w:sz w:val="36"/>
          <w:szCs w:val="24"/>
        </w:rPr>
        <w:t>R</w:t>
      </w:r>
      <w:r w:rsidR="00986264" w:rsidRPr="0094166C">
        <w:rPr>
          <w:b/>
          <w:sz w:val="36"/>
          <w:szCs w:val="24"/>
        </w:rPr>
        <w:t>emuneration Tribunal Act 1973</w:t>
      </w:r>
      <w:bookmarkEnd w:id="0"/>
    </w:p>
    <w:p w14:paraId="7FC25795" w14:textId="77777777" w:rsidR="0094166C" w:rsidRDefault="0094166C" w:rsidP="0094166C">
      <w:pPr>
        <w:pStyle w:val="Bodytext50"/>
        <w:spacing w:line="240" w:lineRule="auto"/>
        <w:jc w:val="center"/>
        <w:rPr>
          <w:sz w:val="24"/>
          <w:szCs w:val="24"/>
        </w:rPr>
      </w:pPr>
    </w:p>
    <w:p w14:paraId="5DA6FD1E" w14:textId="77777777" w:rsidR="0094166C" w:rsidRDefault="0094166C" w:rsidP="0094166C">
      <w:pPr>
        <w:pStyle w:val="Bodytext50"/>
        <w:spacing w:line="240" w:lineRule="auto"/>
        <w:jc w:val="center"/>
        <w:rPr>
          <w:sz w:val="24"/>
          <w:szCs w:val="24"/>
        </w:rPr>
      </w:pPr>
    </w:p>
    <w:p w14:paraId="6A4949D4" w14:textId="77777777" w:rsidR="000B4F48" w:rsidRPr="00F15470" w:rsidRDefault="00986264" w:rsidP="0094166C">
      <w:pPr>
        <w:pStyle w:val="Bodytext50"/>
        <w:spacing w:line="240" w:lineRule="auto"/>
        <w:jc w:val="center"/>
        <w:rPr>
          <w:b/>
          <w:sz w:val="24"/>
          <w:szCs w:val="24"/>
        </w:rPr>
      </w:pPr>
      <w:r w:rsidRPr="00F15470">
        <w:rPr>
          <w:b/>
          <w:sz w:val="24"/>
          <w:szCs w:val="24"/>
        </w:rPr>
        <w:t>No. 215 of 1973</w:t>
      </w:r>
    </w:p>
    <w:p w14:paraId="18A2335E" w14:textId="77777777" w:rsidR="0094166C" w:rsidRDefault="0094166C" w:rsidP="0094166C">
      <w:pPr>
        <w:pStyle w:val="Bodytext50"/>
        <w:spacing w:line="240" w:lineRule="auto"/>
        <w:jc w:val="center"/>
        <w:rPr>
          <w:sz w:val="24"/>
          <w:szCs w:val="24"/>
        </w:rPr>
      </w:pPr>
    </w:p>
    <w:p w14:paraId="21995F76" w14:textId="77777777" w:rsidR="0094166C" w:rsidRDefault="0094166C" w:rsidP="00C820E1">
      <w:pPr>
        <w:pStyle w:val="Bodytext50"/>
        <w:pBdr>
          <w:bottom w:val="thickThinSmallGap" w:sz="24" w:space="1" w:color="auto"/>
        </w:pBdr>
        <w:spacing w:line="240" w:lineRule="auto"/>
        <w:jc w:val="center"/>
        <w:rPr>
          <w:sz w:val="24"/>
          <w:szCs w:val="24"/>
        </w:rPr>
      </w:pPr>
    </w:p>
    <w:p w14:paraId="13F00231" w14:textId="77777777" w:rsidR="00C820E1" w:rsidRDefault="00C820E1" w:rsidP="0094166C">
      <w:pPr>
        <w:pStyle w:val="Bodytext50"/>
        <w:spacing w:line="240" w:lineRule="auto"/>
        <w:jc w:val="center"/>
        <w:rPr>
          <w:sz w:val="24"/>
          <w:szCs w:val="24"/>
        </w:rPr>
      </w:pPr>
    </w:p>
    <w:p w14:paraId="7990E0D9" w14:textId="77777777" w:rsidR="0094166C" w:rsidRPr="0094166C" w:rsidRDefault="0094166C" w:rsidP="0094166C">
      <w:pPr>
        <w:pStyle w:val="Bodytext50"/>
        <w:spacing w:line="240" w:lineRule="auto"/>
        <w:jc w:val="center"/>
        <w:rPr>
          <w:sz w:val="24"/>
          <w:szCs w:val="24"/>
        </w:rPr>
      </w:pPr>
    </w:p>
    <w:p w14:paraId="460ED6DF" w14:textId="77777777" w:rsidR="000B4F48" w:rsidRDefault="00986264" w:rsidP="0094166C">
      <w:pPr>
        <w:pStyle w:val="Bodytext50"/>
        <w:spacing w:line="240" w:lineRule="auto"/>
        <w:jc w:val="center"/>
        <w:rPr>
          <w:b/>
          <w:sz w:val="32"/>
          <w:szCs w:val="24"/>
        </w:rPr>
      </w:pPr>
      <w:bookmarkStart w:id="1" w:name="bookmark1"/>
      <w:r w:rsidRPr="0094166C">
        <w:rPr>
          <w:b/>
          <w:sz w:val="32"/>
          <w:szCs w:val="24"/>
        </w:rPr>
        <w:t>AN ACT</w:t>
      </w:r>
      <w:bookmarkEnd w:id="1"/>
    </w:p>
    <w:p w14:paraId="42561489" w14:textId="77777777" w:rsidR="0094166C" w:rsidRPr="0094166C" w:rsidRDefault="0094166C" w:rsidP="0094166C">
      <w:pPr>
        <w:pStyle w:val="Bodytext50"/>
        <w:spacing w:line="240" w:lineRule="auto"/>
        <w:jc w:val="center"/>
        <w:rPr>
          <w:b/>
          <w:sz w:val="32"/>
          <w:szCs w:val="24"/>
        </w:rPr>
      </w:pPr>
    </w:p>
    <w:p w14:paraId="7B5E9858" w14:textId="77777777" w:rsidR="000B4F48" w:rsidRPr="0094166C" w:rsidRDefault="00986264" w:rsidP="0094166C">
      <w:pPr>
        <w:pStyle w:val="Bodytext50"/>
        <w:spacing w:after="120" w:line="240" w:lineRule="auto"/>
        <w:jc w:val="center"/>
        <w:rPr>
          <w:sz w:val="28"/>
          <w:szCs w:val="24"/>
        </w:rPr>
      </w:pPr>
      <w:bookmarkStart w:id="2" w:name="bookmark2"/>
      <w:r w:rsidRPr="0094166C">
        <w:rPr>
          <w:sz w:val="28"/>
          <w:szCs w:val="24"/>
        </w:rPr>
        <w:t>To establish a Tribunal in relation to the Remuneration</w:t>
      </w:r>
      <w:bookmarkStart w:id="3" w:name="bookmark3"/>
      <w:bookmarkEnd w:id="2"/>
      <w:r w:rsidR="0094166C" w:rsidRPr="0094166C">
        <w:rPr>
          <w:sz w:val="28"/>
          <w:szCs w:val="24"/>
        </w:rPr>
        <w:t xml:space="preserve"> </w:t>
      </w:r>
      <w:r w:rsidR="00EF1421">
        <w:rPr>
          <w:sz w:val="28"/>
          <w:szCs w:val="24"/>
        </w:rPr>
        <w:br/>
      </w:r>
      <w:r w:rsidRPr="0094166C">
        <w:rPr>
          <w:sz w:val="28"/>
          <w:szCs w:val="24"/>
        </w:rPr>
        <w:t>of certain public and other Offices.</w:t>
      </w:r>
      <w:bookmarkEnd w:id="3"/>
    </w:p>
    <w:p w14:paraId="77075A3B" w14:textId="654BCBBA" w:rsidR="000B4F48" w:rsidRPr="0094166C" w:rsidRDefault="00986264" w:rsidP="0094166C">
      <w:pPr>
        <w:pStyle w:val="Bodytext40"/>
        <w:spacing w:after="120" w:line="240" w:lineRule="auto"/>
        <w:rPr>
          <w:sz w:val="24"/>
          <w:szCs w:val="24"/>
        </w:rPr>
      </w:pPr>
      <w:r w:rsidRPr="00173D62">
        <w:rPr>
          <w:rStyle w:val="Bodytext41"/>
          <w:iCs/>
          <w:sz w:val="24"/>
          <w:szCs w:val="24"/>
        </w:rPr>
        <w:t>[</w:t>
      </w:r>
      <w:r w:rsidRPr="0094166C">
        <w:rPr>
          <w:rStyle w:val="Bodytext41"/>
          <w:i/>
          <w:iCs/>
          <w:sz w:val="24"/>
          <w:szCs w:val="24"/>
        </w:rPr>
        <w:t>Assented to 19 December 1973</w:t>
      </w:r>
      <w:r w:rsidRPr="0094166C">
        <w:rPr>
          <w:rStyle w:val="Bodytext4NotItalic"/>
          <w:sz w:val="24"/>
          <w:szCs w:val="24"/>
        </w:rPr>
        <w:t>]</w:t>
      </w:r>
    </w:p>
    <w:p w14:paraId="701D89C8" w14:textId="77777777" w:rsidR="000B4F48" w:rsidRPr="0094166C" w:rsidRDefault="00986264" w:rsidP="00F15470">
      <w:pPr>
        <w:pStyle w:val="BodyText21"/>
        <w:spacing w:line="240" w:lineRule="auto"/>
        <w:ind w:firstLine="270"/>
        <w:jc w:val="both"/>
        <w:rPr>
          <w:sz w:val="24"/>
          <w:szCs w:val="24"/>
        </w:rPr>
      </w:pPr>
      <w:r w:rsidRPr="0094166C">
        <w:rPr>
          <w:sz w:val="24"/>
          <w:szCs w:val="24"/>
        </w:rPr>
        <w:t>BE IT ENACTED by the Queen, the Senate and the House of Representatives of Australia, as follows:—</w:t>
      </w:r>
    </w:p>
    <w:p w14:paraId="383BC3B4" w14:textId="77777777" w:rsidR="000B4F48" w:rsidRPr="0094166C" w:rsidRDefault="00986264" w:rsidP="00F15470">
      <w:pPr>
        <w:pStyle w:val="Bodytext50"/>
        <w:spacing w:before="120" w:after="60" w:line="240" w:lineRule="auto"/>
        <w:jc w:val="both"/>
        <w:rPr>
          <w:b/>
          <w:sz w:val="20"/>
          <w:szCs w:val="24"/>
        </w:rPr>
      </w:pPr>
      <w:r w:rsidRPr="0094166C">
        <w:rPr>
          <w:rStyle w:val="Bodytext585pt"/>
          <w:b/>
          <w:sz w:val="20"/>
          <w:szCs w:val="24"/>
        </w:rPr>
        <w:t>Short title.</w:t>
      </w:r>
    </w:p>
    <w:p w14:paraId="67CFA894" w14:textId="77777777" w:rsidR="000B4F48" w:rsidRPr="0094166C" w:rsidRDefault="00986264" w:rsidP="00F15470">
      <w:pPr>
        <w:pStyle w:val="BodyText21"/>
        <w:numPr>
          <w:ilvl w:val="0"/>
          <w:numId w:val="14"/>
        </w:numPr>
        <w:tabs>
          <w:tab w:val="left" w:pos="630"/>
        </w:tabs>
        <w:spacing w:line="240" w:lineRule="auto"/>
        <w:jc w:val="both"/>
        <w:rPr>
          <w:sz w:val="24"/>
          <w:szCs w:val="24"/>
        </w:rPr>
      </w:pPr>
      <w:r w:rsidRPr="0094166C">
        <w:rPr>
          <w:sz w:val="24"/>
          <w:szCs w:val="24"/>
        </w:rPr>
        <w:t xml:space="preserve">This Act may be cited as the </w:t>
      </w:r>
      <w:r w:rsidRPr="0094166C">
        <w:rPr>
          <w:rStyle w:val="BodytextItalic"/>
          <w:sz w:val="24"/>
          <w:szCs w:val="24"/>
        </w:rPr>
        <w:t>Remuneration Tribunal Act</w:t>
      </w:r>
      <w:r w:rsidRPr="0094166C">
        <w:rPr>
          <w:sz w:val="24"/>
          <w:szCs w:val="24"/>
        </w:rPr>
        <w:t xml:space="preserve"> 1973.</w:t>
      </w:r>
    </w:p>
    <w:p w14:paraId="24832DF4" w14:textId="77777777" w:rsidR="0094166C" w:rsidRPr="0094166C" w:rsidRDefault="0094166C" w:rsidP="00F15470">
      <w:pPr>
        <w:pStyle w:val="Bodytext50"/>
        <w:spacing w:before="120" w:after="60" w:line="240" w:lineRule="auto"/>
        <w:jc w:val="both"/>
        <w:rPr>
          <w:b/>
          <w:sz w:val="20"/>
          <w:szCs w:val="24"/>
        </w:rPr>
      </w:pPr>
      <w:r w:rsidRPr="0094166C">
        <w:rPr>
          <w:rStyle w:val="Bodytext585pt"/>
          <w:b/>
          <w:sz w:val="20"/>
          <w:szCs w:val="24"/>
        </w:rPr>
        <w:t>Commencement.</w:t>
      </w:r>
    </w:p>
    <w:p w14:paraId="5786AA9A" w14:textId="77777777" w:rsidR="000B4F48" w:rsidRPr="0094166C" w:rsidRDefault="00986264" w:rsidP="00F15470">
      <w:pPr>
        <w:pStyle w:val="BodyText21"/>
        <w:numPr>
          <w:ilvl w:val="0"/>
          <w:numId w:val="14"/>
        </w:numPr>
        <w:tabs>
          <w:tab w:val="left" w:pos="630"/>
        </w:tabs>
        <w:spacing w:line="240" w:lineRule="auto"/>
        <w:jc w:val="both"/>
        <w:rPr>
          <w:b/>
          <w:sz w:val="24"/>
          <w:szCs w:val="24"/>
        </w:rPr>
      </w:pPr>
      <w:r w:rsidRPr="0094166C">
        <w:rPr>
          <w:sz w:val="24"/>
          <w:szCs w:val="24"/>
        </w:rPr>
        <w:t>This Act shall come into operation on the day on which it receives the Royal Assent.</w:t>
      </w:r>
    </w:p>
    <w:p w14:paraId="644BC24A" w14:textId="77777777" w:rsidR="0094166C" w:rsidRPr="0094166C" w:rsidRDefault="0094166C" w:rsidP="00F15470">
      <w:pPr>
        <w:pStyle w:val="Bodytext50"/>
        <w:spacing w:before="120" w:after="60" w:line="240" w:lineRule="auto"/>
        <w:jc w:val="both"/>
        <w:rPr>
          <w:b/>
          <w:sz w:val="20"/>
          <w:szCs w:val="24"/>
        </w:rPr>
      </w:pPr>
      <w:r w:rsidRPr="0094166C">
        <w:rPr>
          <w:rStyle w:val="Bodytext585pt"/>
          <w:b/>
          <w:sz w:val="20"/>
          <w:szCs w:val="24"/>
        </w:rPr>
        <w:t>Interpretation.</w:t>
      </w:r>
    </w:p>
    <w:p w14:paraId="496983BF" w14:textId="77777777" w:rsidR="000B4F48" w:rsidRPr="0094166C" w:rsidRDefault="00986264" w:rsidP="00F15470">
      <w:pPr>
        <w:pStyle w:val="BodyText21"/>
        <w:numPr>
          <w:ilvl w:val="0"/>
          <w:numId w:val="14"/>
        </w:numPr>
        <w:tabs>
          <w:tab w:val="left" w:pos="630"/>
        </w:tabs>
        <w:spacing w:line="240" w:lineRule="auto"/>
        <w:jc w:val="both"/>
        <w:rPr>
          <w:sz w:val="24"/>
          <w:szCs w:val="24"/>
        </w:rPr>
      </w:pPr>
      <w:r w:rsidRPr="0094166C">
        <w:rPr>
          <w:sz w:val="24"/>
          <w:szCs w:val="24"/>
        </w:rPr>
        <w:t>(1) In this Act, unless the contrary intention appears—</w:t>
      </w:r>
    </w:p>
    <w:p w14:paraId="6FF021AE" w14:textId="27D39C01" w:rsidR="000B4F48" w:rsidRPr="0094166C" w:rsidRDefault="0094166C" w:rsidP="00F15470">
      <w:pPr>
        <w:pStyle w:val="BodyText21"/>
        <w:spacing w:after="60" w:line="240" w:lineRule="auto"/>
        <w:ind w:left="810" w:hanging="450"/>
        <w:jc w:val="both"/>
        <w:rPr>
          <w:sz w:val="24"/>
          <w:szCs w:val="24"/>
        </w:rPr>
      </w:pPr>
      <w:r>
        <w:rPr>
          <w:sz w:val="24"/>
          <w:szCs w:val="24"/>
        </w:rPr>
        <w:t>“</w:t>
      </w:r>
      <w:r w:rsidR="00986264" w:rsidRPr="0094166C">
        <w:rPr>
          <w:sz w:val="24"/>
          <w:szCs w:val="24"/>
        </w:rPr>
        <w:t xml:space="preserve">Chairman” means Chairman of the Tribunal and includes a member appointed temporarily in the place of the Chairman under sub-section 33(4) of the </w:t>
      </w:r>
      <w:r w:rsidR="00986264" w:rsidRPr="0094166C">
        <w:rPr>
          <w:rStyle w:val="BodytextItalic"/>
          <w:sz w:val="24"/>
          <w:szCs w:val="24"/>
        </w:rPr>
        <w:t>Acts Interpretation Act</w:t>
      </w:r>
      <w:r w:rsidR="00986264" w:rsidRPr="0094166C">
        <w:rPr>
          <w:sz w:val="24"/>
          <w:szCs w:val="24"/>
        </w:rPr>
        <w:t xml:space="preserve"> 1901-1973;</w:t>
      </w:r>
    </w:p>
    <w:p w14:paraId="2AD0BBDA" w14:textId="418FD495" w:rsidR="000B4F48" w:rsidRPr="0094166C" w:rsidRDefault="0094166C" w:rsidP="00173D62">
      <w:pPr>
        <w:pStyle w:val="BodyText21"/>
        <w:spacing w:after="60" w:line="240" w:lineRule="auto"/>
        <w:ind w:left="810" w:hanging="450"/>
        <w:jc w:val="both"/>
        <w:rPr>
          <w:sz w:val="24"/>
          <w:szCs w:val="24"/>
        </w:rPr>
      </w:pPr>
      <w:r>
        <w:rPr>
          <w:sz w:val="24"/>
          <w:szCs w:val="24"/>
        </w:rPr>
        <w:t>“</w:t>
      </w:r>
      <w:r w:rsidR="00986264" w:rsidRPr="0094166C">
        <w:rPr>
          <w:sz w:val="24"/>
          <w:szCs w:val="24"/>
        </w:rPr>
        <w:t>holder of a statutory office” means the holder of an office or appoint</w:t>
      </w:r>
      <w:r w:rsidR="00986264" w:rsidRPr="0094166C">
        <w:rPr>
          <w:sz w:val="24"/>
          <w:szCs w:val="24"/>
        </w:rPr>
        <w:softHyphen/>
        <w:t>ment (other than a judicial office or appointment or an office or appointment in the Public Service or the service or employment of a body corporate) established by or made under a law of</w:t>
      </w:r>
      <w:r w:rsidR="00173D62">
        <w:rPr>
          <w:sz w:val="24"/>
          <w:szCs w:val="24"/>
        </w:rPr>
        <w:t xml:space="preserve"> </w:t>
      </w:r>
      <w:r w:rsidR="00986264" w:rsidRPr="0094166C">
        <w:rPr>
          <w:sz w:val="24"/>
          <w:szCs w:val="24"/>
        </w:rPr>
        <w:t>Australia, and includes a person who constitutes, or is a member of, an authority or body (other than a court) established for a public purpose by such a law;</w:t>
      </w:r>
    </w:p>
    <w:p w14:paraId="24C352EB" w14:textId="2F817881" w:rsidR="000B4F48" w:rsidRPr="0094166C" w:rsidRDefault="0094166C" w:rsidP="00F15470">
      <w:pPr>
        <w:pStyle w:val="BodyText21"/>
        <w:spacing w:line="240" w:lineRule="auto"/>
        <w:ind w:left="270" w:hanging="270"/>
        <w:jc w:val="both"/>
        <w:rPr>
          <w:sz w:val="24"/>
          <w:szCs w:val="24"/>
        </w:rPr>
      </w:pPr>
      <w:r>
        <w:rPr>
          <w:sz w:val="24"/>
          <w:szCs w:val="24"/>
        </w:rPr>
        <w:t>“</w:t>
      </w:r>
      <w:r w:rsidR="00986264" w:rsidRPr="0094166C">
        <w:rPr>
          <w:sz w:val="24"/>
          <w:szCs w:val="24"/>
        </w:rPr>
        <w:t>member” means a member of the Tribunal and includes a person appointed temporarily in the place of a member under sub</w:t>
      </w:r>
      <w:r w:rsidR="00173D62">
        <w:rPr>
          <w:sz w:val="24"/>
          <w:szCs w:val="24"/>
        </w:rPr>
        <w:t>-</w:t>
      </w:r>
      <w:r w:rsidR="00986264" w:rsidRPr="0094166C">
        <w:rPr>
          <w:sz w:val="24"/>
          <w:szCs w:val="24"/>
        </w:rPr>
        <w:t xml:space="preserve">section 33(4) of the </w:t>
      </w:r>
      <w:r w:rsidR="00986264" w:rsidRPr="0094166C">
        <w:rPr>
          <w:rStyle w:val="BodytextItalic"/>
          <w:sz w:val="24"/>
          <w:szCs w:val="24"/>
        </w:rPr>
        <w:t>Acts Interpretation Act</w:t>
      </w:r>
      <w:r w:rsidR="00986264" w:rsidRPr="0094166C">
        <w:rPr>
          <w:sz w:val="24"/>
          <w:szCs w:val="24"/>
        </w:rPr>
        <w:t xml:space="preserve"> 1901-1973;</w:t>
      </w:r>
    </w:p>
    <w:p w14:paraId="7450C81A" w14:textId="5EABAEC5" w:rsidR="000B4F48" w:rsidRPr="0094166C" w:rsidRDefault="00173D62" w:rsidP="00F15470">
      <w:pPr>
        <w:pStyle w:val="BodyText21"/>
        <w:spacing w:line="240" w:lineRule="auto"/>
        <w:ind w:firstLine="0"/>
        <w:jc w:val="both"/>
        <w:rPr>
          <w:sz w:val="24"/>
          <w:szCs w:val="24"/>
        </w:rPr>
      </w:pPr>
      <w:r>
        <w:rPr>
          <w:sz w:val="24"/>
          <w:szCs w:val="24"/>
        </w:rPr>
        <w:t>“</w:t>
      </w:r>
      <w:r w:rsidR="00986264" w:rsidRPr="0094166C">
        <w:rPr>
          <w:sz w:val="24"/>
          <w:szCs w:val="24"/>
        </w:rPr>
        <w:t>Tribunal” means the Tribunal established by sub-section 4 (1).</w:t>
      </w:r>
    </w:p>
    <w:p w14:paraId="1E4E0E3B" w14:textId="77777777" w:rsidR="000B4F48" w:rsidRPr="0094166C" w:rsidRDefault="00AE273E" w:rsidP="00F15470">
      <w:pPr>
        <w:pStyle w:val="BodyText21"/>
        <w:spacing w:after="60" w:line="240" w:lineRule="auto"/>
        <w:ind w:firstLine="270"/>
        <w:jc w:val="both"/>
        <w:rPr>
          <w:sz w:val="24"/>
          <w:szCs w:val="24"/>
        </w:rPr>
      </w:pPr>
      <w:r>
        <w:rPr>
          <w:sz w:val="24"/>
          <w:szCs w:val="24"/>
        </w:rPr>
        <w:t xml:space="preserve">(2) </w:t>
      </w:r>
      <w:r w:rsidR="00986264" w:rsidRPr="0094166C">
        <w:rPr>
          <w:sz w:val="24"/>
          <w:szCs w:val="24"/>
        </w:rPr>
        <w:t>A reference in this Act to remuneration shall be read as including a reference to annual allowances.</w:t>
      </w:r>
    </w:p>
    <w:p w14:paraId="3384AFD2" w14:textId="77777777" w:rsidR="000B4F48" w:rsidRPr="00AE273E" w:rsidRDefault="00986264" w:rsidP="00F15470">
      <w:pPr>
        <w:pStyle w:val="Bodytext50"/>
        <w:spacing w:before="120" w:after="60" w:line="240" w:lineRule="auto"/>
        <w:jc w:val="both"/>
        <w:rPr>
          <w:rStyle w:val="Bodytext585pt"/>
          <w:b/>
          <w:sz w:val="20"/>
          <w:szCs w:val="24"/>
        </w:rPr>
      </w:pPr>
      <w:r w:rsidRPr="00AE273E">
        <w:rPr>
          <w:rStyle w:val="Bodytext585pt"/>
          <w:b/>
          <w:sz w:val="20"/>
          <w:szCs w:val="24"/>
        </w:rPr>
        <w:t>E</w:t>
      </w:r>
      <w:r w:rsidR="00AE273E" w:rsidRPr="00AE273E">
        <w:rPr>
          <w:rStyle w:val="Bodytext585pt"/>
          <w:b/>
          <w:sz w:val="20"/>
          <w:szCs w:val="24"/>
        </w:rPr>
        <w:t>stablish</w:t>
      </w:r>
      <w:r w:rsidRPr="00AE273E">
        <w:rPr>
          <w:rStyle w:val="Bodytext585pt"/>
          <w:b/>
          <w:sz w:val="20"/>
          <w:szCs w:val="24"/>
        </w:rPr>
        <w:t>ment of Tribunal.</w:t>
      </w:r>
    </w:p>
    <w:p w14:paraId="0459E296" w14:textId="77777777" w:rsidR="000B4F48" w:rsidRPr="0094166C" w:rsidRDefault="00AE273E" w:rsidP="00F15470">
      <w:pPr>
        <w:pStyle w:val="BodyText21"/>
        <w:tabs>
          <w:tab w:val="left" w:pos="630"/>
        </w:tabs>
        <w:spacing w:line="240" w:lineRule="auto"/>
        <w:ind w:firstLine="270"/>
        <w:jc w:val="both"/>
        <w:rPr>
          <w:sz w:val="24"/>
          <w:szCs w:val="24"/>
        </w:rPr>
      </w:pPr>
      <w:r w:rsidRPr="00AE273E">
        <w:rPr>
          <w:b/>
          <w:sz w:val="24"/>
          <w:szCs w:val="24"/>
        </w:rPr>
        <w:t>4.</w:t>
      </w:r>
      <w:r>
        <w:rPr>
          <w:b/>
          <w:sz w:val="24"/>
          <w:szCs w:val="24"/>
        </w:rPr>
        <w:tab/>
      </w:r>
      <w:r w:rsidR="00986264" w:rsidRPr="0094166C">
        <w:rPr>
          <w:sz w:val="24"/>
          <w:szCs w:val="24"/>
        </w:rPr>
        <w:t>(1) For the purposes of this Act, there is hereby established a Tribunal to be known as the Remuneration Tribunal.</w:t>
      </w:r>
    </w:p>
    <w:p w14:paraId="07563910" w14:textId="77777777" w:rsidR="000B4F48" w:rsidRPr="0094166C" w:rsidRDefault="00AE273E" w:rsidP="00F15470">
      <w:pPr>
        <w:pStyle w:val="BodyText21"/>
        <w:spacing w:after="60" w:line="240" w:lineRule="auto"/>
        <w:ind w:firstLine="270"/>
        <w:jc w:val="both"/>
        <w:rPr>
          <w:sz w:val="24"/>
          <w:szCs w:val="24"/>
        </w:rPr>
      </w:pPr>
      <w:r>
        <w:rPr>
          <w:sz w:val="24"/>
          <w:szCs w:val="24"/>
        </w:rPr>
        <w:t xml:space="preserve">(2) </w:t>
      </w:r>
      <w:r w:rsidR="00986264" w:rsidRPr="0094166C">
        <w:rPr>
          <w:sz w:val="24"/>
          <w:szCs w:val="24"/>
        </w:rPr>
        <w:t>The Tribunal shall consist of three members appointed by the Governor-General on a part-time basis.</w:t>
      </w:r>
    </w:p>
    <w:p w14:paraId="11D7C081" w14:textId="77777777" w:rsidR="000B4F48" w:rsidRPr="0094166C" w:rsidRDefault="00AE273E" w:rsidP="00F15470">
      <w:pPr>
        <w:pStyle w:val="BodyText21"/>
        <w:spacing w:after="60" w:line="240" w:lineRule="auto"/>
        <w:ind w:firstLine="270"/>
        <w:jc w:val="both"/>
        <w:rPr>
          <w:sz w:val="24"/>
          <w:szCs w:val="24"/>
        </w:rPr>
      </w:pPr>
      <w:r>
        <w:rPr>
          <w:sz w:val="24"/>
          <w:szCs w:val="24"/>
        </w:rPr>
        <w:t xml:space="preserve">(3) </w:t>
      </w:r>
      <w:r w:rsidR="00986264" w:rsidRPr="0094166C">
        <w:rPr>
          <w:sz w:val="24"/>
          <w:szCs w:val="24"/>
        </w:rPr>
        <w:t>Subject to this Act, a member holds office for a period of 5 years but is eligible for re-appointment.</w:t>
      </w:r>
    </w:p>
    <w:p w14:paraId="1D00D65A" w14:textId="77777777" w:rsidR="000B4F48" w:rsidRPr="0094166C" w:rsidRDefault="00AE273E" w:rsidP="00F15470">
      <w:pPr>
        <w:pStyle w:val="BodyText21"/>
        <w:spacing w:after="60" w:line="240" w:lineRule="auto"/>
        <w:ind w:firstLine="270"/>
        <w:jc w:val="both"/>
        <w:rPr>
          <w:sz w:val="24"/>
          <w:szCs w:val="24"/>
        </w:rPr>
      </w:pPr>
      <w:r>
        <w:rPr>
          <w:sz w:val="24"/>
          <w:szCs w:val="24"/>
        </w:rPr>
        <w:t xml:space="preserve">(4) </w:t>
      </w:r>
      <w:r w:rsidR="00986264" w:rsidRPr="0094166C">
        <w:rPr>
          <w:sz w:val="24"/>
          <w:szCs w:val="24"/>
        </w:rPr>
        <w:t>A person shall not be appointed as a member if he is or has been—</w:t>
      </w:r>
    </w:p>
    <w:p w14:paraId="442C0B18" w14:textId="77777777" w:rsidR="000B4F48" w:rsidRPr="0094166C" w:rsidRDefault="00AE273E" w:rsidP="00F15470">
      <w:pPr>
        <w:pStyle w:val="BodyText21"/>
        <w:spacing w:after="60" w:line="240" w:lineRule="auto"/>
        <w:ind w:firstLine="360"/>
        <w:jc w:val="both"/>
        <w:rPr>
          <w:sz w:val="24"/>
          <w:szCs w:val="24"/>
        </w:rPr>
      </w:pPr>
      <w:r>
        <w:rPr>
          <w:sz w:val="24"/>
          <w:szCs w:val="24"/>
        </w:rPr>
        <w:t xml:space="preserve">(a) </w:t>
      </w:r>
      <w:r w:rsidR="00986264" w:rsidRPr="0094166C">
        <w:rPr>
          <w:sz w:val="24"/>
          <w:szCs w:val="24"/>
        </w:rPr>
        <w:t>a member of the Parliament;</w:t>
      </w:r>
    </w:p>
    <w:p w14:paraId="68B26DBC" w14:textId="77777777" w:rsidR="000B4F48" w:rsidRPr="0094166C" w:rsidRDefault="00AE273E" w:rsidP="00F15470">
      <w:pPr>
        <w:pStyle w:val="BodyText21"/>
        <w:spacing w:after="60" w:line="240" w:lineRule="auto"/>
        <w:ind w:firstLine="360"/>
        <w:jc w:val="both"/>
        <w:rPr>
          <w:sz w:val="24"/>
          <w:szCs w:val="24"/>
        </w:rPr>
      </w:pPr>
      <w:r>
        <w:rPr>
          <w:sz w:val="24"/>
          <w:szCs w:val="24"/>
        </w:rPr>
        <w:t xml:space="preserve">(b) </w:t>
      </w:r>
      <w:r w:rsidR="00986264" w:rsidRPr="0094166C">
        <w:rPr>
          <w:sz w:val="24"/>
          <w:szCs w:val="24"/>
        </w:rPr>
        <w:t>an officer of, or person temporarily employed in, the Public Service;</w:t>
      </w:r>
    </w:p>
    <w:p w14:paraId="2028B338" w14:textId="77777777" w:rsidR="000B4F48" w:rsidRPr="0094166C" w:rsidRDefault="00AE273E" w:rsidP="00F15470">
      <w:pPr>
        <w:pStyle w:val="BodyText21"/>
        <w:spacing w:after="60" w:line="240" w:lineRule="auto"/>
        <w:ind w:firstLine="360"/>
        <w:jc w:val="both"/>
        <w:rPr>
          <w:sz w:val="24"/>
          <w:szCs w:val="24"/>
        </w:rPr>
      </w:pPr>
      <w:r>
        <w:rPr>
          <w:sz w:val="24"/>
          <w:szCs w:val="24"/>
        </w:rPr>
        <w:t xml:space="preserve">(c) </w:t>
      </w:r>
      <w:r w:rsidR="00986264" w:rsidRPr="0094166C">
        <w:rPr>
          <w:sz w:val="24"/>
          <w:szCs w:val="24"/>
        </w:rPr>
        <w:t>the holder of a statutory office;</w:t>
      </w:r>
    </w:p>
    <w:p w14:paraId="547030BA" w14:textId="77777777" w:rsidR="000B4F48" w:rsidRPr="0094166C" w:rsidRDefault="00AE273E" w:rsidP="00F15470">
      <w:pPr>
        <w:pStyle w:val="BodyText21"/>
        <w:spacing w:after="60" w:line="240" w:lineRule="auto"/>
        <w:ind w:firstLine="360"/>
        <w:jc w:val="both"/>
        <w:rPr>
          <w:sz w:val="24"/>
          <w:szCs w:val="24"/>
        </w:rPr>
      </w:pPr>
      <w:r>
        <w:rPr>
          <w:sz w:val="24"/>
          <w:szCs w:val="24"/>
        </w:rPr>
        <w:t xml:space="preserve">(d) </w:t>
      </w:r>
      <w:r w:rsidR="00986264" w:rsidRPr="0094166C">
        <w:rPr>
          <w:sz w:val="24"/>
          <w:szCs w:val="24"/>
        </w:rPr>
        <w:t>a Justice or Judge of a federal court or of the Supreme Court of an internal Territory; or</w:t>
      </w:r>
    </w:p>
    <w:p w14:paraId="6F0A310D" w14:textId="77777777" w:rsidR="000B4F48" w:rsidRPr="0094166C" w:rsidRDefault="00AE273E" w:rsidP="00F15470">
      <w:pPr>
        <w:pStyle w:val="BodyText21"/>
        <w:spacing w:after="60" w:line="240" w:lineRule="auto"/>
        <w:ind w:left="900" w:hanging="540"/>
        <w:jc w:val="both"/>
        <w:rPr>
          <w:sz w:val="24"/>
          <w:szCs w:val="24"/>
        </w:rPr>
      </w:pPr>
      <w:r>
        <w:rPr>
          <w:sz w:val="24"/>
          <w:szCs w:val="24"/>
        </w:rPr>
        <w:t xml:space="preserve">(e) </w:t>
      </w:r>
      <w:r w:rsidR="00986264" w:rsidRPr="0094166C">
        <w:rPr>
          <w:sz w:val="24"/>
          <w:szCs w:val="24"/>
        </w:rPr>
        <w:t>a person who, by virtue of an Act, has the same status as a Justice or Judge of a court referred to in paragraph (d).</w:t>
      </w:r>
    </w:p>
    <w:p w14:paraId="7508A59F" w14:textId="77777777" w:rsidR="000B4F48" w:rsidRPr="0094166C" w:rsidRDefault="00AE273E" w:rsidP="00F15470">
      <w:pPr>
        <w:pStyle w:val="BodyText21"/>
        <w:spacing w:after="60" w:line="240" w:lineRule="auto"/>
        <w:ind w:firstLine="270"/>
        <w:jc w:val="both"/>
        <w:rPr>
          <w:sz w:val="24"/>
          <w:szCs w:val="24"/>
        </w:rPr>
      </w:pPr>
      <w:r>
        <w:rPr>
          <w:sz w:val="24"/>
          <w:szCs w:val="24"/>
        </w:rPr>
        <w:t xml:space="preserve">(5) </w:t>
      </w:r>
      <w:r w:rsidR="00986264" w:rsidRPr="0094166C">
        <w:rPr>
          <w:sz w:val="24"/>
          <w:szCs w:val="24"/>
        </w:rPr>
        <w:t>The Governor-General shall appoint one of the members to be the Chairman of the Tribunal.</w:t>
      </w:r>
    </w:p>
    <w:p w14:paraId="67C6C629" w14:textId="77777777" w:rsidR="000B4F48" w:rsidRPr="0094166C" w:rsidRDefault="00AE273E" w:rsidP="00F15470">
      <w:pPr>
        <w:pStyle w:val="BodyText21"/>
        <w:spacing w:after="60" w:line="240" w:lineRule="auto"/>
        <w:ind w:firstLine="270"/>
        <w:jc w:val="both"/>
        <w:rPr>
          <w:sz w:val="24"/>
          <w:szCs w:val="24"/>
        </w:rPr>
      </w:pPr>
      <w:r>
        <w:rPr>
          <w:sz w:val="24"/>
          <w:szCs w:val="24"/>
        </w:rPr>
        <w:t>(6)</w:t>
      </w:r>
      <w:r w:rsidR="00F15470">
        <w:rPr>
          <w:sz w:val="24"/>
          <w:szCs w:val="24"/>
        </w:rPr>
        <w:t xml:space="preserve"> </w:t>
      </w:r>
      <w:r w:rsidR="00986264" w:rsidRPr="0094166C">
        <w:rPr>
          <w:sz w:val="24"/>
          <w:szCs w:val="24"/>
        </w:rPr>
        <w:t>A member is not eligible to be appointed as Chairman unless—</w:t>
      </w:r>
    </w:p>
    <w:p w14:paraId="4FAD0768" w14:textId="77777777" w:rsidR="000B4F48" w:rsidRPr="0094166C" w:rsidRDefault="00AE273E" w:rsidP="00F15470">
      <w:pPr>
        <w:pStyle w:val="BodyText21"/>
        <w:spacing w:after="60" w:line="240" w:lineRule="auto"/>
        <w:ind w:firstLine="360"/>
        <w:jc w:val="both"/>
        <w:rPr>
          <w:sz w:val="24"/>
          <w:szCs w:val="24"/>
        </w:rPr>
      </w:pPr>
      <w:r>
        <w:rPr>
          <w:sz w:val="24"/>
          <w:szCs w:val="24"/>
        </w:rPr>
        <w:t xml:space="preserve">(a) </w:t>
      </w:r>
      <w:r w:rsidR="00986264" w:rsidRPr="0094166C">
        <w:rPr>
          <w:sz w:val="24"/>
          <w:szCs w:val="24"/>
        </w:rPr>
        <w:t>he is a Judge or a retired Judge of a court of a State; or</w:t>
      </w:r>
    </w:p>
    <w:p w14:paraId="3C020BEE" w14:textId="77777777" w:rsidR="000B4F48" w:rsidRPr="0094166C" w:rsidRDefault="00AE273E" w:rsidP="00F15470">
      <w:pPr>
        <w:pStyle w:val="BodyText21"/>
        <w:spacing w:after="60" w:line="240" w:lineRule="auto"/>
        <w:ind w:firstLine="360"/>
        <w:jc w:val="both"/>
        <w:rPr>
          <w:sz w:val="24"/>
          <w:szCs w:val="24"/>
        </w:rPr>
      </w:pPr>
      <w:r>
        <w:rPr>
          <w:sz w:val="24"/>
          <w:szCs w:val="24"/>
        </w:rPr>
        <w:lastRenderedPageBreak/>
        <w:t xml:space="preserve">(b) </w:t>
      </w:r>
      <w:r w:rsidR="00986264" w:rsidRPr="0094166C">
        <w:rPr>
          <w:sz w:val="24"/>
          <w:szCs w:val="24"/>
        </w:rPr>
        <w:t>he is qualified for appointment as a Judge of a court of a State.</w:t>
      </w:r>
    </w:p>
    <w:p w14:paraId="3590798F" w14:textId="77777777" w:rsidR="000B4F48" w:rsidRPr="00AE273E" w:rsidRDefault="00986264" w:rsidP="00F15470">
      <w:pPr>
        <w:pStyle w:val="Bodytext50"/>
        <w:spacing w:before="120" w:after="60" w:line="240" w:lineRule="auto"/>
        <w:jc w:val="both"/>
        <w:rPr>
          <w:rStyle w:val="Bodytext585pt"/>
          <w:b/>
          <w:sz w:val="20"/>
          <w:szCs w:val="24"/>
        </w:rPr>
      </w:pPr>
      <w:r w:rsidRPr="00AE273E">
        <w:rPr>
          <w:rStyle w:val="Bodytext585pt"/>
          <w:b/>
          <w:sz w:val="20"/>
          <w:szCs w:val="24"/>
        </w:rPr>
        <w:t>Functions of the Tribunal.</w:t>
      </w:r>
    </w:p>
    <w:p w14:paraId="02944376" w14:textId="77777777" w:rsidR="000B4F48" w:rsidRPr="0094166C" w:rsidRDefault="00986264" w:rsidP="00EF1421">
      <w:pPr>
        <w:pStyle w:val="BodyText21"/>
        <w:numPr>
          <w:ilvl w:val="0"/>
          <w:numId w:val="15"/>
        </w:numPr>
        <w:tabs>
          <w:tab w:val="left" w:pos="630"/>
        </w:tabs>
        <w:spacing w:line="240" w:lineRule="auto"/>
        <w:jc w:val="both"/>
        <w:rPr>
          <w:sz w:val="24"/>
          <w:szCs w:val="24"/>
        </w:rPr>
      </w:pPr>
      <w:r w:rsidRPr="0094166C">
        <w:rPr>
          <w:sz w:val="24"/>
          <w:szCs w:val="24"/>
        </w:rPr>
        <w:t>The functions of the Tribunal are to inquire into, and report to the Minister on, matters referred to in section 6 and to inquire into, and determine, matters referred to in section 7.</w:t>
      </w:r>
    </w:p>
    <w:p w14:paraId="0CECB78C" w14:textId="77777777" w:rsidR="00AE273E" w:rsidRPr="00AE273E" w:rsidRDefault="00AE273E" w:rsidP="00F15470">
      <w:pPr>
        <w:pStyle w:val="Bodytext50"/>
        <w:spacing w:before="120" w:after="60" w:line="240" w:lineRule="auto"/>
        <w:jc w:val="both"/>
        <w:rPr>
          <w:rStyle w:val="Bodytext585pt"/>
          <w:b/>
          <w:sz w:val="20"/>
          <w:szCs w:val="24"/>
        </w:rPr>
      </w:pPr>
      <w:r w:rsidRPr="00AE273E">
        <w:rPr>
          <w:rStyle w:val="Bodytext585pt"/>
          <w:b/>
          <w:sz w:val="20"/>
          <w:szCs w:val="24"/>
        </w:rPr>
        <w:t>Inquiries and reports by Tribunal.</w:t>
      </w:r>
    </w:p>
    <w:p w14:paraId="704A39BE" w14:textId="77777777" w:rsidR="000B4F48" w:rsidRPr="0094166C" w:rsidRDefault="00AE273E" w:rsidP="00F15470">
      <w:pPr>
        <w:pStyle w:val="BodyText21"/>
        <w:spacing w:after="60" w:line="240" w:lineRule="auto"/>
        <w:ind w:firstLine="270"/>
        <w:jc w:val="both"/>
        <w:rPr>
          <w:sz w:val="24"/>
          <w:szCs w:val="24"/>
        </w:rPr>
      </w:pPr>
      <w:r w:rsidRPr="00AE273E">
        <w:rPr>
          <w:b/>
          <w:sz w:val="24"/>
          <w:szCs w:val="24"/>
        </w:rPr>
        <w:t>6.</w:t>
      </w:r>
      <w:r w:rsidR="00F15470">
        <w:rPr>
          <w:b/>
          <w:sz w:val="24"/>
          <w:szCs w:val="24"/>
        </w:rPr>
        <w:tab/>
      </w:r>
      <w:r w:rsidR="00986264" w:rsidRPr="0094166C">
        <w:rPr>
          <w:sz w:val="24"/>
          <w:szCs w:val="24"/>
        </w:rPr>
        <w:t>(1) The Tribunal shall, from time to time as provided by this Act, inquire into, and report to the Minister on, the question whether any alterations are desirable in the salaries payable to Ministers of State out of public moneys of Australia.</w:t>
      </w:r>
    </w:p>
    <w:p w14:paraId="6A963495" w14:textId="77777777" w:rsidR="000B4F48" w:rsidRPr="0094166C" w:rsidRDefault="00AE273E" w:rsidP="00F15470">
      <w:pPr>
        <w:pStyle w:val="BodyText21"/>
        <w:spacing w:line="240" w:lineRule="auto"/>
        <w:ind w:firstLine="270"/>
        <w:jc w:val="both"/>
        <w:rPr>
          <w:sz w:val="24"/>
          <w:szCs w:val="24"/>
        </w:rPr>
      </w:pPr>
      <w:r>
        <w:rPr>
          <w:sz w:val="24"/>
          <w:szCs w:val="24"/>
        </w:rPr>
        <w:t xml:space="preserve">(2) </w:t>
      </w:r>
      <w:r w:rsidR="00986264" w:rsidRPr="0094166C">
        <w:rPr>
          <w:sz w:val="24"/>
          <w:szCs w:val="24"/>
        </w:rPr>
        <w:t>The Tribunal shall, from time to time as provided by this Act, inquire into, and report to the Minister on, the question whether any alterations are desirable in the remuneration payable to Judges out of public moneys of Australia.</w:t>
      </w:r>
    </w:p>
    <w:p w14:paraId="14C2B1AD" w14:textId="77777777" w:rsidR="000B4F48" w:rsidRPr="0094166C" w:rsidRDefault="00AE273E" w:rsidP="00F15470">
      <w:pPr>
        <w:pStyle w:val="BodyText21"/>
        <w:spacing w:after="60" w:line="240" w:lineRule="auto"/>
        <w:ind w:firstLine="270"/>
        <w:jc w:val="both"/>
        <w:rPr>
          <w:sz w:val="24"/>
          <w:szCs w:val="24"/>
        </w:rPr>
      </w:pPr>
      <w:r>
        <w:rPr>
          <w:sz w:val="24"/>
          <w:szCs w:val="24"/>
        </w:rPr>
        <w:t xml:space="preserve">(3) </w:t>
      </w:r>
      <w:r w:rsidR="00986264" w:rsidRPr="0094166C">
        <w:rPr>
          <w:sz w:val="24"/>
          <w:szCs w:val="24"/>
        </w:rPr>
        <w:t xml:space="preserve">Where the Tribunal </w:t>
      </w:r>
      <w:proofErr w:type="spellStart"/>
      <w:r w:rsidR="00986264" w:rsidRPr="0094166C">
        <w:rPr>
          <w:sz w:val="24"/>
          <w:szCs w:val="24"/>
        </w:rPr>
        <w:t>inquires</w:t>
      </w:r>
      <w:proofErr w:type="spellEnd"/>
      <w:r w:rsidR="00986264" w:rsidRPr="0094166C">
        <w:rPr>
          <w:sz w:val="24"/>
          <w:szCs w:val="24"/>
        </w:rPr>
        <w:t xml:space="preserve"> into, and reports on, a matter referred to in sub-section (1) or (2), the Tribunal may also inquire into, and report on, any matter that is significantly related to the first-mentioned matter.</w:t>
      </w:r>
    </w:p>
    <w:p w14:paraId="0C26F605" w14:textId="77777777" w:rsidR="000B4F48" w:rsidRPr="0094166C" w:rsidRDefault="00AE273E" w:rsidP="00F15470">
      <w:pPr>
        <w:pStyle w:val="BodyText21"/>
        <w:spacing w:after="60" w:line="240" w:lineRule="auto"/>
        <w:ind w:firstLine="270"/>
        <w:jc w:val="both"/>
        <w:rPr>
          <w:sz w:val="24"/>
          <w:szCs w:val="24"/>
        </w:rPr>
      </w:pPr>
      <w:r>
        <w:rPr>
          <w:sz w:val="24"/>
          <w:szCs w:val="24"/>
        </w:rPr>
        <w:t xml:space="preserve">(4) </w:t>
      </w:r>
      <w:r w:rsidR="00986264" w:rsidRPr="0094166C">
        <w:rPr>
          <w:sz w:val="24"/>
          <w:szCs w:val="24"/>
        </w:rPr>
        <w:t>If the Tribunal reports that alterations are desirable in respect of a matter, it shall, in its report, recommend the nature and extent of the alterations that should be made.</w:t>
      </w:r>
    </w:p>
    <w:p w14:paraId="4DB8CBD2" w14:textId="77777777" w:rsidR="000B4F48" w:rsidRPr="0094166C" w:rsidRDefault="00AE273E" w:rsidP="00F15470">
      <w:pPr>
        <w:pStyle w:val="BodyText21"/>
        <w:spacing w:after="60" w:line="240" w:lineRule="auto"/>
        <w:ind w:firstLine="270"/>
        <w:jc w:val="both"/>
        <w:rPr>
          <w:sz w:val="24"/>
          <w:szCs w:val="24"/>
        </w:rPr>
      </w:pPr>
      <w:r>
        <w:rPr>
          <w:sz w:val="24"/>
          <w:szCs w:val="24"/>
        </w:rPr>
        <w:t xml:space="preserve">(5) </w:t>
      </w:r>
      <w:r w:rsidR="00986264" w:rsidRPr="0094166C">
        <w:rPr>
          <w:sz w:val="24"/>
          <w:szCs w:val="24"/>
        </w:rPr>
        <w:t>The Minister shall cause a copy of a report to be laid before each House of the Parliament within 15 sitting days of that House after the report is received by him.</w:t>
      </w:r>
    </w:p>
    <w:p w14:paraId="4570255C" w14:textId="77777777" w:rsidR="000B4F48" w:rsidRPr="00AE273E" w:rsidRDefault="00AE273E" w:rsidP="00F15470">
      <w:pPr>
        <w:pStyle w:val="Bodytext50"/>
        <w:spacing w:before="120" w:after="60" w:line="240" w:lineRule="auto"/>
        <w:jc w:val="both"/>
        <w:rPr>
          <w:rStyle w:val="Bodytext585pt"/>
          <w:b/>
          <w:sz w:val="20"/>
          <w:szCs w:val="24"/>
        </w:rPr>
      </w:pPr>
      <w:r w:rsidRPr="00AE273E">
        <w:rPr>
          <w:rStyle w:val="Bodytext585pt"/>
          <w:b/>
          <w:sz w:val="20"/>
          <w:szCs w:val="24"/>
        </w:rPr>
        <w:t>Inquiries and deter</w:t>
      </w:r>
      <w:r w:rsidR="00986264" w:rsidRPr="00AE273E">
        <w:rPr>
          <w:rStyle w:val="Bodytext585pt"/>
          <w:b/>
          <w:sz w:val="20"/>
          <w:szCs w:val="24"/>
        </w:rPr>
        <w:t>minations by Tribunal.</w:t>
      </w:r>
    </w:p>
    <w:p w14:paraId="7A560DBD" w14:textId="5845DD22" w:rsidR="000B4F48" w:rsidRPr="0094166C" w:rsidRDefault="00AE273E" w:rsidP="00F15470">
      <w:pPr>
        <w:pStyle w:val="BodyText21"/>
        <w:spacing w:after="60" w:line="240" w:lineRule="auto"/>
        <w:ind w:firstLine="270"/>
        <w:jc w:val="both"/>
        <w:rPr>
          <w:sz w:val="24"/>
          <w:szCs w:val="24"/>
        </w:rPr>
      </w:pPr>
      <w:r w:rsidRPr="00391CFD">
        <w:rPr>
          <w:b/>
          <w:sz w:val="24"/>
          <w:szCs w:val="24"/>
        </w:rPr>
        <w:t>7.</w:t>
      </w:r>
      <w:r w:rsidR="00173D62" w:rsidRPr="00173D62">
        <w:rPr>
          <w:sz w:val="24"/>
          <w:szCs w:val="24"/>
        </w:rPr>
        <w:t xml:space="preserve"> </w:t>
      </w:r>
      <w:r w:rsidR="00986264" w:rsidRPr="00173D62">
        <w:rPr>
          <w:sz w:val="24"/>
          <w:szCs w:val="24"/>
        </w:rPr>
        <w:t>(</w:t>
      </w:r>
      <w:r w:rsidR="00986264" w:rsidRPr="0094166C">
        <w:rPr>
          <w:sz w:val="24"/>
          <w:szCs w:val="24"/>
        </w:rPr>
        <w:t>1) The Tribunal shall, from time to time as provided by this Act, inquire into, and determine, the allowances (including allowances in accordance with section 48 of the Constitution) to be paid out of the public moneys of Australia to members of the Parliament by reason of their membership of the Parliament or by reason of their holding particular offices, or performing particular functions in, or in relation to, the Parliament or either House of the Parliament.</w:t>
      </w:r>
    </w:p>
    <w:p w14:paraId="525A0B43" w14:textId="77777777" w:rsidR="000B4F48" w:rsidRPr="0094166C" w:rsidRDefault="00AE273E" w:rsidP="00F15470">
      <w:pPr>
        <w:pStyle w:val="BodyText21"/>
        <w:spacing w:after="60" w:line="240" w:lineRule="auto"/>
        <w:ind w:firstLine="270"/>
        <w:jc w:val="both"/>
        <w:rPr>
          <w:sz w:val="24"/>
          <w:szCs w:val="24"/>
        </w:rPr>
      </w:pPr>
      <w:r>
        <w:rPr>
          <w:sz w:val="24"/>
          <w:szCs w:val="24"/>
        </w:rPr>
        <w:t xml:space="preserve">(2) </w:t>
      </w:r>
      <w:r w:rsidR="00986264" w:rsidRPr="0094166C">
        <w:rPr>
          <w:sz w:val="24"/>
          <w:szCs w:val="24"/>
        </w:rPr>
        <w:t>The Tribunal shall, from time to time as provided by this Act, inquire into, and determine, the allowances to be paid to Ministers of State out of the public moneys of Australia.</w:t>
      </w:r>
    </w:p>
    <w:p w14:paraId="636EF011" w14:textId="77777777" w:rsidR="000B4F48" w:rsidRPr="0094166C" w:rsidRDefault="00AE273E" w:rsidP="00F15470">
      <w:pPr>
        <w:pStyle w:val="BodyText21"/>
        <w:spacing w:after="60" w:line="240" w:lineRule="auto"/>
        <w:ind w:firstLine="270"/>
        <w:jc w:val="both"/>
        <w:rPr>
          <w:sz w:val="24"/>
          <w:szCs w:val="24"/>
        </w:rPr>
      </w:pPr>
      <w:r>
        <w:rPr>
          <w:sz w:val="24"/>
          <w:szCs w:val="24"/>
        </w:rPr>
        <w:t xml:space="preserve">(3) </w:t>
      </w:r>
      <w:r w:rsidR="00986264" w:rsidRPr="0094166C">
        <w:rPr>
          <w:sz w:val="24"/>
          <w:szCs w:val="24"/>
        </w:rPr>
        <w:t>The Tribunal shall, from time to time as provided by this Act, inquire into, and determine, the remuneration to be paid to officers of the First Division of the Public Service and to holders of statutory offices.</w:t>
      </w:r>
    </w:p>
    <w:p w14:paraId="31FC9724" w14:textId="77777777" w:rsidR="000B4F48" w:rsidRPr="0094166C" w:rsidRDefault="00AE273E" w:rsidP="00F15470">
      <w:pPr>
        <w:pStyle w:val="BodyText21"/>
        <w:spacing w:after="60" w:line="240" w:lineRule="auto"/>
        <w:ind w:firstLine="270"/>
        <w:jc w:val="both"/>
        <w:rPr>
          <w:sz w:val="24"/>
          <w:szCs w:val="24"/>
        </w:rPr>
      </w:pPr>
      <w:r>
        <w:rPr>
          <w:sz w:val="24"/>
          <w:szCs w:val="24"/>
        </w:rPr>
        <w:t xml:space="preserve">(4) </w:t>
      </w:r>
      <w:r w:rsidR="00986264" w:rsidRPr="0094166C">
        <w:rPr>
          <w:sz w:val="24"/>
          <w:szCs w:val="24"/>
        </w:rPr>
        <w:t xml:space="preserve">Where the Tribunal </w:t>
      </w:r>
      <w:proofErr w:type="spellStart"/>
      <w:r w:rsidR="00986264" w:rsidRPr="0094166C">
        <w:rPr>
          <w:sz w:val="24"/>
          <w:szCs w:val="24"/>
        </w:rPr>
        <w:t>inquires</w:t>
      </w:r>
      <w:proofErr w:type="spellEnd"/>
      <w:r w:rsidR="00986264" w:rsidRPr="0094166C">
        <w:rPr>
          <w:sz w:val="24"/>
          <w:szCs w:val="24"/>
        </w:rPr>
        <w:t xml:space="preserve"> into, and determines, a matter referred to in sub-section (1), (2) or (</w:t>
      </w:r>
      <w:r w:rsidR="00F15470">
        <w:rPr>
          <w:sz w:val="24"/>
          <w:szCs w:val="24"/>
        </w:rPr>
        <w:t>3</w:t>
      </w:r>
      <w:r w:rsidR="00986264" w:rsidRPr="0094166C">
        <w:rPr>
          <w:sz w:val="24"/>
          <w:szCs w:val="24"/>
        </w:rPr>
        <w:t>), the Tribunal may also inquire into, and determine, any matter that is significantly related to the first-mentioned matter.</w:t>
      </w:r>
    </w:p>
    <w:p w14:paraId="423F072F" w14:textId="77777777" w:rsidR="000B4F48" w:rsidRPr="0094166C" w:rsidRDefault="00AE273E" w:rsidP="00F15470">
      <w:pPr>
        <w:pStyle w:val="BodyText21"/>
        <w:spacing w:after="60" w:line="240" w:lineRule="auto"/>
        <w:ind w:firstLine="270"/>
        <w:jc w:val="both"/>
        <w:rPr>
          <w:sz w:val="24"/>
          <w:szCs w:val="24"/>
        </w:rPr>
      </w:pPr>
      <w:r>
        <w:rPr>
          <w:sz w:val="24"/>
          <w:szCs w:val="24"/>
        </w:rPr>
        <w:t>(</w:t>
      </w:r>
      <w:r w:rsidR="0052277A">
        <w:rPr>
          <w:sz w:val="24"/>
          <w:szCs w:val="24"/>
        </w:rPr>
        <w:t>5</w:t>
      </w:r>
      <w:r>
        <w:rPr>
          <w:sz w:val="24"/>
          <w:szCs w:val="24"/>
        </w:rPr>
        <w:t xml:space="preserve">) </w:t>
      </w:r>
      <w:r w:rsidR="00986264" w:rsidRPr="0094166C">
        <w:rPr>
          <w:sz w:val="24"/>
          <w:szCs w:val="24"/>
        </w:rPr>
        <w:t>A determination of the Tribunal shall be in writing and shall come into operation, or shall be deemed to have come into operation, on such date as the Tribunal specifies in the determination.</w:t>
      </w:r>
    </w:p>
    <w:p w14:paraId="07037E61" w14:textId="1751A95F" w:rsidR="000B4F48" w:rsidRPr="0094166C" w:rsidRDefault="00AE273E" w:rsidP="00F15470">
      <w:pPr>
        <w:pStyle w:val="BodyText21"/>
        <w:spacing w:after="60" w:line="240" w:lineRule="auto"/>
        <w:ind w:firstLine="270"/>
        <w:jc w:val="both"/>
        <w:rPr>
          <w:sz w:val="24"/>
          <w:szCs w:val="24"/>
        </w:rPr>
      </w:pPr>
      <w:r>
        <w:rPr>
          <w:sz w:val="24"/>
          <w:szCs w:val="24"/>
        </w:rPr>
        <w:t>(</w:t>
      </w:r>
      <w:r w:rsidR="0052277A">
        <w:rPr>
          <w:sz w:val="24"/>
          <w:szCs w:val="24"/>
        </w:rPr>
        <w:t>6</w:t>
      </w:r>
      <w:r>
        <w:rPr>
          <w:sz w:val="24"/>
          <w:szCs w:val="24"/>
        </w:rPr>
        <w:t xml:space="preserve">) </w:t>
      </w:r>
      <w:r w:rsidR="00986264" w:rsidRPr="0094166C">
        <w:rPr>
          <w:sz w:val="24"/>
          <w:szCs w:val="24"/>
        </w:rPr>
        <w:t>The Tribunal shall furnish to the</w:t>
      </w:r>
      <w:r w:rsidR="00173D62">
        <w:rPr>
          <w:sz w:val="24"/>
          <w:szCs w:val="24"/>
        </w:rPr>
        <w:t xml:space="preserve"> Minister a copy of every deter</w:t>
      </w:r>
      <w:r w:rsidR="00986264" w:rsidRPr="0094166C">
        <w:rPr>
          <w:sz w:val="24"/>
          <w:szCs w:val="24"/>
        </w:rPr>
        <w:t>mination made by the Tribunal.</w:t>
      </w:r>
    </w:p>
    <w:p w14:paraId="2C13FCB9" w14:textId="77777777" w:rsidR="000B4F48" w:rsidRPr="0094166C" w:rsidRDefault="00AE273E" w:rsidP="00F15470">
      <w:pPr>
        <w:pStyle w:val="BodyText21"/>
        <w:spacing w:after="60" w:line="240" w:lineRule="auto"/>
        <w:ind w:firstLine="270"/>
        <w:jc w:val="both"/>
        <w:rPr>
          <w:sz w:val="24"/>
          <w:szCs w:val="24"/>
        </w:rPr>
      </w:pPr>
      <w:r>
        <w:rPr>
          <w:sz w:val="24"/>
          <w:szCs w:val="24"/>
        </w:rPr>
        <w:t>(</w:t>
      </w:r>
      <w:r w:rsidR="0052277A">
        <w:rPr>
          <w:sz w:val="24"/>
          <w:szCs w:val="24"/>
        </w:rPr>
        <w:t>7</w:t>
      </w:r>
      <w:r>
        <w:rPr>
          <w:sz w:val="24"/>
          <w:szCs w:val="24"/>
        </w:rPr>
        <w:t xml:space="preserve">) </w:t>
      </w:r>
      <w:r w:rsidR="00986264" w:rsidRPr="0094166C">
        <w:rPr>
          <w:sz w:val="24"/>
          <w:szCs w:val="24"/>
        </w:rPr>
        <w:t>The Minister shall cause a copy of a determination to be laid before each House of the Parliament within 15 sitting days of that House after the determination is received by him.</w:t>
      </w:r>
    </w:p>
    <w:p w14:paraId="15D30280" w14:textId="77777777" w:rsidR="000B4F48" w:rsidRPr="0094166C" w:rsidRDefault="00AE273E" w:rsidP="00F15470">
      <w:pPr>
        <w:pStyle w:val="BodyText21"/>
        <w:spacing w:after="60" w:line="240" w:lineRule="auto"/>
        <w:ind w:firstLine="270"/>
        <w:jc w:val="both"/>
        <w:rPr>
          <w:sz w:val="24"/>
          <w:szCs w:val="24"/>
        </w:rPr>
      </w:pPr>
      <w:r>
        <w:rPr>
          <w:sz w:val="24"/>
          <w:szCs w:val="24"/>
        </w:rPr>
        <w:t>(</w:t>
      </w:r>
      <w:r w:rsidR="0052277A">
        <w:rPr>
          <w:sz w:val="24"/>
          <w:szCs w:val="24"/>
        </w:rPr>
        <w:t>8</w:t>
      </w:r>
      <w:r>
        <w:rPr>
          <w:sz w:val="24"/>
          <w:szCs w:val="24"/>
        </w:rPr>
        <w:t xml:space="preserve">) </w:t>
      </w:r>
      <w:r w:rsidR="00986264" w:rsidRPr="0094166C">
        <w:rPr>
          <w:sz w:val="24"/>
          <w:szCs w:val="24"/>
        </w:rPr>
        <w:t>If either House of the Parliament, within 15 sitting days of that House after a copy of a determination has been laid before that House, passes a resolution disapproving of the determination, then—</w:t>
      </w:r>
    </w:p>
    <w:p w14:paraId="5B13B24E" w14:textId="29401CA3" w:rsidR="000B4F48" w:rsidRPr="0094166C" w:rsidRDefault="0052277A" w:rsidP="00F15470">
      <w:pPr>
        <w:pStyle w:val="BodyText21"/>
        <w:spacing w:after="60" w:line="240" w:lineRule="auto"/>
        <w:ind w:left="630" w:hanging="360"/>
        <w:jc w:val="both"/>
        <w:rPr>
          <w:sz w:val="24"/>
          <w:szCs w:val="24"/>
        </w:rPr>
      </w:pPr>
      <w:r>
        <w:rPr>
          <w:sz w:val="24"/>
          <w:szCs w:val="24"/>
        </w:rPr>
        <w:t xml:space="preserve">(a) </w:t>
      </w:r>
      <w:r w:rsidR="00986264" w:rsidRPr="0094166C">
        <w:rPr>
          <w:sz w:val="24"/>
          <w:szCs w:val="24"/>
        </w:rPr>
        <w:t>if the determination has no</w:t>
      </w:r>
      <w:r w:rsidR="00173D62">
        <w:rPr>
          <w:sz w:val="24"/>
          <w:szCs w:val="24"/>
        </w:rPr>
        <w:t>t come into operation—the deter</w:t>
      </w:r>
      <w:r w:rsidR="00986264" w:rsidRPr="0094166C">
        <w:rPr>
          <w:sz w:val="24"/>
          <w:szCs w:val="24"/>
        </w:rPr>
        <w:t>mination shall not come into operation; or</w:t>
      </w:r>
    </w:p>
    <w:p w14:paraId="1DAC30F5" w14:textId="77777777" w:rsidR="000B4F48" w:rsidRPr="0094166C" w:rsidRDefault="0052277A" w:rsidP="00F15470">
      <w:pPr>
        <w:pStyle w:val="BodyText21"/>
        <w:spacing w:after="60" w:line="240" w:lineRule="auto"/>
        <w:ind w:left="630" w:hanging="360"/>
        <w:jc w:val="both"/>
        <w:rPr>
          <w:sz w:val="24"/>
          <w:szCs w:val="24"/>
        </w:rPr>
      </w:pPr>
      <w:r>
        <w:rPr>
          <w:sz w:val="24"/>
          <w:szCs w:val="24"/>
        </w:rPr>
        <w:t xml:space="preserve">(b) </w:t>
      </w:r>
      <w:r w:rsidR="00986264" w:rsidRPr="0094166C">
        <w:rPr>
          <w:sz w:val="24"/>
          <w:szCs w:val="24"/>
        </w:rPr>
        <w:t>if the determination has come into operation—the determination shall not have any force or effect in respect of a period on or after the day on which the resolution was passed.</w:t>
      </w:r>
    </w:p>
    <w:p w14:paraId="71DED994" w14:textId="77777777" w:rsidR="0052277A" w:rsidRDefault="0052277A" w:rsidP="00F15470">
      <w:pPr>
        <w:pStyle w:val="BodyText21"/>
        <w:spacing w:after="60" w:line="240" w:lineRule="auto"/>
        <w:ind w:firstLine="270"/>
        <w:jc w:val="both"/>
        <w:rPr>
          <w:sz w:val="24"/>
          <w:szCs w:val="24"/>
        </w:rPr>
      </w:pPr>
      <w:r>
        <w:rPr>
          <w:sz w:val="24"/>
          <w:szCs w:val="24"/>
        </w:rPr>
        <w:t xml:space="preserve">(9) </w:t>
      </w:r>
      <w:r w:rsidR="00986264" w:rsidRPr="0094166C">
        <w:rPr>
          <w:sz w:val="24"/>
          <w:szCs w:val="24"/>
        </w:rPr>
        <w:t>Subject to sub-section (8), remuneration to which a determination applies shall, notwithstanding the provisions of any law of Australia, be paid in accordance with the determination out of the Consolidated Revenue Fund, which is appropriated accordingly.</w:t>
      </w:r>
    </w:p>
    <w:p w14:paraId="0D4DF3E9" w14:textId="77777777" w:rsidR="0052277A" w:rsidRDefault="0052277A">
      <w:pPr>
        <w:rPr>
          <w:rFonts w:ascii="Times New Roman" w:eastAsia="Times New Roman" w:hAnsi="Times New Roman" w:cs="Times New Roman"/>
        </w:rPr>
      </w:pPr>
      <w:r>
        <w:br w:type="page"/>
      </w:r>
    </w:p>
    <w:p w14:paraId="0292EFEA" w14:textId="77777777" w:rsidR="000B4F48" w:rsidRPr="00775054" w:rsidRDefault="00986264" w:rsidP="00F15470">
      <w:pPr>
        <w:pStyle w:val="Bodytext50"/>
        <w:spacing w:before="120" w:after="60" w:line="240" w:lineRule="auto"/>
        <w:jc w:val="both"/>
        <w:rPr>
          <w:rStyle w:val="Bodytext585pt"/>
          <w:b/>
          <w:sz w:val="20"/>
          <w:szCs w:val="24"/>
        </w:rPr>
      </w:pPr>
      <w:r w:rsidRPr="00775054">
        <w:rPr>
          <w:rStyle w:val="Bodytext585pt"/>
          <w:b/>
          <w:sz w:val="20"/>
          <w:szCs w:val="24"/>
        </w:rPr>
        <w:lastRenderedPageBreak/>
        <w:t>Tribun</w:t>
      </w:r>
      <w:r w:rsidR="00775054">
        <w:rPr>
          <w:rStyle w:val="Bodytext585pt"/>
          <w:b/>
          <w:sz w:val="20"/>
          <w:szCs w:val="24"/>
        </w:rPr>
        <w:t>al to make reports and determin</w:t>
      </w:r>
      <w:r w:rsidRPr="00775054">
        <w:rPr>
          <w:rStyle w:val="Bodytext585pt"/>
          <w:b/>
          <w:sz w:val="20"/>
          <w:szCs w:val="24"/>
        </w:rPr>
        <w:t>ations annually.</w:t>
      </w:r>
    </w:p>
    <w:p w14:paraId="5A0A954F" w14:textId="77777777" w:rsidR="000B4F48" w:rsidRPr="0094166C" w:rsidRDefault="0052277A" w:rsidP="00F15470">
      <w:pPr>
        <w:pStyle w:val="BodyText21"/>
        <w:tabs>
          <w:tab w:val="left" w:pos="630"/>
        </w:tabs>
        <w:spacing w:line="240" w:lineRule="auto"/>
        <w:ind w:firstLine="270"/>
        <w:jc w:val="both"/>
        <w:rPr>
          <w:sz w:val="24"/>
          <w:szCs w:val="24"/>
        </w:rPr>
      </w:pPr>
      <w:r w:rsidRPr="0052277A">
        <w:rPr>
          <w:b/>
          <w:sz w:val="24"/>
          <w:szCs w:val="24"/>
        </w:rPr>
        <w:t>8.</w:t>
      </w:r>
      <w:r>
        <w:rPr>
          <w:sz w:val="24"/>
          <w:szCs w:val="24"/>
        </w:rPr>
        <w:tab/>
      </w:r>
      <w:r w:rsidR="00986264" w:rsidRPr="0094166C">
        <w:rPr>
          <w:sz w:val="24"/>
          <w:szCs w:val="24"/>
        </w:rPr>
        <w:t>The Tribunal shall, as soon as practicable after the commencement of this Act, and at subsequent intervals of not more than 1 year, make at the one time—</w:t>
      </w:r>
    </w:p>
    <w:p w14:paraId="630EE578" w14:textId="4E970230" w:rsidR="000B4F48" w:rsidRPr="0094166C" w:rsidRDefault="0052277A" w:rsidP="00F15470">
      <w:pPr>
        <w:pStyle w:val="BodyText21"/>
        <w:spacing w:after="60" w:line="240" w:lineRule="auto"/>
        <w:ind w:firstLine="270"/>
        <w:jc w:val="both"/>
        <w:rPr>
          <w:sz w:val="24"/>
          <w:szCs w:val="24"/>
        </w:rPr>
      </w:pPr>
      <w:r>
        <w:rPr>
          <w:sz w:val="24"/>
          <w:szCs w:val="24"/>
        </w:rPr>
        <w:t xml:space="preserve">(a) </w:t>
      </w:r>
      <w:r w:rsidR="00986264" w:rsidRPr="0094166C">
        <w:rPr>
          <w:sz w:val="24"/>
          <w:szCs w:val="24"/>
        </w:rPr>
        <w:t>reports on the matters referred to in sub-sections 6(1) and (2); and</w:t>
      </w:r>
    </w:p>
    <w:p w14:paraId="4D862168" w14:textId="541F4496" w:rsidR="000B4F48" w:rsidRPr="0094166C" w:rsidRDefault="0052277A" w:rsidP="00F15470">
      <w:pPr>
        <w:pStyle w:val="BodyText21"/>
        <w:spacing w:after="60" w:line="240" w:lineRule="auto"/>
        <w:ind w:firstLine="270"/>
        <w:jc w:val="both"/>
        <w:rPr>
          <w:sz w:val="24"/>
          <w:szCs w:val="24"/>
        </w:rPr>
      </w:pPr>
      <w:r>
        <w:rPr>
          <w:sz w:val="24"/>
          <w:szCs w:val="24"/>
        </w:rPr>
        <w:t xml:space="preserve">(b) </w:t>
      </w:r>
      <w:r w:rsidR="00986264" w:rsidRPr="0094166C">
        <w:rPr>
          <w:sz w:val="24"/>
          <w:szCs w:val="24"/>
        </w:rPr>
        <w:t>determinations in respect of the matters referred to in sub</w:t>
      </w:r>
      <w:r w:rsidR="00986264" w:rsidRPr="0094166C">
        <w:rPr>
          <w:sz w:val="24"/>
          <w:szCs w:val="24"/>
        </w:rPr>
        <w:softHyphen/>
        <w:t>sections 7(1), (2) and (3).</w:t>
      </w:r>
    </w:p>
    <w:p w14:paraId="2DBC7371" w14:textId="77777777" w:rsidR="00775054" w:rsidRPr="00775054" w:rsidRDefault="00775054" w:rsidP="00F15470">
      <w:pPr>
        <w:pStyle w:val="Bodytext50"/>
        <w:spacing w:before="120" w:after="60" w:line="240" w:lineRule="auto"/>
        <w:jc w:val="both"/>
        <w:rPr>
          <w:rStyle w:val="Bodytext585pt"/>
          <w:b/>
          <w:sz w:val="20"/>
          <w:szCs w:val="24"/>
        </w:rPr>
      </w:pPr>
      <w:r w:rsidRPr="00775054">
        <w:rPr>
          <w:rStyle w:val="Bodytext585pt"/>
          <w:b/>
          <w:sz w:val="20"/>
          <w:szCs w:val="24"/>
        </w:rPr>
        <w:t>Resignation and removal from office.</w:t>
      </w:r>
    </w:p>
    <w:p w14:paraId="31A575AB" w14:textId="62D2FE17" w:rsidR="000B4F48" w:rsidRPr="0094166C" w:rsidRDefault="0052277A" w:rsidP="00F15470">
      <w:pPr>
        <w:pStyle w:val="BodyText21"/>
        <w:spacing w:line="240" w:lineRule="auto"/>
        <w:ind w:firstLine="270"/>
        <w:jc w:val="both"/>
        <w:rPr>
          <w:sz w:val="24"/>
          <w:szCs w:val="24"/>
        </w:rPr>
      </w:pPr>
      <w:r w:rsidRPr="0052277A">
        <w:rPr>
          <w:b/>
          <w:sz w:val="24"/>
          <w:szCs w:val="24"/>
        </w:rPr>
        <w:t>9.</w:t>
      </w:r>
      <w:r w:rsidR="00173D62">
        <w:rPr>
          <w:b/>
          <w:sz w:val="24"/>
          <w:szCs w:val="24"/>
        </w:rPr>
        <w:t xml:space="preserve"> </w:t>
      </w:r>
      <w:r w:rsidR="00986264" w:rsidRPr="0094166C">
        <w:rPr>
          <w:sz w:val="24"/>
          <w:szCs w:val="24"/>
        </w:rPr>
        <w:t>(1) A member may resign his office by writing signed by him and delivered to the Governor-General.</w:t>
      </w:r>
    </w:p>
    <w:p w14:paraId="339FDCC4" w14:textId="77777777" w:rsidR="000B4F48" w:rsidRPr="0094166C" w:rsidRDefault="0052277A" w:rsidP="00F15470">
      <w:pPr>
        <w:pStyle w:val="BodyText21"/>
        <w:spacing w:line="240" w:lineRule="auto"/>
        <w:ind w:firstLine="360"/>
        <w:jc w:val="both"/>
        <w:rPr>
          <w:sz w:val="24"/>
          <w:szCs w:val="24"/>
        </w:rPr>
      </w:pPr>
      <w:r>
        <w:rPr>
          <w:sz w:val="24"/>
          <w:szCs w:val="24"/>
        </w:rPr>
        <w:t xml:space="preserve">(2) </w:t>
      </w:r>
      <w:r w:rsidR="00986264" w:rsidRPr="0094166C">
        <w:rPr>
          <w:sz w:val="24"/>
          <w:szCs w:val="24"/>
        </w:rPr>
        <w:t>The Governor-General may remove a member from office for misbehaviour or physical or mental incapacity.</w:t>
      </w:r>
    </w:p>
    <w:p w14:paraId="16E51529" w14:textId="123BC129" w:rsidR="000B4F48" w:rsidRPr="0094166C" w:rsidRDefault="0052277A" w:rsidP="00F15470">
      <w:pPr>
        <w:pStyle w:val="BodyText21"/>
        <w:spacing w:line="240" w:lineRule="auto"/>
        <w:ind w:firstLine="360"/>
        <w:jc w:val="both"/>
        <w:rPr>
          <w:sz w:val="24"/>
          <w:szCs w:val="24"/>
        </w:rPr>
      </w:pPr>
      <w:r>
        <w:rPr>
          <w:sz w:val="24"/>
          <w:szCs w:val="24"/>
        </w:rPr>
        <w:t xml:space="preserve">(3) </w:t>
      </w:r>
      <w:r w:rsidR="00986264" w:rsidRPr="0094166C">
        <w:rPr>
          <w:sz w:val="24"/>
          <w:szCs w:val="24"/>
        </w:rPr>
        <w:t>A member ceases to hold office if he becomes a person mentioned in sub-section 4(4).</w:t>
      </w:r>
    </w:p>
    <w:p w14:paraId="6D698415" w14:textId="77777777" w:rsidR="000B4F48" w:rsidRPr="00775054" w:rsidRDefault="00986264" w:rsidP="00F15470">
      <w:pPr>
        <w:pStyle w:val="Bodytext50"/>
        <w:spacing w:before="120" w:after="60" w:line="240" w:lineRule="auto"/>
        <w:jc w:val="both"/>
        <w:rPr>
          <w:rStyle w:val="Bodytext585pt"/>
          <w:b/>
          <w:sz w:val="20"/>
          <w:szCs w:val="24"/>
        </w:rPr>
      </w:pPr>
      <w:r w:rsidRPr="00775054">
        <w:rPr>
          <w:rStyle w:val="Bodytext585pt"/>
          <w:b/>
          <w:sz w:val="20"/>
          <w:szCs w:val="24"/>
        </w:rPr>
        <w:t>Meetings of the Tribunal.</w:t>
      </w:r>
    </w:p>
    <w:p w14:paraId="03FD10B2" w14:textId="3AE494EC" w:rsidR="000B4F48" w:rsidRPr="0094166C" w:rsidRDefault="0052277A" w:rsidP="00F15470">
      <w:pPr>
        <w:pStyle w:val="BodyText21"/>
        <w:spacing w:after="60" w:line="240" w:lineRule="auto"/>
        <w:ind w:firstLine="270"/>
        <w:jc w:val="both"/>
        <w:rPr>
          <w:sz w:val="24"/>
          <w:szCs w:val="24"/>
        </w:rPr>
      </w:pPr>
      <w:r w:rsidRPr="0052277A">
        <w:rPr>
          <w:b/>
          <w:sz w:val="24"/>
          <w:szCs w:val="24"/>
        </w:rPr>
        <w:t>10.</w:t>
      </w:r>
      <w:r w:rsidR="00173D62">
        <w:rPr>
          <w:b/>
          <w:sz w:val="24"/>
          <w:szCs w:val="24"/>
        </w:rPr>
        <w:t xml:space="preserve"> </w:t>
      </w:r>
      <w:r w:rsidR="00986264" w:rsidRPr="0094166C">
        <w:rPr>
          <w:sz w:val="24"/>
          <w:szCs w:val="24"/>
        </w:rPr>
        <w:t>(1) The Chairman may convene meetings of the Tribunal.</w:t>
      </w:r>
    </w:p>
    <w:p w14:paraId="1E7621E8" w14:textId="77777777" w:rsidR="000B4F48" w:rsidRPr="0094166C" w:rsidRDefault="0052277A" w:rsidP="00F15470">
      <w:pPr>
        <w:pStyle w:val="BodyText21"/>
        <w:spacing w:after="60" w:line="240" w:lineRule="auto"/>
        <w:ind w:firstLine="360"/>
        <w:jc w:val="both"/>
        <w:rPr>
          <w:sz w:val="24"/>
          <w:szCs w:val="24"/>
        </w:rPr>
      </w:pPr>
      <w:r>
        <w:rPr>
          <w:sz w:val="24"/>
          <w:szCs w:val="24"/>
        </w:rPr>
        <w:t xml:space="preserve">(2) </w:t>
      </w:r>
      <w:r w:rsidR="00986264" w:rsidRPr="0094166C">
        <w:rPr>
          <w:sz w:val="24"/>
          <w:szCs w:val="24"/>
        </w:rPr>
        <w:t>The Chairman shall preside at all meetings of the Tribunal at which he is present.</w:t>
      </w:r>
    </w:p>
    <w:p w14:paraId="34FF7F53" w14:textId="77777777" w:rsidR="000B4F48" w:rsidRPr="0094166C" w:rsidRDefault="0052277A" w:rsidP="00F15470">
      <w:pPr>
        <w:pStyle w:val="BodyText21"/>
        <w:spacing w:after="60" w:line="240" w:lineRule="auto"/>
        <w:ind w:firstLine="360"/>
        <w:jc w:val="both"/>
        <w:rPr>
          <w:sz w:val="24"/>
          <w:szCs w:val="24"/>
        </w:rPr>
      </w:pPr>
      <w:r>
        <w:rPr>
          <w:sz w:val="24"/>
          <w:szCs w:val="24"/>
        </w:rPr>
        <w:t xml:space="preserve">(3) </w:t>
      </w:r>
      <w:r w:rsidR="00986264" w:rsidRPr="0094166C">
        <w:rPr>
          <w:sz w:val="24"/>
          <w:szCs w:val="24"/>
        </w:rPr>
        <w:t>In the event of the absence of the Chairman from a meeting, another member nominated by the Chairman shall preside.</w:t>
      </w:r>
    </w:p>
    <w:p w14:paraId="48C455EA" w14:textId="77777777" w:rsidR="000B4F48" w:rsidRPr="0094166C" w:rsidRDefault="0052277A" w:rsidP="00F15470">
      <w:pPr>
        <w:pStyle w:val="BodyText21"/>
        <w:tabs>
          <w:tab w:val="left" w:pos="704"/>
        </w:tabs>
        <w:spacing w:line="240" w:lineRule="auto"/>
        <w:ind w:firstLine="0"/>
        <w:jc w:val="both"/>
        <w:rPr>
          <w:sz w:val="24"/>
          <w:szCs w:val="24"/>
        </w:rPr>
      </w:pPr>
      <w:r>
        <w:rPr>
          <w:sz w:val="24"/>
          <w:szCs w:val="24"/>
        </w:rPr>
        <w:t xml:space="preserve">(4) </w:t>
      </w:r>
      <w:r w:rsidR="00986264" w:rsidRPr="0094166C">
        <w:rPr>
          <w:sz w:val="24"/>
          <w:szCs w:val="24"/>
        </w:rPr>
        <w:t>At a meeting of the Tribunal—</w:t>
      </w:r>
    </w:p>
    <w:p w14:paraId="2F20C5C7" w14:textId="77777777" w:rsidR="000B4F48" w:rsidRPr="0094166C" w:rsidRDefault="0052277A" w:rsidP="00F15470">
      <w:pPr>
        <w:pStyle w:val="BodyText21"/>
        <w:spacing w:after="60" w:line="240" w:lineRule="auto"/>
        <w:ind w:firstLine="270"/>
        <w:jc w:val="both"/>
        <w:rPr>
          <w:sz w:val="24"/>
          <w:szCs w:val="24"/>
        </w:rPr>
      </w:pPr>
      <w:r>
        <w:rPr>
          <w:sz w:val="24"/>
          <w:szCs w:val="24"/>
        </w:rPr>
        <w:t xml:space="preserve">(a) </w:t>
      </w:r>
      <w:r w:rsidR="00986264" w:rsidRPr="0094166C">
        <w:rPr>
          <w:sz w:val="24"/>
          <w:szCs w:val="24"/>
        </w:rPr>
        <w:t>the procedure shall be as determined by the Tribunal;</w:t>
      </w:r>
    </w:p>
    <w:p w14:paraId="17503FFB" w14:textId="77777777" w:rsidR="000B4F48" w:rsidRPr="0094166C" w:rsidRDefault="0052277A" w:rsidP="00F15470">
      <w:pPr>
        <w:pStyle w:val="BodyText21"/>
        <w:spacing w:after="60" w:line="240" w:lineRule="auto"/>
        <w:ind w:firstLine="270"/>
        <w:jc w:val="both"/>
        <w:rPr>
          <w:sz w:val="24"/>
          <w:szCs w:val="24"/>
        </w:rPr>
      </w:pPr>
      <w:r>
        <w:rPr>
          <w:sz w:val="24"/>
          <w:szCs w:val="24"/>
        </w:rPr>
        <w:t xml:space="preserve">(b) </w:t>
      </w:r>
      <w:r w:rsidR="00986264" w:rsidRPr="0094166C">
        <w:rPr>
          <w:sz w:val="24"/>
          <w:szCs w:val="24"/>
        </w:rPr>
        <w:t>two members constitute a quorum;</w:t>
      </w:r>
    </w:p>
    <w:p w14:paraId="7CB34E1B" w14:textId="77777777" w:rsidR="000B4F48" w:rsidRPr="0094166C" w:rsidRDefault="0052277A" w:rsidP="00F15470">
      <w:pPr>
        <w:pStyle w:val="BodyText21"/>
        <w:spacing w:after="60" w:line="240" w:lineRule="auto"/>
        <w:ind w:firstLine="270"/>
        <w:jc w:val="both"/>
        <w:rPr>
          <w:sz w:val="24"/>
          <w:szCs w:val="24"/>
        </w:rPr>
      </w:pPr>
      <w:r>
        <w:rPr>
          <w:sz w:val="24"/>
          <w:szCs w:val="24"/>
        </w:rPr>
        <w:t xml:space="preserve">(c) </w:t>
      </w:r>
      <w:r w:rsidR="00986264" w:rsidRPr="0094166C">
        <w:rPr>
          <w:sz w:val="24"/>
          <w:szCs w:val="24"/>
        </w:rPr>
        <w:t>all questions shall be decided by a majority of votes of the members present and voting; and</w:t>
      </w:r>
    </w:p>
    <w:p w14:paraId="05C85E6B" w14:textId="77777777" w:rsidR="000B4F48" w:rsidRPr="0094166C" w:rsidRDefault="0052277A" w:rsidP="00F15470">
      <w:pPr>
        <w:pStyle w:val="BodyText21"/>
        <w:spacing w:after="60" w:line="240" w:lineRule="auto"/>
        <w:ind w:left="720" w:hanging="450"/>
        <w:jc w:val="both"/>
        <w:rPr>
          <w:sz w:val="24"/>
          <w:szCs w:val="24"/>
        </w:rPr>
      </w:pPr>
      <w:r>
        <w:rPr>
          <w:sz w:val="24"/>
          <w:szCs w:val="24"/>
        </w:rPr>
        <w:t xml:space="preserve">(d) </w:t>
      </w:r>
      <w:r w:rsidR="00986264" w:rsidRPr="0094166C">
        <w:rPr>
          <w:sz w:val="24"/>
          <w:szCs w:val="24"/>
        </w:rPr>
        <w:t>the member presiding has a deliberative vote and, in the event of an equality of votes, also has a casting vote.</w:t>
      </w:r>
    </w:p>
    <w:p w14:paraId="72DAE50B" w14:textId="77777777" w:rsidR="000B4F48" w:rsidRPr="00775054" w:rsidRDefault="00986264" w:rsidP="00F15470">
      <w:pPr>
        <w:pStyle w:val="Bodytext50"/>
        <w:spacing w:before="120" w:after="60" w:line="240" w:lineRule="auto"/>
        <w:jc w:val="both"/>
        <w:rPr>
          <w:rStyle w:val="Bodytext585pt"/>
          <w:b/>
          <w:sz w:val="20"/>
          <w:szCs w:val="24"/>
        </w:rPr>
      </w:pPr>
      <w:r w:rsidRPr="00775054">
        <w:rPr>
          <w:rStyle w:val="Bodytext585pt"/>
          <w:b/>
          <w:sz w:val="20"/>
          <w:szCs w:val="24"/>
        </w:rPr>
        <w:t>Method of inquiry by Tribunal.</w:t>
      </w:r>
    </w:p>
    <w:p w14:paraId="5291BD59" w14:textId="0E030E49" w:rsidR="000B4F48" w:rsidRPr="0094166C" w:rsidRDefault="0052277A" w:rsidP="00F15470">
      <w:pPr>
        <w:pStyle w:val="BodyText21"/>
        <w:tabs>
          <w:tab w:val="left" w:pos="704"/>
        </w:tabs>
        <w:spacing w:line="240" w:lineRule="auto"/>
        <w:ind w:firstLine="0"/>
        <w:jc w:val="both"/>
        <w:rPr>
          <w:sz w:val="24"/>
          <w:szCs w:val="24"/>
        </w:rPr>
      </w:pPr>
      <w:r w:rsidRPr="0052277A">
        <w:rPr>
          <w:b/>
          <w:sz w:val="24"/>
          <w:szCs w:val="24"/>
        </w:rPr>
        <w:t>11.</w:t>
      </w:r>
      <w:r w:rsidR="00173D62">
        <w:rPr>
          <w:b/>
          <w:sz w:val="24"/>
          <w:szCs w:val="24"/>
        </w:rPr>
        <w:t xml:space="preserve"> </w:t>
      </w:r>
      <w:r w:rsidR="00986264" w:rsidRPr="0094166C">
        <w:rPr>
          <w:sz w:val="24"/>
          <w:szCs w:val="24"/>
        </w:rPr>
        <w:t>(1) In the performance of the functions of the Tribunal—</w:t>
      </w:r>
    </w:p>
    <w:p w14:paraId="3C19DDF8" w14:textId="77777777" w:rsidR="000B4F48" w:rsidRPr="0094166C" w:rsidRDefault="0052277A" w:rsidP="00F15470">
      <w:pPr>
        <w:pStyle w:val="BodyText21"/>
        <w:spacing w:after="60" w:line="240" w:lineRule="auto"/>
        <w:ind w:firstLine="270"/>
        <w:jc w:val="both"/>
        <w:rPr>
          <w:sz w:val="24"/>
          <w:szCs w:val="24"/>
        </w:rPr>
      </w:pPr>
      <w:r>
        <w:rPr>
          <w:sz w:val="24"/>
          <w:szCs w:val="24"/>
        </w:rPr>
        <w:t xml:space="preserve">(a) </w:t>
      </w:r>
      <w:r w:rsidR="00986264" w:rsidRPr="0094166C">
        <w:rPr>
          <w:sz w:val="24"/>
          <w:szCs w:val="24"/>
        </w:rPr>
        <w:t>the Tribunal may inform itself in such manner as it thinks fit;</w:t>
      </w:r>
    </w:p>
    <w:p w14:paraId="47653661" w14:textId="77777777" w:rsidR="000B4F48" w:rsidRPr="0094166C" w:rsidRDefault="0052277A" w:rsidP="00F15470">
      <w:pPr>
        <w:pStyle w:val="BodyText21"/>
        <w:spacing w:after="60" w:line="240" w:lineRule="auto"/>
        <w:ind w:firstLine="270"/>
        <w:jc w:val="both"/>
        <w:rPr>
          <w:sz w:val="24"/>
          <w:szCs w:val="24"/>
        </w:rPr>
      </w:pPr>
      <w:r>
        <w:rPr>
          <w:sz w:val="24"/>
          <w:szCs w:val="24"/>
        </w:rPr>
        <w:t>(</w:t>
      </w:r>
      <w:r w:rsidR="00775054">
        <w:rPr>
          <w:sz w:val="24"/>
          <w:szCs w:val="24"/>
        </w:rPr>
        <w:t>b</w:t>
      </w:r>
      <w:r>
        <w:rPr>
          <w:sz w:val="24"/>
          <w:szCs w:val="24"/>
        </w:rPr>
        <w:t>)</w:t>
      </w:r>
      <w:r w:rsidR="00775054">
        <w:rPr>
          <w:sz w:val="24"/>
          <w:szCs w:val="24"/>
        </w:rPr>
        <w:t xml:space="preserve"> </w:t>
      </w:r>
      <w:r w:rsidR="00986264" w:rsidRPr="0094166C">
        <w:rPr>
          <w:sz w:val="24"/>
          <w:szCs w:val="24"/>
        </w:rPr>
        <w:t>the Tribunal may receive written or oral statements;</w:t>
      </w:r>
    </w:p>
    <w:p w14:paraId="10E4056D" w14:textId="77777777" w:rsidR="000B4F48" w:rsidRPr="0094166C" w:rsidRDefault="00775054" w:rsidP="00F15470">
      <w:pPr>
        <w:pStyle w:val="BodyText21"/>
        <w:spacing w:after="60" w:line="240" w:lineRule="auto"/>
        <w:ind w:firstLine="270"/>
        <w:jc w:val="both"/>
        <w:rPr>
          <w:sz w:val="24"/>
          <w:szCs w:val="24"/>
        </w:rPr>
      </w:pPr>
      <w:r>
        <w:rPr>
          <w:sz w:val="24"/>
          <w:szCs w:val="24"/>
        </w:rPr>
        <w:t xml:space="preserve">(c) </w:t>
      </w:r>
      <w:r w:rsidR="00986264" w:rsidRPr="0094166C">
        <w:rPr>
          <w:sz w:val="24"/>
          <w:szCs w:val="24"/>
        </w:rPr>
        <w:t>the Tribunal is not required to conduct any proceeding in a formal manner; and</w:t>
      </w:r>
    </w:p>
    <w:p w14:paraId="16B0E670" w14:textId="77777777" w:rsidR="000B4F48" w:rsidRPr="0094166C" w:rsidRDefault="00775054" w:rsidP="00F15470">
      <w:pPr>
        <w:pStyle w:val="BodyText21"/>
        <w:spacing w:after="60" w:line="240" w:lineRule="auto"/>
        <w:ind w:firstLine="270"/>
        <w:jc w:val="both"/>
        <w:rPr>
          <w:sz w:val="24"/>
          <w:szCs w:val="24"/>
        </w:rPr>
      </w:pPr>
      <w:r>
        <w:rPr>
          <w:sz w:val="24"/>
          <w:szCs w:val="24"/>
        </w:rPr>
        <w:t xml:space="preserve">(d) </w:t>
      </w:r>
      <w:r w:rsidR="00986264" w:rsidRPr="0094166C">
        <w:rPr>
          <w:sz w:val="24"/>
          <w:szCs w:val="24"/>
        </w:rPr>
        <w:t>the Tribunal is not bound by the rules of evidence.</w:t>
      </w:r>
    </w:p>
    <w:p w14:paraId="1B85273D" w14:textId="77777777" w:rsidR="000B4F48" w:rsidRPr="0094166C" w:rsidRDefault="00986264" w:rsidP="00F15470">
      <w:pPr>
        <w:pStyle w:val="BodyText21"/>
        <w:spacing w:after="60" w:line="240" w:lineRule="auto"/>
        <w:ind w:firstLine="270"/>
        <w:jc w:val="both"/>
        <w:rPr>
          <w:sz w:val="24"/>
          <w:szCs w:val="24"/>
        </w:rPr>
      </w:pPr>
      <w:r w:rsidRPr="0094166C">
        <w:rPr>
          <w:sz w:val="24"/>
          <w:szCs w:val="24"/>
        </w:rPr>
        <w:t>(2) The Minister may, if he thinks fit, appoint a person or persons to assist the Tribunal in an inquiry.</w:t>
      </w:r>
    </w:p>
    <w:p w14:paraId="5E3F0CC0" w14:textId="77777777" w:rsidR="000B4F48" w:rsidRPr="00775054" w:rsidRDefault="00986264" w:rsidP="00F15470">
      <w:pPr>
        <w:pStyle w:val="Bodytext50"/>
        <w:spacing w:before="120" w:after="60" w:line="240" w:lineRule="auto"/>
        <w:jc w:val="both"/>
        <w:rPr>
          <w:rStyle w:val="Bodytext585pt"/>
          <w:b/>
          <w:sz w:val="20"/>
          <w:szCs w:val="24"/>
        </w:rPr>
      </w:pPr>
      <w:r w:rsidRPr="00775054">
        <w:rPr>
          <w:rStyle w:val="Bodytext585pt"/>
          <w:b/>
          <w:sz w:val="20"/>
          <w:szCs w:val="24"/>
        </w:rPr>
        <w:t>Fees and allowances.</w:t>
      </w:r>
    </w:p>
    <w:p w14:paraId="27FECD18" w14:textId="791274FF" w:rsidR="00775054" w:rsidRPr="00173D62" w:rsidRDefault="00775054" w:rsidP="00173D62">
      <w:pPr>
        <w:pStyle w:val="BodyText21"/>
        <w:tabs>
          <w:tab w:val="left" w:pos="630"/>
        </w:tabs>
        <w:spacing w:line="240" w:lineRule="auto"/>
        <w:ind w:firstLine="270"/>
        <w:jc w:val="both"/>
        <w:rPr>
          <w:rStyle w:val="Bodytext4NotItalic"/>
          <w:i w:val="0"/>
          <w:iCs w:val="0"/>
          <w:sz w:val="24"/>
          <w:szCs w:val="24"/>
        </w:rPr>
      </w:pPr>
      <w:r w:rsidRPr="00775054">
        <w:rPr>
          <w:b/>
          <w:sz w:val="24"/>
          <w:szCs w:val="24"/>
        </w:rPr>
        <w:t>12.</w:t>
      </w:r>
      <w:r>
        <w:rPr>
          <w:b/>
          <w:sz w:val="24"/>
          <w:szCs w:val="24"/>
        </w:rPr>
        <w:tab/>
      </w:r>
      <w:r w:rsidR="00986264" w:rsidRPr="0094166C">
        <w:rPr>
          <w:sz w:val="24"/>
          <w:szCs w:val="24"/>
        </w:rPr>
        <w:t>A member and any person appointed under sub-section 11(2) to assist the Tribunal shall be paid such fees and allowances as are prescribed.</w:t>
      </w:r>
    </w:p>
    <w:p w14:paraId="750EEC27" w14:textId="77777777" w:rsidR="000B4F48" w:rsidRPr="00F15470" w:rsidRDefault="00986264" w:rsidP="00F15470">
      <w:pPr>
        <w:pStyle w:val="Bodytext50"/>
        <w:spacing w:before="120" w:after="60" w:line="240" w:lineRule="auto"/>
        <w:jc w:val="both"/>
        <w:rPr>
          <w:b/>
          <w:sz w:val="20"/>
          <w:szCs w:val="24"/>
        </w:rPr>
      </w:pPr>
      <w:r w:rsidRPr="00F15470">
        <w:rPr>
          <w:rStyle w:val="Bodytext585pt"/>
          <w:b/>
          <w:sz w:val="20"/>
          <w:szCs w:val="24"/>
        </w:rPr>
        <w:t>Regulations.</w:t>
      </w:r>
    </w:p>
    <w:p w14:paraId="58869D96" w14:textId="77777777" w:rsidR="000B4F48" w:rsidRDefault="00775054" w:rsidP="00F15470">
      <w:pPr>
        <w:pStyle w:val="BodyText21"/>
        <w:tabs>
          <w:tab w:val="left" w:pos="630"/>
        </w:tabs>
        <w:spacing w:line="240" w:lineRule="auto"/>
        <w:ind w:firstLine="270"/>
        <w:jc w:val="both"/>
        <w:rPr>
          <w:sz w:val="24"/>
          <w:szCs w:val="24"/>
        </w:rPr>
      </w:pPr>
      <w:r w:rsidRPr="00775054">
        <w:rPr>
          <w:b/>
          <w:sz w:val="24"/>
          <w:szCs w:val="24"/>
        </w:rPr>
        <w:t>13.</w:t>
      </w:r>
      <w:r>
        <w:rPr>
          <w:sz w:val="24"/>
          <w:szCs w:val="24"/>
        </w:rPr>
        <w:tab/>
      </w:r>
      <w:r w:rsidR="00986264" w:rsidRPr="0094166C">
        <w:rPr>
          <w:sz w:val="24"/>
          <w:szCs w:val="24"/>
        </w:rPr>
        <w:t>The Governor-General may make regulations, not inconsistent with this Act, prescribing all matters required or permitted by this Act to be prescribed, or necessary or convenient to be prescribed for carrying out or giving effect to this Act.</w:t>
      </w:r>
    </w:p>
    <w:p w14:paraId="49E4FCB4" w14:textId="77777777" w:rsidR="00F15470" w:rsidRDefault="00F15470" w:rsidP="00F15470">
      <w:pPr>
        <w:pStyle w:val="BodyText21"/>
        <w:tabs>
          <w:tab w:val="left" w:pos="630"/>
        </w:tabs>
        <w:spacing w:line="240" w:lineRule="auto"/>
        <w:ind w:firstLine="270"/>
        <w:jc w:val="center"/>
        <w:rPr>
          <w:sz w:val="24"/>
          <w:szCs w:val="24"/>
        </w:rPr>
      </w:pPr>
      <w:bookmarkStart w:id="4" w:name="_GoBack"/>
      <w:bookmarkEnd w:id="4"/>
    </w:p>
    <w:p w14:paraId="70BF64B2" w14:textId="77777777" w:rsidR="00F15470" w:rsidRPr="0094166C" w:rsidRDefault="00F15470" w:rsidP="00F15470">
      <w:pPr>
        <w:pStyle w:val="BodyText21"/>
        <w:tabs>
          <w:tab w:val="left" w:pos="630"/>
        </w:tabs>
        <w:spacing w:line="240" w:lineRule="auto"/>
        <w:ind w:firstLine="270"/>
        <w:jc w:val="center"/>
        <w:rPr>
          <w:sz w:val="24"/>
          <w:szCs w:val="24"/>
        </w:rPr>
      </w:pPr>
      <w:r>
        <w:rPr>
          <w:sz w:val="24"/>
          <w:szCs w:val="24"/>
        </w:rPr>
        <w:t>_________________________</w:t>
      </w:r>
    </w:p>
    <w:sectPr w:rsidR="00F15470" w:rsidRPr="0094166C" w:rsidSect="008552EC">
      <w:headerReference w:type="even" r:id="rId8"/>
      <w:headerReference w:type="default" r:id="rId9"/>
      <w:pgSz w:w="11909" w:h="18000" w:code="9"/>
      <w:pgMar w:top="1080" w:right="1080" w:bottom="1080" w:left="1080" w:header="446"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60C1A0" w15:done="0"/>
  <w15:commentEx w15:paraId="6178F80E" w15:done="0"/>
  <w15:commentEx w15:paraId="3E2DB598" w15:done="0"/>
  <w15:commentEx w15:paraId="0EC29F0E" w15:done="0"/>
  <w15:commentEx w15:paraId="5C2056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0C1A0" w16cid:durableId="1F44BDC2"/>
  <w16cid:commentId w16cid:paraId="6178F80E" w16cid:durableId="1F44BE0F"/>
  <w16cid:commentId w16cid:paraId="3E2DB598" w16cid:durableId="1F44BE50"/>
  <w16cid:commentId w16cid:paraId="0EC29F0E" w16cid:durableId="1F44BE5A"/>
  <w16cid:commentId w16cid:paraId="5C205653" w16cid:durableId="1F44B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C28B3" w14:textId="77777777" w:rsidR="00A72A68" w:rsidRDefault="00A72A68">
      <w:r>
        <w:separator/>
      </w:r>
    </w:p>
  </w:endnote>
  <w:endnote w:type="continuationSeparator" w:id="0">
    <w:p w14:paraId="625A6B43" w14:textId="77777777" w:rsidR="00A72A68" w:rsidRDefault="00A7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61391" w14:textId="77777777" w:rsidR="00A72A68" w:rsidRDefault="00A72A68"/>
  </w:footnote>
  <w:footnote w:type="continuationSeparator" w:id="0">
    <w:p w14:paraId="04526DD1" w14:textId="77777777" w:rsidR="00A72A68" w:rsidRDefault="00A72A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5986C" w14:textId="77777777" w:rsidR="00C820E1" w:rsidRPr="00C820E1" w:rsidRDefault="00C820E1" w:rsidP="000F7F7D">
    <w:pPr>
      <w:pStyle w:val="Header"/>
      <w:tabs>
        <w:tab w:val="clear" w:pos="4513"/>
        <w:tab w:val="clear" w:pos="9026"/>
        <w:tab w:val="center" w:pos="5040"/>
        <w:tab w:val="right" w:pos="9720"/>
      </w:tabs>
      <w:rPr>
        <w:rFonts w:ascii="Times New Roman" w:hAnsi="Times New Roman"/>
        <w:sz w:val="22"/>
        <w:lang w:val="en-IN"/>
      </w:rPr>
    </w:pPr>
    <w:r w:rsidRPr="00C820E1">
      <w:rPr>
        <w:rFonts w:ascii="Times New Roman" w:hAnsi="Times New Roman"/>
        <w:sz w:val="22"/>
        <w:lang w:val="en-IN"/>
      </w:rPr>
      <w:t>1973</w:t>
    </w:r>
    <w:r w:rsidRPr="00C820E1">
      <w:rPr>
        <w:rFonts w:ascii="Times New Roman" w:hAnsi="Times New Roman"/>
        <w:sz w:val="22"/>
        <w:lang w:val="en-IN"/>
      </w:rPr>
      <w:tab/>
    </w:r>
    <w:r w:rsidRPr="00C820E1">
      <w:rPr>
        <w:rFonts w:ascii="Times New Roman" w:hAnsi="Times New Roman"/>
        <w:i/>
        <w:sz w:val="22"/>
        <w:lang w:val="en-IN"/>
      </w:rPr>
      <w:t>Remuneration Tribunal</w:t>
    </w:r>
    <w:r w:rsidRPr="00C820E1">
      <w:rPr>
        <w:rFonts w:ascii="Times New Roman" w:hAnsi="Times New Roman"/>
        <w:sz w:val="22"/>
        <w:lang w:val="en-IN"/>
      </w:rPr>
      <w:tab/>
      <w:t>No. 215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B3E18" w14:textId="77777777" w:rsidR="00C820E1" w:rsidRPr="00C820E1" w:rsidRDefault="00C820E1" w:rsidP="000F7F7D">
    <w:pPr>
      <w:pStyle w:val="Header"/>
      <w:tabs>
        <w:tab w:val="clear" w:pos="4513"/>
        <w:tab w:val="clear" w:pos="9026"/>
        <w:tab w:val="center" w:pos="5040"/>
        <w:tab w:val="right" w:pos="9720"/>
      </w:tabs>
      <w:rPr>
        <w:rFonts w:ascii="Times New Roman" w:hAnsi="Times New Roman"/>
        <w:sz w:val="22"/>
        <w:lang w:val="en-IN"/>
      </w:rPr>
    </w:pPr>
    <w:r w:rsidRPr="00C820E1">
      <w:rPr>
        <w:rFonts w:ascii="Times New Roman" w:hAnsi="Times New Roman"/>
        <w:sz w:val="22"/>
        <w:lang w:val="en-IN"/>
      </w:rPr>
      <w:t>No. 215</w:t>
    </w:r>
    <w:r w:rsidRPr="00C820E1">
      <w:rPr>
        <w:rFonts w:ascii="Times New Roman" w:hAnsi="Times New Roman"/>
        <w:sz w:val="22"/>
        <w:lang w:val="en-IN"/>
      </w:rPr>
      <w:tab/>
    </w:r>
    <w:r w:rsidRPr="00C820E1">
      <w:rPr>
        <w:rFonts w:ascii="Times New Roman" w:hAnsi="Times New Roman"/>
        <w:i/>
        <w:sz w:val="22"/>
        <w:lang w:val="en-IN"/>
      </w:rPr>
      <w:t>Remuneration Tribunal</w:t>
    </w:r>
    <w:r w:rsidRPr="00C820E1">
      <w:rPr>
        <w:rFonts w:ascii="Times New Roman" w:hAnsi="Times New Roman"/>
        <w:sz w:val="22"/>
        <w:lang w:val="en-IN"/>
      </w:rPr>
      <w:tab/>
      <w:t>1973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4FC4"/>
    <w:multiLevelType w:val="multilevel"/>
    <w:tmpl w:val="C2607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16485"/>
    <w:multiLevelType w:val="multilevel"/>
    <w:tmpl w:val="28268D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C7696"/>
    <w:multiLevelType w:val="multilevel"/>
    <w:tmpl w:val="512437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FB6311"/>
    <w:multiLevelType w:val="multilevel"/>
    <w:tmpl w:val="8200CC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B2A02"/>
    <w:multiLevelType w:val="multilevel"/>
    <w:tmpl w:val="864A2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0E7A8A"/>
    <w:multiLevelType w:val="multilevel"/>
    <w:tmpl w:val="8F5C52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1D44B2"/>
    <w:multiLevelType w:val="hybridMultilevel"/>
    <w:tmpl w:val="8878C84C"/>
    <w:lvl w:ilvl="0" w:tplc="82A44422">
      <w:start w:val="5"/>
      <w:numFmt w:val="decimal"/>
      <w:lvlText w:val="%1."/>
      <w:lvlJc w:val="left"/>
      <w:pPr>
        <w:ind w:left="630" w:hanging="360"/>
      </w:pPr>
      <w:rPr>
        <w:rFonts w:hint="default"/>
        <w:b/>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7">
    <w:nsid w:val="2E022F5E"/>
    <w:multiLevelType w:val="multilevel"/>
    <w:tmpl w:val="B0DC9E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3324C0"/>
    <w:multiLevelType w:val="multilevel"/>
    <w:tmpl w:val="0D585D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9551A6"/>
    <w:multiLevelType w:val="hybridMultilevel"/>
    <w:tmpl w:val="4F7E2384"/>
    <w:lvl w:ilvl="0" w:tplc="5226074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417D1BE3"/>
    <w:multiLevelType w:val="multilevel"/>
    <w:tmpl w:val="16F623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4F20B5"/>
    <w:multiLevelType w:val="multilevel"/>
    <w:tmpl w:val="CF2C4F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313A26"/>
    <w:multiLevelType w:val="multilevel"/>
    <w:tmpl w:val="F6DC05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1C2A8B"/>
    <w:multiLevelType w:val="multilevel"/>
    <w:tmpl w:val="BC70B1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15461C"/>
    <w:multiLevelType w:val="multilevel"/>
    <w:tmpl w:val="C554E4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3"/>
  </w:num>
  <w:num w:numId="5">
    <w:abstractNumId w:val="10"/>
  </w:num>
  <w:num w:numId="6">
    <w:abstractNumId w:val="11"/>
  </w:num>
  <w:num w:numId="7">
    <w:abstractNumId w:val="13"/>
  </w:num>
  <w:num w:numId="8">
    <w:abstractNumId w:val="7"/>
  </w:num>
  <w:num w:numId="9">
    <w:abstractNumId w:val="0"/>
  </w:num>
  <w:num w:numId="10">
    <w:abstractNumId w:val="8"/>
  </w:num>
  <w:num w:numId="11">
    <w:abstractNumId w:val="14"/>
  </w:num>
  <w:num w:numId="12">
    <w:abstractNumId w:val="12"/>
  </w:num>
  <w:num w:numId="13">
    <w:abstractNumId w:val="1"/>
  </w:num>
  <w:num w:numId="14">
    <w:abstractNumId w:val="9"/>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B4F48"/>
    <w:rsid w:val="000B4F48"/>
    <w:rsid w:val="000F7F7D"/>
    <w:rsid w:val="00173D62"/>
    <w:rsid w:val="001832AB"/>
    <w:rsid w:val="00391CFD"/>
    <w:rsid w:val="0052277A"/>
    <w:rsid w:val="00775054"/>
    <w:rsid w:val="008552EC"/>
    <w:rsid w:val="0094166C"/>
    <w:rsid w:val="00986264"/>
    <w:rsid w:val="009A78C6"/>
    <w:rsid w:val="00A72A68"/>
    <w:rsid w:val="00AE273E"/>
    <w:rsid w:val="00C820E1"/>
    <w:rsid w:val="00D033CD"/>
    <w:rsid w:val="00D67041"/>
    <w:rsid w:val="00EF1421"/>
    <w:rsid w:val="00F1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6"/>
      <w:szCs w:val="16"/>
      <w:u w:val="none"/>
    </w:rPr>
  </w:style>
  <w:style w:type="character" w:customStyle="1" w:styleId="Bodytext585pt">
    <w:name w:val="Body text (5) + 8.5 pt"/>
    <w:basedOn w:val="Bodytext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Heading22">
    <w:name w:val="Heading #2 (2)_"/>
    <w:basedOn w:val="DefaultParagraphFont"/>
    <w:link w:val="Heading220"/>
    <w:rPr>
      <w:rFonts w:ascii="Book Antiqua" w:eastAsia="Book Antiqua" w:hAnsi="Book Antiqua" w:cs="Book Antiqua"/>
      <w:b/>
      <w:bCs/>
      <w:i w:val="0"/>
      <w:iCs w:val="0"/>
      <w:smallCaps w:val="0"/>
      <w:strike w:val="0"/>
      <w:spacing w:val="-10"/>
      <w:sz w:val="34"/>
      <w:szCs w:val="34"/>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sz w:val="25"/>
      <w:szCs w:val="25"/>
      <w:u w:val="none"/>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pacing w:val="-10"/>
      <w:sz w:val="34"/>
      <w:szCs w:val="34"/>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0"/>
      <w:szCs w:val="20"/>
      <w:u w:val="none"/>
    </w:rPr>
  </w:style>
  <w:style w:type="character" w:customStyle="1" w:styleId="Bodytext645pt">
    <w:name w:val="Body text (6) + 4.5 pt"/>
    <w:basedOn w:val="Bodytext6"/>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aliases w:val="Spacing -1 pt"/>
    <w:basedOn w:val="Bodytext"/>
    <w:rPr>
      <w:rFonts w:ascii="Times New Roman" w:eastAsia="Times New Roman" w:hAnsi="Times New Roman" w:cs="Times New Roman"/>
      <w:b/>
      <w:bCs/>
      <w:i w:val="0"/>
      <w:iCs w:val="0"/>
      <w:smallCaps w:val="0"/>
      <w:strike w:val="0"/>
      <w:color w:val="000000"/>
      <w:spacing w:val="-20"/>
      <w:w w:val="100"/>
      <w:position w:val="0"/>
      <w:sz w:val="22"/>
      <w:szCs w:val="22"/>
      <w:u w:val="none"/>
      <w:lang w:val="en-US"/>
    </w:rPr>
  </w:style>
  <w:style w:type="character" w:customStyle="1" w:styleId="BodytextCordiaUPC">
    <w:name w:val="Body text + CordiaUPC"/>
    <w:aliases w:val="26 pt,Bold"/>
    <w:basedOn w:val="Bodytext"/>
    <w:rPr>
      <w:rFonts w:ascii="CordiaUPC" w:eastAsia="CordiaUPC" w:hAnsi="CordiaUPC" w:cs="CordiaUPC"/>
      <w:b/>
      <w:bCs/>
      <w:i w:val="0"/>
      <w:iCs w:val="0"/>
      <w:smallCaps w:val="0"/>
      <w:strike w:val="0"/>
      <w:color w:val="000000"/>
      <w:spacing w:val="0"/>
      <w:w w:val="100"/>
      <w:position w:val="0"/>
      <w:sz w:val="52"/>
      <w:szCs w:val="52"/>
      <w:u w:val="none"/>
    </w:rPr>
  </w:style>
  <w:style w:type="paragraph" w:customStyle="1" w:styleId="Bodytext50">
    <w:name w:val="Body text (5)"/>
    <w:basedOn w:val="Normal"/>
    <w:link w:val="Bodytext5"/>
    <w:pPr>
      <w:spacing w:line="0" w:lineRule="atLeast"/>
    </w:pPr>
    <w:rPr>
      <w:rFonts w:ascii="Times New Roman" w:eastAsia="Times New Roman" w:hAnsi="Times New Roman" w:cs="Times New Roman"/>
      <w:sz w:val="16"/>
      <w:szCs w:val="16"/>
    </w:rPr>
  </w:style>
  <w:style w:type="paragraph" w:customStyle="1" w:styleId="BodyText21">
    <w:name w:val="Body Text2"/>
    <w:basedOn w:val="Normal"/>
    <w:link w:val="Bodytext"/>
    <w:pPr>
      <w:spacing w:line="240" w:lineRule="exact"/>
      <w:ind w:hanging="420"/>
    </w:pPr>
    <w:rPr>
      <w:rFonts w:ascii="Times New Roman" w:eastAsia="Times New Roman" w:hAnsi="Times New Roman" w:cs="Times New Roman"/>
      <w:sz w:val="22"/>
      <w:szCs w:val="22"/>
    </w:rPr>
  </w:style>
  <w:style w:type="paragraph" w:customStyle="1" w:styleId="Heading220">
    <w:name w:val="Heading #2 (2)"/>
    <w:basedOn w:val="Normal"/>
    <w:link w:val="Heading22"/>
    <w:pPr>
      <w:spacing w:line="0" w:lineRule="atLeast"/>
      <w:jc w:val="center"/>
      <w:outlineLvl w:val="1"/>
    </w:pPr>
    <w:rPr>
      <w:rFonts w:ascii="Book Antiqua" w:eastAsia="Book Antiqua" w:hAnsi="Book Antiqua" w:cs="Book Antiqua"/>
      <w:b/>
      <w:bCs/>
      <w:spacing w:val="-10"/>
      <w:sz w:val="34"/>
      <w:szCs w:val="34"/>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pacing w:val="-10"/>
      <w:sz w:val="25"/>
      <w:szCs w:val="25"/>
    </w:rPr>
  </w:style>
  <w:style w:type="paragraph" w:customStyle="1" w:styleId="Heading10">
    <w:name w:val="Heading #1"/>
    <w:basedOn w:val="Normal"/>
    <w:link w:val="Heading1"/>
    <w:pPr>
      <w:spacing w:line="0" w:lineRule="atLeast"/>
      <w:jc w:val="center"/>
      <w:outlineLvl w:val="0"/>
    </w:pPr>
    <w:rPr>
      <w:rFonts w:ascii="Book Antiqua" w:eastAsia="Book Antiqua" w:hAnsi="Book Antiqua" w:cs="Book Antiqua"/>
      <w:b/>
      <w:bCs/>
      <w:spacing w:val="-10"/>
      <w:sz w:val="34"/>
      <w:szCs w:val="34"/>
    </w:rPr>
  </w:style>
  <w:style w:type="paragraph" w:customStyle="1" w:styleId="Heading30">
    <w:name w:val="Heading #3"/>
    <w:basedOn w:val="Normal"/>
    <w:link w:val="Heading3"/>
    <w:pPr>
      <w:spacing w:line="0" w:lineRule="atLeast"/>
      <w:jc w:val="center"/>
      <w:outlineLvl w:val="2"/>
    </w:pPr>
    <w:rPr>
      <w:rFonts w:ascii="Times New Roman" w:eastAsia="Times New Roman" w:hAnsi="Times New Roman" w:cs="Times New Roman"/>
      <w:b/>
      <w:bCs/>
      <w:sz w:val="26"/>
      <w:szCs w:val="26"/>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sz w:val="20"/>
      <w:szCs w:val="20"/>
    </w:rPr>
  </w:style>
  <w:style w:type="paragraph" w:customStyle="1" w:styleId="Bodytext40">
    <w:name w:val="Body text (4)"/>
    <w:basedOn w:val="Normal"/>
    <w:link w:val="Bodytext4"/>
    <w:pPr>
      <w:spacing w:line="0" w:lineRule="atLeast"/>
      <w:jc w:val="right"/>
    </w:pPr>
    <w:rPr>
      <w:rFonts w:ascii="Times New Roman" w:eastAsia="Times New Roman" w:hAnsi="Times New Roman" w:cs="Times New Roman"/>
      <w:i/>
      <w:iCs/>
      <w:sz w:val="22"/>
      <w:szCs w:val="22"/>
    </w:rPr>
  </w:style>
  <w:style w:type="paragraph" w:styleId="Header">
    <w:name w:val="header"/>
    <w:basedOn w:val="Normal"/>
    <w:link w:val="HeaderChar"/>
    <w:uiPriority w:val="99"/>
    <w:unhideWhenUsed/>
    <w:rsid w:val="00C820E1"/>
    <w:pPr>
      <w:tabs>
        <w:tab w:val="center" w:pos="4513"/>
        <w:tab w:val="right" w:pos="9026"/>
      </w:tabs>
    </w:pPr>
  </w:style>
  <w:style w:type="character" w:customStyle="1" w:styleId="HeaderChar">
    <w:name w:val="Header Char"/>
    <w:basedOn w:val="DefaultParagraphFont"/>
    <w:link w:val="Header"/>
    <w:uiPriority w:val="99"/>
    <w:rsid w:val="00C820E1"/>
    <w:rPr>
      <w:color w:val="000000"/>
    </w:rPr>
  </w:style>
  <w:style w:type="paragraph" w:styleId="Footer">
    <w:name w:val="footer"/>
    <w:basedOn w:val="Normal"/>
    <w:link w:val="FooterChar"/>
    <w:uiPriority w:val="99"/>
    <w:unhideWhenUsed/>
    <w:rsid w:val="00C820E1"/>
    <w:pPr>
      <w:tabs>
        <w:tab w:val="center" w:pos="4513"/>
        <w:tab w:val="right" w:pos="9026"/>
      </w:tabs>
    </w:pPr>
  </w:style>
  <w:style w:type="character" w:customStyle="1" w:styleId="FooterChar">
    <w:name w:val="Footer Char"/>
    <w:basedOn w:val="DefaultParagraphFont"/>
    <w:link w:val="Footer"/>
    <w:uiPriority w:val="99"/>
    <w:rsid w:val="00C820E1"/>
    <w:rPr>
      <w:color w:val="000000"/>
    </w:rPr>
  </w:style>
  <w:style w:type="character" w:styleId="CommentReference">
    <w:name w:val="annotation reference"/>
    <w:basedOn w:val="DefaultParagraphFont"/>
    <w:uiPriority w:val="99"/>
    <w:semiHidden/>
    <w:unhideWhenUsed/>
    <w:rsid w:val="00D033CD"/>
    <w:rPr>
      <w:sz w:val="16"/>
      <w:szCs w:val="16"/>
    </w:rPr>
  </w:style>
  <w:style w:type="paragraph" w:styleId="CommentText">
    <w:name w:val="annotation text"/>
    <w:basedOn w:val="Normal"/>
    <w:link w:val="CommentTextChar"/>
    <w:uiPriority w:val="99"/>
    <w:semiHidden/>
    <w:unhideWhenUsed/>
    <w:rsid w:val="00D033CD"/>
    <w:rPr>
      <w:sz w:val="20"/>
      <w:szCs w:val="20"/>
    </w:rPr>
  </w:style>
  <w:style w:type="character" w:customStyle="1" w:styleId="CommentTextChar">
    <w:name w:val="Comment Text Char"/>
    <w:basedOn w:val="DefaultParagraphFont"/>
    <w:link w:val="CommentText"/>
    <w:uiPriority w:val="99"/>
    <w:semiHidden/>
    <w:rsid w:val="00D033CD"/>
    <w:rPr>
      <w:color w:val="000000"/>
      <w:sz w:val="20"/>
      <w:szCs w:val="20"/>
    </w:rPr>
  </w:style>
  <w:style w:type="paragraph" w:styleId="CommentSubject">
    <w:name w:val="annotation subject"/>
    <w:basedOn w:val="CommentText"/>
    <w:next w:val="CommentText"/>
    <w:link w:val="CommentSubjectChar"/>
    <w:uiPriority w:val="99"/>
    <w:semiHidden/>
    <w:unhideWhenUsed/>
    <w:rsid w:val="00D033CD"/>
    <w:rPr>
      <w:b/>
      <w:bCs/>
    </w:rPr>
  </w:style>
  <w:style w:type="character" w:customStyle="1" w:styleId="CommentSubjectChar">
    <w:name w:val="Comment Subject Char"/>
    <w:basedOn w:val="CommentTextChar"/>
    <w:link w:val="CommentSubject"/>
    <w:uiPriority w:val="99"/>
    <w:semiHidden/>
    <w:rsid w:val="00D033CD"/>
    <w:rPr>
      <w:b/>
      <w:bCs/>
      <w:color w:val="000000"/>
      <w:sz w:val="20"/>
      <w:szCs w:val="20"/>
    </w:rPr>
  </w:style>
  <w:style w:type="paragraph" w:styleId="BalloonText">
    <w:name w:val="Balloon Text"/>
    <w:basedOn w:val="Normal"/>
    <w:link w:val="BalloonTextChar"/>
    <w:uiPriority w:val="99"/>
    <w:semiHidden/>
    <w:unhideWhenUsed/>
    <w:rsid w:val="00D03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3CD"/>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7220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2</cp:revision>
  <dcterms:created xsi:type="dcterms:W3CDTF">2019-06-02T21:29:00Z</dcterms:created>
  <dcterms:modified xsi:type="dcterms:W3CDTF">2019-06-02T21:29:00Z</dcterms:modified>
</cp:coreProperties>
</file>