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2898C" w14:textId="77777777" w:rsidR="00290D07" w:rsidRDefault="008A4175" w:rsidP="0016313D">
      <w:pPr>
        <w:jc w:val="center"/>
        <w:rPr>
          <w:rFonts w:ascii="Times New Roman" w:hAnsi="Times New Roman" w:cs="Times New Roman"/>
          <w:b/>
          <w:sz w:val="32"/>
          <w:szCs w:val="32"/>
        </w:rPr>
      </w:pPr>
      <w:bookmarkStart w:id="0" w:name="bookmark0"/>
      <w:r w:rsidRPr="00196500">
        <w:rPr>
          <w:rFonts w:ascii="Times New Roman" w:hAnsi="Times New Roman" w:cs="Times New Roman"/>
          <w:b/>
          <w:sz w:val="32"/>
          <w:szCs w:val="32"/>
        </w:rPr>
        <w:t>States Grants Act 1973</w:t>
      </w:r>
      <w:bookmarkEnd w:id="0"/>
    </w:p>
    <w:p w14:paraId="2BEB5963" w14:textId="77777777" w:rsidR="00196500" w:rsidRPr="00196500" w:rsidRDefault="00196500" w:rsidP="0016313D">
      <w:pPr>
        <w:jc w:val="center"/>
        <w:rPr>
          <w:rFonts w:ascii="Times New Roman" w:hAnsi="Times New Roman" w:cs="Times New Roman"/>
          <w:b/>
          <w:sz w:val="32"/>
          <w:szCs w:val="32"/>
        </w:rPr>
      </w:pPr>
    </w:p>
    <w:p w14:paraId="7ED0E76E" w14:textId="77777777" w:rsidR="00290D07" w:rsidRDefault="008A4175" w:rsidP="0016313D">
      <w:pPr>
        <w:pStyle w:val="Bodytext20"/>
        <w:spacing w:line="240" w:lineRule="auto"/>
        <w:rPr>
          <w:spacing w:val="0"/>
          <w:sz w:val="28"/>
          <w:szCs w:val="28"/>
        </w:rPr>
      </w:pPr>
      <w:bookmarkStart w:id="1" w:name="bookmark1"/>
      <w:r w:rsidRPr="00196500">
        <w:rPr>
          <w:spacing w:val="0"/>
          <w:sz w:val="28"/>
          <w:szCs w:val="28"/>
        </w:rPr>
        <w:t>No. 149 of 1973</w:t>
      </w:r>
      <w:bookmarkEnd w:id="1"/>
    </w:p>
    <w:p w14:paraId="2CF833E2" w14:textId="77777777" w:rsidR="00196500" w:rsidRDefault="00196500" w:rsidP="00504311">
      <w:pPr>
        <w:pStyle w:val="Bodytext20"/>
        <w:pBdr>
          <w:bottom w:val="thickThinSmallGap" w:sz="24" w:space="1" w:color="auto"/>
        </w:pBdr>
        <w:spacing w:line="240" w:lineRule="auto"/>
        <w:rPr>
          <w:spacing w:val="0"/>
          <w:sz w:val="28"/>
          <w:szCs w:val="28"/>
        </w:rPr>
      </w:pPr>
    </w:p>
    <w:p w14:paraId="7B322655" w14:textId="77777777" w:rsidR="00196500" w:rsidRPr="00196500" w:rsidRDefault="00196500" w:rsidP="0016313D">
      <w:pPr>
        <w:pStyle w:val="Bodytext20"/>
        <w:spacing w:line="240" w:lineRule="auto"/>
        <w:rPr>
          <w:spacing w:val="0"/>
          <w:sz w:val="28"/>
          <w:szCs w:val="28"/>
        </w:rPr>
      </w:pPr>
    </w:p>
    <w:p w14:paraId="4DF580AB" w14:textId="77777777" w:rsidR="00290D07" w:rsidRPr="00196500" w:rsidRDefault="008A4175" w:rsidP="0016313D">
      <w:pPr>
        <w:spacing w:after="160"/>
        <w:jc w:val="center"/>
        <w:rPr>
          <w:rFonts w:ascii="Times New Roman" w:hAnsi="Times New Roman" w:cs="Times New Roman"/>
          <w:b/>
          <w:sz w:val="36"/>
          <w:szCs w:val="36"/>
        </w:rPr>
      </w:pPr>
      <w:bookmarkStart w:id="2" w:name="bookmark2"/>
      <w:r w:rsidRPr="00196500">
        <w:rPr>
          <w:rFonts w:ascii="Times New Roman" w:hAnsi="Times New Roman" w:cs="Times New Roman"/>
          <w:b/>
          <w:sz w:val="36"/>
          <w:szCs w:val="36"/>
        </w:rPr>
        <w:t>AN ACT</w:t>
      </w:r>
      <w:bookmarkEnd w:id="2"/>
    </w:p>
    <w:p w14:paraId="5E55F3D1" w14:textId="77777777" w:rsidR="00196500" w:rsidRPr="007D0975" w:rsidRDefault="008A4175" w:rsidP="0016313D">
      <w:pPr>
        <w:pStyle w:val="Bodytext30"/>
        <w:spacing w:after="160" w:line="240" w:lineRule="auto"/>
        <w:rPr>
          <w:b w:val="0"/>
          <w:sz w:val="28"/>
        </w:rPr>
      </w:pPr>
      <w:bookmarkStart w:id="3" w:name="bookmark3"/>
      <w:r w:rsidRPr="007D0975">
        <w:rPr>
          <w:b w:val="0"/>
          <w:sz w:val="28"/>
        </w:rPr>
        <w:t>To grant Financial Assistance to the States.</w:t>
      </w:r>
      <w:bookmarkEnd w:id="3"/>
    </w:p>
    <w:p w14:paraId="22776EA5" w14:textId="77777777" w:rsidR="00290D07" w:rsidRPr="00C87810" w:rsidRDefault="008A4175" w:rsidP="0016313D">
      <w:pPr>
        <w:pStyle w:val="Bodytext30"/>
        <w:spacing w:after="160" w:line="240" w:lineRule="auto"/>
        <w:ind w:firstLine="6480"/>
        <w:jc w:val="both"/>
        <w:rPr>
          <w:b w:val="0"/>
          <w:sz w:val="24"/>
          <w:szCs w:val="24"/>
        </w:rPr>
      </w:pPr>
      <w:r w:rsidRPr="00C87810">
        <w:rPr>
          <w:b w:val="0"/>
          <w:sz w:val="24"/>
          <w:szCs w:val="24"/>
        </w:rPr>
        <w:t>[</w:t>
      </w:r>
      <w:r w:rsidRPr="00C87810">
        <w:rPr>
          <w:b w:val="0"/>
          <w:i/>
          <w:sz w:val="24"/>
          <w:szCs w:val="24"/>
        </w:rPr>
        <w:t>Assented to 27 November 1973</w:t>
      </w:r>
      <w:r w:rsidRPr="00C87810">
        <w:rPr>
          <w:rStyle w:val="Bodytext8NotItalic"/>
          <w:b w:val="0"/>
          <w:i w:val="0"/>
          <w:iCs w:val="0"/>
          <w:sz w:val="24"/>
          <w:szCs w:val="24"/>
        </w:rPr>
        <w:t>]</w:t>
      </w:r>
    </w:p>
    <w:p w14:paraId="5ADC81FD" w14:textId="77777777" w:rsidR="00290D07" w:rsidRPr="00344E57" w:rsidRDefault="008A4175" w:rsidP="0016313D">
      <w:pPr>
        <w:pStyle w:val="Bodytext90"/>
        <w:spacing w:after="160" w:line="240" w:lineRule="auto"/>
        <w:ind w:firstLine="446"/>
        <w:rPr>
          <w:sz w:val="24"/>
          <w:szCs w:val="24"/>
        </w:rPr>
      </w:pPr>
      <w:r w:rsidRPr="00344E57">
        <w:rPr>
          <w:sz w:val="24"/>
          <w:szCs w:val="24"/>
        </w:rPr>
        <w:t>BE IT ENACTED by the Queen, the Senate and the House of Representatives of Australia, as follows:—</w:t>
      </w:r>
    </w:p>
    <w:p w14:paraId="58739CC7" w14:textId="77777777" w:rsidR="00C87810" w:rsidRPr="00C87810" w:rsidRDefault="00C87810" w:rsidP="0016313D">
      <w:pPr>
        <w:pStyle w:val="BodyText21"/>
        <w:spacing w:before="120" w:after="60" w:line="240" w:lineRule="auto"/>
        <w:ind w:firstLine="0"/>
        <w:rPr>
          <w:b/>
          <w:sz w:val="20"/>
          <w:szCs w:val="20"/>
        </w:rPr>
      </w:pPr>
      <w:r w:rsidRPr="00C87810">
        <w:rPr>
          <w:rStyle w:val="Bodytext9pt"/>
          <w:b/>
          <w:sz w:val="20"/>
          <w:szCs w:val="20"/>
        </w:rPr>
        <w:t>Short title.</w:t>
      </w:r>
    </w:p>
    <w:p w14:paraId="66525E46" w14:textId="77777777" w:rsidR="00290D07" w:rsidRPr="00196500" w:rsidRDefault="00C87810" w:rsidP="0016313D">
      <w:pPr>
        <w:pStyle w:val="Bodytext90"/>
        <w:tabs>
          <w:tab w:val="left" w:pos="630"/>
        </w:tabs>
        <w:spacing w:line="240" w:lineRule="auto"/>
        <w:ind w:firstLine="270"/>
        <w:rPr>
          <w:sz w:val="24"/>
          <w:szCs w:val="24"/>
        </w:rPr>
      </w:pPr>
      <w:r w:rsidRPr="00C87810">
        <w:rPr>
          <w:b/>
          <w:sz w:val="24"/>
          <w:szCs w:val="24"/>
        </w:rPr>
        <w:t>1.</w:t>
      </w:r>
      <w:r>
        <w:rPr>
          <w:b/>
          <w:sz w:val="24"/>
          <w:szCs w:val="24"/>
        </w:rPr>
        <w:tab/>
      </w:r>
      <w:r w:rsidR="008A4175" w:rsidRPr="00196500">
        <w:rPr>
          <w:sz w:val="24"/>
          <w:szCs w:val="24"/>
        </w:rPr>
        <w:t xml:space="preserve">This Act may be cited as </w:t>
      </w:r>
      <w:r w:rsidR="008A4175" w:rsidRPr="00344E57">
        <w:rPr>
          <w:rStyle w:val="Bodytext9Italic"/>
          <w:i w:val="0"/>
          <w:sz w:val="24"/>
          <w:szCs w:val="24"/>
        </w:rPr>
        <w:t>th</w:t>
      </w:r>
      <w:r w:rsidRPr="00344E57">
        <w:rPr>
          <w:rStyle w:val="Bodytext9Italic"/>
          <w:i w:val="0"/>
          <w:sz w:val="24"/>
          <w:szCs w:val="24"/>
        </w:rPr>
        <w:t>e</w:t>
      </w:r>
      <w:r>
        <w:rPr>
          <w:rStyle w:val="Bodytext9Italic"/>
          <w:sz w:val="24"/>
          <w:szCs w:val="24"/>
        </w:rPr>
        <w:t xml:space="preserve"> </w:t>
      </w:r>
      <w:r w:rsidR="008A4175" w:rsidRPr="00196500">
        <w:rPr>
          <w:rStyle w:val="Bodytext9Italic"/>
          <w:sz w:val="24"/>
          <w:szCs w:val="24"/>
        </w:rPr>
        <w:t>States Grants Act</w:t>
      </w:r>
      <w:r w:rsidR="008A4175" w:rsidRPr="00196500">
        <w:rPr>
          <w:sz w:val="24"/>
          <w:szCs w:val="24"/>
        </w:rPr>
        <w:t xml:space="preserve"> 1973.</w:t>
      </w:r>
    </w:p>
    <w:p w14:paraId="00F7976C" w14:textId="77777777" w:rsidR="00C87810" w:rsidRPr="00C87810" w:rsidRDefault="00C87810" w:rsidP="0016313D">
      <w:pPr>
        <w:pStyle w:val="BodyText21"/>
        <w:spacing w:before="120" w:after="60" w:line="240" w:lineRule="auto"/>
        <w:ind w:firstLine="0"/>
        <w:rPr>
          <w:b/>
          <w:sz w:val="20"/>
          <w:szCs w:val="20"/>
        </w:rPr>
      </w:pPr>
      <w:r w:rsidRPr="00C87810">
        <w:rPr>
          <w:rStyle w:val="Bodytext9pt"/>
          <w:b/>
          <w:sz w:val="20"/>
          <w:szCs w:val="20"/>
        </w:rPr>
        <w:t>Commencement.</w:t>
      </w:r>
    </w:p>
    <w:p w14:paraId="3578C49B" w14:textId="77777777" w:rsidR="00290D07" w:rsidRPr="00196500" w:rsidRDefault="00C87810" w:rsidP="0016313D">
      <w:pPr>
        <w:pStyle w:val="Bodytext90"/>
        <w:tabs>
          <w:tab w:val="left" w:pos="630"/>
        </w:tabs>
        <w:spacing w:line="240" w:lineRule="auto"/>
        <w:ind w:firstLine="270"/>
        <w:rPr>
          <w:sz w:val="24"/>
          <w:szCs w:val="24"/>
        </w:rPr>
      </w:pPr>
      <w:r w:rsidRPr="00C87810">
        <w:rPr>
          <w:b/>
          <w:sz w:val="24"/>
          <w:szCs w:val="24"/>
        </w:rPr>
        <w:t>2.</w:t>
      </w:r>
      <w:r>
        <w:rPr>
          <w:b/>
          <w:sz w:val="24"/>
          <w:szCs w:val="24"/>
        </w:rPr>
        <w:tab/>
      </w:r>
      <w:bookmarkStart w:id="4" w:name="_GoBack"/>
      <w:r w:rsidR="008A4175" w:rsidRPr="00196500">
        <w:rPr>
          <w:sz w:val="24"/>
          <w:szCs w:val="24"/>
        </w:rPr>
        <w:t>This Act shall come into operation on the day on which it receives the Royal Assent.</w:t>
      </w:r>
      <w:bookmarkEnd w:id="4"/>
    </w:p>
    <w:p w14:paraId="751B34E4" w14:textId="77777777" w:rsidR="00C87810" w:rsidRPr="00C87810" w:rsidRDefault="00C87810" w:rsidP="0016313D">
      <w:pPr>
        <w:pStyle w:val="BodyText21"/>
        <w:spacing w:before="120" w:after="60" w:line="240" w:lineRule="auto"/>
        <w:ind w:firstLine="0"/>
        <w:rPr>
          <w:b/>
          <w:sz w:val="20"/>
          <w:szCs w:val="20"/>
        </w:rPr>
      </w:pPr>
      <w:r w:rsidRPr="00C87810">
        <w:rPr>
          <w:rStyle w:val="Bodytext9pt"/>
          <w:b/>
          <w:sz w:val="20"/>
          <w:szCs w:val="20"/>
        </w:rPr>
        <w:t>Repeal.</w:t>
      </w:r>
    </w:p>
    <w:p w14:paraId="2FC8F82E" w14:textId="77777777" w:rsidR="00290D07" w:rsidRPr="00196500" w:rsidRDefault="00C87810" w:rsidP="0016313D">
      <w:pPr>
        <w:pStyle w:val="Bodytext90"/>
        <w:spacing w:line="240" w:lineRule="auto"/>
        <w:ind w:firstLine="270"/>
        <w:rPr>
          <w:sz w:val="24"/>
          <w:szCs w:val="24"/>
        </w:rPr>
      </w:pPr>
      <w:r w:rsidRPr="00C87810">
        <w:rPr>
          <w:b/>
          <w:sz w:val="24"/>
          <w:szCs w:val="24"/>
        </w:rPr>
        <w:t>3.</w:t>
      </w:r>
      <w:r>
        <w:rPr>
          <w:b/>
          <w:sz w:val="24"/>
          <w:szCs w:val="24"/>
        </w:rPr>
        <w:t xml:space="preserve"> </w:t>
      </w:r>
      <w:r w:rsidR="008A4175" w:rsidRPr="00196500">
        <w:rPr>
          <w:sz w:val="24"/>
          <w:szCs w:val="24"/>
        </w:rPr>
        <w:t>(1) The following Acts are</w:t>
      </w:r>
      <w:r>
        <w:rPr>
          <w:sz w:val="24"/>
          <w:szCs w:val="24"/>
        </w:rPr>
        <w:t xml:space="preserve"> </w:t>
      </w:r>
      <w:r w:rsidR="008A4175" w:rsidRPr="00196500">
        <w:rPr>
          <w:sz w:val="24"/>
          <w:szCs w:val="24"/>
        </w:rPr>
        <w:t>repealed:—</w:t>
      </w:r>
    </w:p>
    <w:p w14:paraId="4BE5BF2C" w14:textId="77777777" w:rsidR="00290D07" w:rsidRPr="00196500" w:rsidRDefault="008A4175" w:rsidP="0016313D">
      <w:pPr>
        <w:pStyle w:val="Bodytext80"/>
        <w:spacing w:line="240" w:lineRule="auto"/>
        <w:ind w:firstLine="1260"/>
        <w:jc w:val="both"/>
        <w:rPr>
          <w:sz w:val="24"/>
          <w:szCs w:val="24"/>
        </w:rPr>
      </w:pPr>
      <w:r w:rsidRPr="00196500">
        <w:rPr>
          <w:sz w:val="24"/>
          <w:szCs w:val="24"/>
        </w:rPr>
        <w:t xml:space="preserve">States Grants Act </w:t>
      </w:r>
      <w:r w:rsidRPr="00344E57">
        <w:rPr>
          <w:i w:val="0"/>
          <w:sz w:val="24"/>
          <w:szCs w:val="24"/>
        </w:rPr>
        <w:t>(</w:t>
      </w:r>
      <w:r w:rsidRPr="00196500">
        <w:rPr>
          <w:sz w:val="24"/>
          <w:szCs w:val="24"/>
        </w:rPr>
        <w:t>No.</w:t>
      </w:r>
      <w:r w:rsidRPr="00196500">
        <w:rPr>
          <w:rStyle w:val="Bodytext8NotItalic"/>
          <w:sz w:val="24"/>
          <w:szCs w:val="24"/>
        </w:rPr>
        <w:t xml:space="preserve"> 2) 1971;</w:t>
      </w:r>
    </w:p>
    <w:p w14:paraId="47E3D93E" w14:textId="77777777" w:rsidR="00290D07" w:rsidRPr="00196500" w:rsidRDefault="008A4175" w:rsidP="0016313D">
      <w:pPr>
        <w:pStyle w:val="Bodytext80"/>
        <w:spacing w:line="240" w:lineRule="auto"/>
        <w:ind w:firstLine="1260"/>
        <w:jc w:val="both"/>
        <w:rPr>
          <w:sz w:val="24"/>
          <w:szCs w:val="24"/>
        </w:rPr>
      </w:pPr>
      <w:r w:rsidRPr="00196500">
        <w:rPr>
          <w:sz w:val="24"/>
          <w:szCs w:val="24"/>
        </w:rPr>
        <w:t>States Grants Act</w:t>
      </w:r>
      <w:r w:rsidRPr="00C87810">
        <w:rPr>
          <w:i w:val="0"/>
          <w:iCs w:val="0"/>
        </w:rPr>
        <w:t xml:space="preserve"> 1972;</w:t>
      </w:r>
    </w:p>
    <w:p w14:paraId="0B120CB3" w14:textId="77777777" w:rsidR="00290D07" w:rsidRPr="00196500" w:rsidRDefault="008A4175" w:rsidP="0016313D">
      <w:pPr>
        <w:pStyle w:val="Bodytext80"/>
        <w:spacing w:after="160" w:line="240" w:lineRule="auto"/>
        <w:ind w:firstLine="1267"/>
        <w:jc w:val="both"/>
        <w:rPr>
          <w:sz w:val="24"/>
          <w:szCs w:val="24"/>
        </w:rPr>
      </w:pPr>
      <w:r w:rsidRPr="00196500">
        <w:rPr>
          <w:sz w:val="24"/>
          <w:szCs w:val="24"/>
        </w:rPr>
        <w:t xml:space="preserve">States Grants Act </w:t>
      </w:r>
      <w:r w:rsidRPr="00344E57">
        <w:rPr>
          <w:i w:val="0"/>
          <w:sz w:val="24"/>
          <w:szCs w:val="24"/>
        </w:rPr>
        <w:t>(</w:t>
      </w:r>
      <w:r w:rsidRPr="00196500">
        <w:rPr>
          <w:sz w:val="24"/>
          <w:szCs w:val="24"/>
        </w:rPr>
        <w:t>No.</w:t>
      </w:r>
      <w:r w:rsidRPr="00196500">
        <w:rPr>
          <w:rStyle w:val="Bodytext8NotItalic"/>
          <w:sz w:val="24"/>
          <w:szCs w:val="24"/>
        </w:rPr>
        <w:t xml:space="preserve"> 2) 1972.</w:t>
      </w:r>
    </w:p>
    <w:p w14:paraId="4E7DD517" w14:textId="77777777" w:rsidR="00290D07" w:rsidRPr="00196500" w:rsidRDefault="00C87810" w:rsidP="0016313D">
      <w:pPr>
        <w:pStyle w:val="Bodytext90"/>
        <w:spacing w:line="240" w:lineRule="auto"/>
        <w:ind w:firstLine="270"/>
        <w:rPr>
          <w:sz w:val="24"/>
          <w:szCs w:val="24"/>
        </w:rPr>
      </w:pPr>
      <w:r>
        <w:rPr>
          <w:sz w:val="24"/>
          <w:szCs w:val="24"/>
        </w:rPr>
        <w:t xml:space="preserve">(2) </w:t>
      </w:r>
      <w:r w:rsidR="008A4175" w:rsidRPr="00196500">
        <w:rPr>
          <w:sz w:val="24"/>
          <w:szCs w:val="24"/>
        </w:rPr>
        <w:t xml:space="preserve">Subject to sub-section (3), a State is not, and shall be deemed not to have been, entitled to a grant under the </w:t>
      </w:r>
      <w:r w:rsidR="008A4175" w:rsidRPr="00196500">
        <w:rPr>
          <w:rStyle w:val="Bodytext9Italic"/>
          <w:sz w:val="24"/>
          <w:szCs w:val="24"/>
        </w:rPr>
        <w:t>States Grants Act</w:t>
      </w:r>
      <w:r>
        <w:rPr>
          <w:sz w:val="24"/>
          <w:szCs w:val="24"/>
        </w:rPr>
        <w:t xml:space="preserve"> 1971-</w:t>
      </w:r>
      <w:r w:rsidR="008A4175" w:rsidRPr="00196500">
        <w:rPr>
          <w:sz w:val="24"/>
          <w:szCs w:val="24"/>
        </w:rPr>
        <w:t>1972 by virtue of the operation of that Act on and after 1st July, 1973.</w:t>
      </w:r>
    </w:p>
    <w:p w14:paraId="4C64B7AF" w14:textId="77777777" w:rsidR="00C87810" w:rsidRDefault="00C87810" w:rsidP="0016313D">
      <w:pPr>
        <w:jc w:val="both"/>
        <w:rPr>
          <w:rFonts w:ascii="Times New Roman" w:eastAsia="Times New Roman" w:hAnsi="Times New Roman" w:cs="Times New Roman"/>
        </w:rPr>
      </w:pPr>
      <w:r>
        <w:br w:type="page"/>
      </w:r>
    </w:p>
    <w:p w14:paraId="4EE796BB" w14:textId="5AE64A18" w:rsidR="00290D07" w:rsidRPr="00196500" w:rsidRDefault="008A4175" w:rsidP="0016313D">
      <w:pPr>
        <w:pStyle w:val="Bodytext90"/>
        <w:spacing w:line="240" w:lineRule="auto"/>
        <w:ind w:firstLine="270"/>
        <w:rPr>
          <w:sz w:val="24"/>
          <w:szCs w:val="24"/>
        </w:rPr>
      </w:pPr>
      <w:r w:rsidRPr="00196500">
        <w:rPr>
          <w:sz w:val="24"/>
          <w:szCs w:val="24"/>
        </w:rPr>
        <w:lastRenderedPageBreak/>
        <w:t xml:space="preserve">(3) A payment made to a State under the </w:t>
      </w:r>
      <w:r w:rsidRPr="00196500">
        <w:rPr>
          <w:rStyle w:val="Bodytext9Italic"/>
          <w:sz w:val="24"/>
          <w:szCs w:val="24"/>
        </w:rPr>
        <w:t>States Grants Act</w:t>
      </w:r>
      <w:r w:rsidRPr="00196500">
        <w:rPr>
          <w:sz w:val="24"/>
          <w:szCs w:val="24"/>
        </w:rPr>
        <w:t xml:space="preserve"> 1971-1972 on or after 1st July, 1973, and before the commencement of this Act shall be deemed to be an advance made under section 12 of this Act in respect of a grant payable to that State under this Act during the year that commenced on that date.</w:t>
      </w:r>
    </w:p>
    <w:p w14:paraId="258E5BD4" w14:textId="77777777" w:rsidR="00290D07" w:rsidRPr="00903313" w:rsidRDefault="008A4175" w:rsidP="0016313D">
      <w:pPr>
        <w:pStyle w:val="BodyText21"/>
        <w:spacing w:before="120" w:after="60" w:line="240" w:lineRule="auto"/>
        <w:ind w:firstLine="0"/>
        <w:rPr>
          <w:b/>
          <w:sz w:val="20"/>
          <w:szCs w:val="20"/>
        </w:rPr>
      </w:pPr>
      <w:r w:rsidRPr="00903313">
        <w:rPr>
          <w:rStyle w:val="Bodytext9pt"/>
          <w:b/>
          <w:sz w:val="20"/>
          <w:szCs w:val="20"/>
        </w:rPr>
        <w:t>Definitions.</w:t>
      </w:r>
    </w:p>
    <w:p w14:paraId="616589F6" w14:textId="77777777" w:rsidR="00290D07" w:rsidRPr="00196500" w:rsidRDefault="00903313" w:rsidP="0016313D">
      <w:pPr>
        <w:pStyle w:val="Bodytext90"/>
        <w:tabs>
          <w:tab w:val="left" w:pos="630"/>
        </w:tabs>
        <w:spacing w:line="240" w:lineRule="auto"/>
        <w:ind w:firstLine="270"/>
        <w:rPr>
          <w:sz w:val="24"/>
          <w:szCs w:val="24"/>
        </w:rPr>
      </w:pPr>
      <w:r w:rsidRPr="00903313">
        <w:rPr>
          <w:b/>
          <w:sz w:val="24"/>
          <w:szCs w:val="24"/>
        </w:rPr>
        <w:t>4.</w:t>
      </w:r>
      <w:r>
        <w:rPr>
          <w:b/>
          <w:sz w:val="24"/>
          <w:szCs w:val="24"/>
        </w:rPr>
        <w:tab/>
      </w:r>
      <w:r w:rsidR="008A4175" w:rsidRPr="00196500">
        <w:rPr>
          <w:sz w:val="24"/>
          <w:szCs w:val="24"/>
        </w:rPr>
        <w:t>In this Act, unless the contrary intention appears—</w:t>
      </w:r>
    </w:p>
    <w:p w14:paraId="0F6A9A2E" w14:textId="77777777" w:rsidR="00290D07" w:rsidRPr="00196500" w:rsidRDefault="00903313" w:rsidP="0016313D">
      <w:pPr>
        <w:pStyle w:val="Bodytext90"/>
        <w:spacing w:line="240" w:lineRule="auto"/>
        <w:ind w:firstLine="270"/>
        <w:rPr>
          <w:sz w:val="24"/>
          <w:szCs w:val="24"/>
        </w:rPr>
      </w:pPr>
      <w:r>
        <w:rPr>
          <w:sz w:val="24"/>
          <w:szCs w:val="24"/>
        </w:rPr>
        <w:t>“base year</w:t>
      </w:r>
      <w:r w:rsidR="008A4175" w:rsidRPr="00196500">
        <w:rPr>
          <w:sz w:val="24"/>
          <w:szCs w:val="24"/>
        </w:rPr>
        <w:t>” means the year that commenced on 1st July, 1973;</w:t>
      </w:r>
    </w:p>
    <w:p w14:paraId="07A99B33" w14:textId="77777777" w:rsidR="00290D07" w:rsidRPr="00196500" w:rsidRDefault="00903313" w:rsidP="0016313D">
      <w:pPr>
        <w:pStyle w:val="Bodytext90"/>
        <w:spacing w:line="240" w:lineRule="auto"/>
        <w:ind w:left="720" w:hanging="450"/>
        <w:rPr>
          <w:sz w:val="24"/>
          <w:szCs w:val="24"/>
        </w:rPr>
      </w:pPr>
      <w:r>
        <w:rPr>
          <w:sz w:val="24"/>
          <w:szCs w:val="24"/>
        </w:rPr>
        <w:t>“pay-roll tax law</w:t>
      </w:r>
      <w:r w:rsidR="008A4175" w:rsidRPr="00196500">
        <w:rPr>
          <w:sz w:val="24"/>
          <w:szCs w:val="24"/>
        </w:rPr>
        <w:t>” means a law that relates to the imposition upon employers of a tax upon wages paid or payable by them and the assessment and collection of that tax;</w:t>
      </w:r>
    </w:p>
    <w:p w14:paraId="10B3A7C1" w14:textId="77777777" w:rsidR="00290D07" w:rsidRPr="00196500" w:rsidRDefault="00903313" w:rsidP="0016313D">
      <w:pPr>
        <w:pStyle w:val="Bodytext90"/>
        <w:spacing w:after="120" w:line="240" w:lineRule="auto"/>
        <w:ind w:firstLine="274"/>
        <w:rPr>
          <w:sz w:val="24"/>
          <w:szCs w:val="24"/>
        </w:rPr>
      </w:pPr>
      <w:r>
        <w:rPr>
          <w:sz w:val="24"/>
          <w:szCs w:val="24"/>
        </w:rPr>
        <w:t>“year</w:t>
      </w:r>
      <w:r w:rsidR="008A4175" w:rsidRPr="00196500">
        <w:rPr>
          <w:sz w:val="24"/>
          <w:szCs w:val="24"/>
        </w:rPr>
        <w:t>” means a financial year.</w:t>
      </w:r>
    </w:p>
    <w:p w14:paraId="573761BE" w14:textId="77777777" w:rsidR="00290D07" w:rsidRPr="00903313" w:rsidRDefault="008A4175" w:rsidP="0016313D">
      <w:pPr>
        <w:pStyle w:val="BodyText21"/>
        <w:spacing w:before="120" w:after="60" w:line="240" w:lineRule="auto"/>
        <w:ind w:firstLine="0"/>
        <w:rPr>
          <w:b/>
          <w:sz w:val="20"/>
          <w:szCs w:val="20"/>
        </w:rPr>
      </w:pPr>
      <w:r w:rsidRPr="00903313">
        <w:rPr>
          <w:rStyle w:val="Bodytext9pt"/>
          <w:b/>
          <w:sz w:val="20"/>
          <w:szCs w:val="20"/>
        </w:rPr>
        <w:t>Purpose of grants.</w:t>
      </w:r>
    </w:p>
    <w:p w14:paraId="02AD8C92" w14:textId="77777777" w:rsidR="00290D07" w:rsidRPr="00196500" w:rsidRDefault="00903313" w:rsidP="0016313D">
      <w:pPr>
        <w:pStyle w:val="Bodytext90"/>
        <w:tabs>
          <w:tab w:val="left" w:pos="630"/>
        </w:tabs>
        <w:spacing w:line="240" w:lineRule="auto"/>
        <w:ind w:firstLine="270"/>
        <w:rPr>
          <w:sz w:val="24"/>
          <w:szCs w:val="24"/>
        </w:rPr>
      </w:pPr>
      <w:r>
        <w:rPr>
          <w:b/>
          <w:sz w:val="24"/>
          <w:szCs w:val="24"/>
        </w:rPr>
        <w:t>5</w:t>
      </w:r>
      <w:r w:rsidRPr="00903313">
        <w:rPr>
          <w:b/>
          <w:sz w:val="24"/>
          <w:szCs w:val="24"/>
        </w:rPr>
        <w:t>.</w:t>
      </w:r>
      <w:r>
        <w:rPr>
          <w:b/>
          <w:sz w:val="24"/>
          <w:szCs w:val="24"/>
        </w:rPr>
        <w:tab/>
      </w:r>
      <w:r w:rsidR="008A4175" w:rsidRPr="00196500">
        <w:rPr>
          <w:sz w:val="24"/>
          <w:szCs w:val="24"/>
        </w:rPr>
        <w:t>Financial assistance is granted to the States by way of the amounts payable under this Act.</w:t>
      </w:r>
    </w:p>
    <w:p w14:paraId="56F668A5" w14:textId="77777777" w:rsidR="00903313" w:rsidRPr="00723B2B" w:rsidRDefault="00903313" w:rsidP="0016313D">
      <w:pPr>
        <w:pStyle w:val="BodyText21"/>
        <w:spacing w:before="120" w:after="60" w:line="240" w:lineRule="auto"/>
        <w:ind w:firstLine="0"/>
        <w:rPr>
          <w:b/>
          <w:sz w:val="20"/>
          <w:szCs w:val="20"/>
        </w:rPr>
      </w:pPr>
      <w:r w:rsidRPr="00723B2B">
        <w:rPr>
          <w:rStyle w:val="Bodytext9pt"/>
          <w:b/>
          <w:sz w:val="20"/>
          <w:szCs w:val="20"/>
        </w:rPr>
        <w:t>Grants to States.</w:t>
      </w:r>
    </w:p>
    <w:p w14:paraId="46197735" w14:textId="77777777" w:rsidR="00290D07" w:rsidRPr="00196500" w:rsidRDefault="00903313" w:rsidP="0016313D">
      <w:pPr>
        <w:pStyle w:val="Bodytext90"/>
        <w:spacing w:line="240" w:lineRule="auto"/>
        <w:ind w:firstLine="270"/>
        <w:rPr>
          <w:sz w:val="24"/>
          <w:szCs w:val="24"/>
        </w:rPr>
      </w:pPr>
      <w:r>
        <w:rPr>
          <w:b/>
          <w:sz w:val="24"/>
          <w:szCs w:val="24"/>
        </w:rPr>
        <w:t>6</w:t>
      </w:r>
      <w:r w:rsidRPr="00903313">
        <w:rPr>
          <w:b/>
          <w:sz w:val="24"/>
          <w:szCs w:val="24"/>
        </w:rPr>
        <w:t>.</w:t>
      </w:r>
      <w:r>
        <w:rPr>
          <w:b/>
          <w:sz w:val="24"/>
          <w:szCs w:val="24"/>
        </w:rPr>
        <w:t xml:space="preserve"> </w:t>
      </w:r>
      <w:r w:rsidR="008A4175" w:rsidRPr="00196500">
        <w:rPr>
          <w:sz w:val="24"/>
          <w:szCs w:val="24"/>
        </w:rPr>
        <w:t>(1) Subject to sub-sections (3) and (4) and to section 7, there is payable to each State, during the base year and during each succeeding year, an amount equal to the sum of—</w:t>
      </w:r>
    </w:p>
    <w:p w14:paraId="59FF00FF" w14:textId="77777777" w:rsidR="00290D07" w:rsidRPr="00196500" w:rsidRDefault="00903313" w:rsidP="0016313D">
      <w:pPr>
        <w:pStyle w:val="Bodytext90"/>
        <w:spacing w:line="240" w:lineRule="auto"/>
        <w:ind w:left="720" w:hanging="324"/>
        <w:rPr>
          <w:sz w:val="24"/>
          <w:szCs w:val="24"/>
        </w:rPr>
      </w:pPr>
      <w:r>
        <w:rPr>
          <w:sz w:val="24"/>
          <w:szCs w:val="24"/>
        </w:rPr>
        <w:t xml:space="preserve">(a) </w:t>
      </w:r>
      <w:r w:rsidR="008A4175" w:rsidRPr="00196500">
        <w:rPr>
          <w:sz w:val="24"/>
          <w:szCs w:val="24"/>
        </w:rPr>
        <w:t>an amount that bears the same proportion to the amount of the grant under this section paid to</w:t>
      </w:r>
      <w:r>
        <w:rPr>
          <w:sz w:val="24"/>
          <w:szCs w:val="24"/>
        </w:rPr>
        <w:t xml:space="preserve"> that State during the year pre</w:t>
      </w:r>
      <w:r w:rsidR="008A4175" w:rsidRPr="00196500">
        <w:rPr>
          <w:sz w:val="24"/>
          <w:szCs w:val="24"/>
        </w:rPr>
        <w:t>ceding the year concerned as the population of that State on 31st December in the year concerned bears to the population of that State on 31st December in the year preceding the year concerned;</w:t>
      </w:r>
    </w:p>
    <w:p w14:paraId="26D62130" w14:textId="77777777" w:rsidR="00290D07" w:rsidRPr="00903313" w:rsidRDefault="00903313" w:rsidP="0016313D">
      <w:pPr>
        <w:ind w:left="720" w:hanging="324"/>
        <w:jc w:val="both"/>
        <w:rPr>
          <w:rFonts w:ascii="Times New Roman" w:hAnsi="Times New Roman" w:cs="Times New Roman"/>
        </w:rPr>
      </w:pPr>
      <w:r w:rsidRPr="00903313">
        <w:rPr>
          <w:rFonts w:ascii="Times New Roman" w:hAnsi="Times New Roman" w:cs="Times New Roman"/>
        </w:rPr>
        <w:t xml:space="preserve">(b) </w:t>
      </w:r>
      <w:r w:rsidR="008A4175" w:rsidRPr="00903313">
        <w:rPr>
          <w:rFonts w:ascii="Times New Roman" w:hAnsi="Times New Roman" w:cs="Times New Roman"/>
        </w:rPr>
        <w:t>if the average wages per person employed in Australia in the period of twelve months endin</w:t>
      </w:r>
      <w:r w:rsidRPr="00903313">
        <w:rPr>
          <w:rFonts w:ascii="Times New Roman" w:hAnsi="Times New Roman" w:cs="Times New Roman"/>
        </w:rPr>
        <w:t>g on 31st March in the year con</w:t>
      </w:r>
      <w:r w:rsidR="008A4175" w:rsidRPr="00903313">
        <w:rPr>
          <w:rFonts w:ascii="Times New Roman" w:hAnsi="Times New Roman" w:cs="Times New Roman"/>
        </w:rPr>
        <w:t>cerned exceed the average wages per person employed in Australia in the period of twelve months ending on 31st March in the year preceding the year concer</w:t>
      </w:r>
      <w:r w:rsidRPr="00903313">
        <w:rPr>
          <w:rFonts w:ascii="Times New Roman" w:hAnsi="Times New Roman" w:cs="Times New Roman"/>
        </w:rPr>
        <w:t>ned—an amount equal to such per</w:t>
      </w:r>
      <w:r w:rsidR="008A4175" w:rsidRPr="00903313">
        <w:rPr>
          <w:rFonts w:ascii="Times New Roman" w:hAnsi="Times New Roman" w:cs="Times New Roman"/>
        </w:rPr>
        <w:t>centage of the amount ascertained under paragraph (a) as is equal to the percentage by which the first-mentioned average wages exceed the second-mentioned average wages; and</w:t>
      </w:r>
    </w:p>
    <w:p w14:paraId="7FC3ED26" w14:textId="77777777" w:rsidR="00290D07" w:rsidRPr="00196500" w:rsidRDefault="00903313" w:rsidP="0016313D">
      <w:pPr>
        <w:ind w:left="720" w:hanging="324"/>
        <w:jc w:val="both"/>
        <w:rPr>
          <w:rFonts w:ascii="Times New Roman" w:hAnsi="Times New Roman" w:cs="Times New Roman"/>
        </w:rPr>
      </w:pPr>
      <w:r w:rsidRPr="00903313">
        <w:rPr>
          <w:rFonts w:ascii="Times New Roman" w:hAnsi="Times New Roman" w:cs="Times New Roman"/>
        </w:rPr>
        <w:t xml:space="preserve">(c) </w:t>
      </w:r>
      <w:r w:rsidR="008A4175" w:rsidRPr="00196500">
        <w:rPr>
          <w:rFonts w:ascii="Times New Roman" w:hAnsi="Times New Roman" w:cs="Times New Roman"/>
        </w:rPr>
        <w:t>an amount equal to 1.8 per centum of the sum of the amount ascertained in accordance with paragraph (a) and the amount, if any, ascertained in accordance with paragraph (b).</w:t>
      </w:r>
    </w:p>
    <w:p w14:paraId="1A6DCC49" w14:textId="77777777" w:rsidR="00290D07" w:rsidRPr="00196500" w:rsidRDefault="00903313" w:rsidP="0016313D">
      <w:pPr>
        <w:pStyle w:val="Bodytext90"/>
        <w:spacing w:line="240" w:lineRule="auto"/>
        <w:ind w:firstLine="270"/>
        <w:rPr>
          <w:sz w:val="24"/>
          <w:szCs w:val="24"/>
        </w:rPr>
      </w:pPr>
      <w:r>
        <w:rPr>
          <w:sz w:val="24"/>
          <w:szCs w:val="24"/>
        </w:rPr>
        <w:t xml:space="preserve">(2) </w:t>
      </w:r>
      <w:r w:rsidR="008A4175" w:rsidRPr="00196500">
        <w:rPr>
          <w:sz w:val="24"/>
          <w:szCs w:val="24"/>
        </w:rPr>
        <w:t>For the purpose of ascertaining the amount of the grant to be aid under this section to a State during the base year, there shall be deemed to have been paid under this section to that State during the year preceding the base year a grant equal to the amount specified in the following table opposite to the name of the State:—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71"/>
        <w:gridCol w:w="639"/>
        <w:gridCol w:w="1346"/>
        <w:gridCol w:w="94"/>
      </w:tblGrid>
      <w:tr w:rsidR="00290D07" w:rsidRPr="00196500" w14:paraId="43A31616" w14:textId="77777777" w:rsidTr="009714C6">
        <w:trPr>
          <w:trHeight w:val="70"/>
        </w:trPr>
        <w:tc>
          <w:tcPr>
            <w:tcW w:w="8010" w:type="dxa"/>
            <w:gridSpan w:val="2"/>
          </w:tcPr>
          <w:p w14:paraId="0142BB34" w14:textId="77777777" w:rsidR="00290D07" w:rsidRPr="00196500" w:rsidRDefault="00290D07" w:rsidP="0016313D">
            <w:pPr>
              <w:jc w:val="both"/>
              <w:rPr>
                <w:rFonts w:ascii="Times New Roman" w:hAnsi="Times New Roman" w:cs="Times New Roman"/>
              </w:rPr>
            </w:pPr>
          </w:p>
        </w:tc>
        <w:tc>
          <w:tcPr>
            <w:tcW w:w="1440" w:type="dxa"/>
            <w:gridSpan w:val="2"/>
            <w:vAlign w:val="center"/>
          </w:tcPr>
          <w:p w14:paraId="78147395" w14:textId="77777777" w:rsidR="00290D07" w:rsidRPr="00C32E16" w:rsidRDefault="00C32E16" w:rsidP="00344E57">
            <w:pPr>
              <w:pStyle w:val="BodyText21"/>
              <w:spacing w:line="240" w:lineRule="auto"/>
              <w:ind w:firstLine="0"/>
              <w:jc w:val="center"/>
              <w:rPr>
                <w:i/>
                <w:sz w:val="24"/>
                <w:szCs w:val="24"/>
              </w:rPr>
            </w:pPr>
            <w:r w:rsidRPr="00C32E16">
              <w:rPr>
                <w:rStyle w:val="Bodytext11pt"/>
                <w:i w:val="0"/>
                <w:sz w:val="24"/>
                <w:szCs w:val="24"/>
              </w:rPr>
              <w:t>$</w:t>
            </w:r>
          </w:p>
        </w:tc>
      </w:tr>
      <w:tr w:rsidR="00290D07" w:rsidRPr="00196500" w14:paraId="768A5B1E" w14:textId="77777777" w:rsidTr="007D0975">
        <w:trPr>
          <w:gridAfter w:val="1"/>
          <w:wAfter w:w="94" w:type="dxa"/>
          <w:trHeight w:val="240"/>
        </w:trPr>
        <w:tc>
          <w:tcPr>
            <w:tcW w:w="7371" w:type="dxa"/>
            <w:vAlign w:val="bottom"/>
          </w:tcPr>
          <w:p w14:paraId="62933237" w14:textId="77777777" w:rsidR="00290D07" w:rsidRPr="00196500" w:rsidRDefault="008A4175" w:rsidP="007D0975">
            <w:pPr>
              <w:pStyle w:val="BodyText21"/>
              <w:tabs>
                <w:tab w:val="left" w:leader="dot" w:pos="7503"/>
              </w:tabs>
              <w:spacing w:line="240" w:lineRule="auto"/>
              <w:ind w:left="2600" w:hanging="342"/>
              <w:rPr>
                <w:sz w:val="24"/>
                <w:szCs w:val="24"/>
              </w:rPr>
            </w:pPr>
            <w:r w:rsidRPr="00196500">
              <w:rPr>
                <w:rStyle w:val="Bodytext11pt0"/>
                <w:sz w:val="24"/>
                <w:szCs w:val="24"/>
              </w:rPr>
              <w:t>New South Wales</w:t>
            </w:r>
            <w:r w:rsidR="00AF2BF9">
              <w:rPr>
                <w:rStyle w:val="Bodytext11pt0"/>
                <w:sz w:val="24"/>
                <w:szCs w:val="24"/>
              </w:rPr>
              <w:tab/>
            </w:r>
          </w:p>
        </w:tc>
        <w:tc>
          <w:tcPr>
            <w:tcW w:w="1985" w:type="dxa"/>
            <w:gridSpan w:val="2"/>
            <w:vAlign w:val="bottom"/>
          </w:tcPr>
          <w:p w14:paraId="43FA5B38" w14:textId="77777777"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521,963,309</w:t>
            </w:r>
          </w:p>
        </w:tc>
      </w:tr>
      <w:tr w:rsidR="00290D07" w:rsidRPr="00196500" w14:paraId="6A5CBB3B" w14:textId="77777777" w:rsidTr="007D0975">
        <w:trPr>
          <w:gridAfter w:val="1"/>
          <w:wAfter w:w="94" w:type="dxa"/>
          <w:trHeight w:val="240"/>
        </w:trPr>
        <w:tc>
          <w:tcPr>
            <w:tcW w:w="7371" w:type="dxa"/>
            <w:vAlign w:val="bottom"/>
          </w:tcPr>
          <w:p w14:paraId="34D67DB1" w14:textId="77777777" w:rsidR="00290D07" w:rsidRPr="00903313" w:rsidRDefault="008A4175" w:rsidP="007D0975">
            <w:pPr>
              <w:pStyle w:val="BodyText21"/>
              <w:tabs>
                <w:tab w:val="left" w:leader="dot" w:pos="7503"/>
              </w:tabs>
              <w:spacing w:line="240" w:lineRule="auto"/>
              <w:ind w:left="2600" w:hanging="342"/>
              <w:rPr>
                <w:rStyle w:val="Bodytext11pt"/>
                <w:i w:val="0"/>
                <w:sz w:val="24"/>
                <w:szCs w:val="24"/>
              </w:rPr>
            </w:pPr>
            <w:r w:rsidRPr="00903313">
              <w:rPr>
                <w:rStyle w:val="Bodytext11pt"/>
                <w:i w:val="0"/>
                <w:sz w:val="24"/>
                <w:szCs w:val="24"/>
              </w:rPr>
              <w:t>Victoria</w:t>
            </w:r>
            <w:r w:rsidR="00AF2BF9">
              <w:rPr>
                <w:rStyle w:val="Bodytext11pt"/>
                <w:i w:val="0"/>
                <w:sz w:val="24"/>
                <w:szCs w:val="24"/>
              </w:rPr>
              <w:tab/>
            </w:r>
          </w:p>
        </w:tc>
        <w:tc>
          <w:tcPr>
            <w:tcW w:w="1985" w:type="dxa"/>
            <w:gridSpan w:val="2"/>
            <w:vAlign w:val="bottom"/>
          </w:tcPr>
          <w:p w14:paraId="23A0C971" w14:textId="77777777"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396,087,449</w:t>
            </w:r>
          </w:p>
        </w:tc>
      </w:tr>
      <w:tr w:rsidR="00290D07" w:rsidRPr="00196500" w14:paraId="18895E92" w14:textId="77777777" w:rsidTr="007D0975">
        <w:trPr>
          <w:gridAfter w:val="1"/>
          <w:wAfter w:w="94" w:type="dxa"/>
          <w:trHeight w:val="250"/>
        </w:trPr>
        <w:tc>
          <w:tcPr>
            <w:tcW w:w="7371" w:type="dxa"/>
            <w:vAlign w:val="bottom"/>
          </w:tcPr>
          <w:p w14:paraId="0287B5B5" w14:textId="77777777" w:rsidR="00290D07" w:rsidRPr="00903313" w:rsidRDefault="008A4175" w:rsidP="007D0975">
            <w:pPr>
              <w:pStyle w:val="BodyText21"/>
              <w:tabs>
                <w:tab w:val="left" w:leader="dot" w:pos="7503"/>
              </w:tabs>
              <w:spacing w:line="240" w:lineRule="auto"/>
              <w:ind w:left="2600" w:hanging="342"/>
              <w:rPr>
                <w:rStyle w:val="Bodytext11pt"/>
                <w:i w:val="0"/>
                <w:sz w:val="24"/>
                <w:szCs w:val="24"/>
              </w:rPr>
            </w:pPr>
            <w:r w:rsidRPr="00903313">
              <w:rPr>
                <w:rStyle w:val="Bodytext11pt"/>
                <w:i w:val="0"/>
                <w:sz w:val="24"/>
                <w:szCs w:val="24"/>
              </w:rPr>
              <w:t>Queensland</w:t>
            </w:r>
            <w:r w:rsidR="00AF2BF9">
              <w:rPr>
                <w:rStyle w:val="Bodytext11pt"/>
                <w:i w:val="0"/>
                <w:sz w:val="24"/>
                <w:szCs w:val="24"/>
              </w:rPr>
              <w:tab/>
            </w:r>
          </w:p>
        </w:tc>
        <w:tc>
          <w:tcPr>
            <w:tcW w:w="1985" w:type="dxa"/>
            <w:gridSpan w:val="2"/>
            <w:vAlign w:val="bottom"/>
          </w:tcPr>
          <w:p w14:paraId="2B528A1E" w14:textId="77777777"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273,945,514</w:t>
            </w:r>
          </w:p>
        </w:tc>
      </w:tr>
      <w:tr w:rsidR="00290D07" w:rsidRPr="00196500" w14:paraId="24E2797D" w14:textId="77777777" w:rsidTr="007D0975">
        <w:trPr>
          <w:gridAfter w:val="1"/>
          <w:wAfter w:w="94" w:type="dxa"/>
          <w:trHeight w:val="221"/>
        </w:trPr>
        <w:tc>
          <w:tcPr>
            <w:tcW w:w="7371" w:type="dxa"/>
            <w:vAlign w:val="bottom"/>
          </w:tcPr>
          <w:p w14:paraId="68FDBDF6" w14:textId="77777777" w:rsidR="00290D07" w:rsidRPr="00903313" w:rsidRDefault="008A4175" w:rsidP="007D0975">
            <w:pPr>
              <w:pStyle w:val="BodyText21"/>
              <w:tabs>
                <w:tab w:val="left" w:leader="dot" w:pos="7503"/>
              </w:tabs>
              <w:spacing w:line="240" w:lineRule="auto"/>
              <w:ind w:left="2600" w:hanging="342"/>
              <w:rPr>
                <w:rStyle w:val="Bodytext11pt"/>
                <w:i w:val="0"/>
                <w:sz w:val="24"/>
                <w:szCs w:val="24"/>
              </w:rPr>
            </w:pPr>
            <w:r w:rsidRPr="00903313">
              <w:rPr>
                <w:rStyle w:val="Bodytext11pt"/>
                <w:i w:val="0"/>
                <w:sz w:val="24"/>
                <w:szCs w:val="24"/>
              </w:rPr>
              <w:t>South Australia</w:t>
            </w:r>
            <w:r w:rsidR="00AF2BF9">
              <w:rPr>
                <w:rStyle w:val="Bodytext11pt"/>
                <w:i w:val="0"/>
                <w:sz w:val="24"/>
                <w:szCs w:val="24"/>
              </w:rPr>
              <w:tab/>
            </w:r>
          </w:p>
        </w:tc>
        <w:tc>
          <w:tcPr>
            <w:tcW w:w="1985" w:type="dxa"/>
            <w:gridSpan w:val="2"/>
            <w:vAlign w:val="bottom"/>
          </w:tcPr>
          <w:p w14:paraId="696D65AC" w14:textId="77777777"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181,429,749</w:t>
            </w:r>
          </w:p>
        </w:tc>
      </w:tr>
      <w:tr w:rsidR="00290D07" w:rsidRPr="00196500" w14:paraId="315296E8" w14:textId="77777777" w:rsidTr="007D0975">
        <w:trPr>
          <w:gridAfter w:val="1"/>
          <w:wAfter w:w="94" w:type="dxa"/>
          <w:trHeight w:val="240"/>
        </w:trPr>
        <w:tc>
          <w:tcPr>
            <w:tcW w:w="7371" w:type="dxa"/>
            <w:vAlign w:val="bottom"/>
          </w:tcPr>
          <w:p w14:paraId="1F5B6982" w14:textId="77777777" w:rsidR="00290D07" w:rsidRPr="00903313" w:rsidRDefault="008A4175" w:rsidP="007D0975">
            <w:pPr>
              <w:pStyle w:val="BodyText21"/>
              <w:tabs>
                <w:tab w:val="left" w:leader="dot" w:pos="7503"/>
              </w:tabs>
              <w:spacing w:line="240" w:lineRule="auto"/>
              <w:ind w:left="2600" w:hanging="342"/>
              <w:rPr>
                <w:rStyle w:val="Bodytext11pt"/>
                <w:i w:val="0"/>
                <w:sz w:val="24"/>
                <w:szCs w:val="24"/>
              </w:rPr>
            </w:pPr>
            <w:r w:rsidRPr="00903313">
              <w:rPr>
                <w:rStyle w:val="Bodytext11pt"/>
                <w:i w:val="0"/>
                <w:sz w:val="24"/>
                <w:szCs w:val="24"/>
              </w:rPr>
              <w:t>Western Australia</w:t>
            </w:r>
            <w:r w:rsidR="00AF2BF9">
              <w:rPr>
                <w:rStyle w:val="Bodytext11pt"/>
                <w:i w:val="0"/>
                <w:sz w:val="24"/>
                <w:szCs w:val="24"/>
              </w:rPr>
              <w:tab/>
            </w:r>
          </w:p>
        </w:tc>
        <w:tc>
          <w:tcPr>
            <w:tcW w:w="1985" w:type="dxa"/>
            <w:gridSpan w:val="2"/>
            <w:vAlign w:val="bottom"/>
          </w:tcPr>
          <w:p w14:paraId="10EB6371" w14:textId="77777777"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186,369,458</w:t>
            </w:r>
          </w:p>
        </w:tc>
      </w:tr>
      <w:tr w:rsidR="00290D07" w:rsidRPr="00196500" w14:paraId="3F91BC24" w14:textId="77777777" w:rsidTr="007D0975">
        <w:trPr>
          <w:gridAfter w:val="1"/>
          <w:wAfter w:w="94" w:type="dxa"/>
          <w:trHeight w:val="312"/>
        </w:trPr>
        <w:tc>
          <w:tcPr>
            <w:tcW w:w="7371" w:type="dxa"/>
          </w:tcPr>
          <w:p w14:paraId="4874063E" w14:textId="77777777" w:rsidR="00290D07" w:rsidRPr="00903313" w:rsidRDefault="008A4175" w:rsidP="007D0975">
            <w:pPr>
              <w:pStyle w:val="BodyText21"/>
              <w:tabs>
                <w:tab w:val="left" w:leader="dot" w:pos="7503"/>
              </w:tabs>
              <w:spacing w:line="240" w:lineRule="auto"/>
              <w:ind w:left="2600" w:hanging="342"/>
              <w:rPr>
                <w:rStyle w:val="Bodytext11pt"/>
                <w:i w:val="0"/>
                <w:sz w:val="24"/>
                <w:szCs w:val="24"/>
              </w:rPr>
            </w:pPr>
            <w:r w:rsidRPr="00903313">
              <w:rPr>
                <w:rStyle w:val="Bodytext11pt"/>
                <w:i w:val="0"/>
                <w:sz w:val="24"/>
                <w:szCs w:val="24"/>
              </w:rPr>
              <w:t>Tasmania</w:t>
            </w:r>
            <w:r w:rsidR="00AF2BF9">
              <w:rPr>
                <w:rStyle w:val="Bodytext11pt"/>
                <w:i w:val="0"/>
                <w:sz w:val="24"/>
                <w:szCs w:val="24"/>
              </w:rPr>
              <w:tab/>
            </w:r>
          </w:p>
        </w:tc>
        <w:tc>
          <w:tcPr>
            <w:tcW w:w="1985" w:type="dxa"/>
            <w:gridSpan w:val="2"/>
            <w:vAlign w:val="bottom"/>
          </w:tcPr>
          <w:p w14:paraId="262048B3" w14:textId="7D42A38B" w:rsidR="00290D07" w:rsidRPr="00196500" w:rsidRDefault="008A4175" w:rsidP="00344E57">
            <w:pPr>
              <w:pStyle w:val="BodyText21"/>
              <w:tabs>
                <w:tab w:val="left" w:leader="dot" w:pos="7503"/>
              </w:tabs>
              <w:spacing w:line="240" w:lineRule="auto"/>
              <w:ind w:right="144" w:hanging="342"/>
              <w:jc w:val="right"/>
              <w:rPr>
                <w:sz w:val="24"/>
                <w:szCs w:val="24"/>
              </w:rPr>
            </w:pPr>
            <w:r w:rsidRPr="00196500">
              <w:rPr>
                <w:rStyle w:val="Bodytext11pt0"/>
                <w:sz w:val="24"/>
                <w:szCs w:val="24"/>
              </w:rPr>
              <w:t>79,497,850</w:t>
            </w:r>
          </w:p>
        </w:tc>
      </w:tr>
    </w:tbl>
    <w:p w14:paraId="54EB84FF" w14:textId="77777777" w:rsidR="00C32E16" w:rsidRDefault="00C32E16" w:rsidP="0016313D">
      <w:pPr>
        <w:pStyle w:val="Bodytext90"/>
        <w:spacing w:line="240" w:lineRule="auto"/>
        <w:ind w:firstLine="0"/>
        <w:rPr>
          <w:sz w:val="24"/>
          <w:szCs w:val="24"/>
        </w:rPr>
      </w:pPr>
    </w:p>
    <w:p w14:paraId="6A5A1542" w14:textId="77777777" w:rsidR="00C32E16" w:rsidRDefault="00C32E16" w:rsidP="007D0975">
      <w:pPr>
        <w:jc w:val="center"/>
        <w:rPr>
          <w:rFonts w:ascii="Times New Roman" w:eastAsia="Times New Roman" w:hAnsi="Times New Roman" w:cs="Times New Roman"/>
        </w:rPr>
      </w:pPr>
      <w:r>
        <w:br w:type="page"/>
      </w:r>
    </w:p>
    <w:p w14:paraId="1CEE7107" w14:textId="77777777" w:rsidR="00290D07" w:rsidRPr="00196500" w:rsidRDefault="00C32E16" w:rsidP="0016313D">
      <w:pPr>
        <w:pStyle w:val="Bodytext90"/>
        <w:spacing w:after="60" w:line="240" w:lineRule="auto"/>
        <w:ind w:firstLine="274"/>
        <w:rPr>
          <w:sz w:val="24"/>
          <w:szCs w:val="24"/>
        </w:rPr>
      </w:pPr>
      <w:r>
        <w:rPr>
          <w:sz w:val="24"/>
          <w:szCs w:val="24"/>
        </w:rPr>
        <w:lastRenderedPageBreak/>
        <w:t>(3)</w:t>
      </w:r>
      <w:r w:rsidR="00903313">
        <w:rPr>
          <w:sz w:val="24"/>
          <w:szCs w:val="24"/>
        </w:rPr>
        <w:t xml:space="preserve"> </w:t>
      </w:r>
      <w:r w:rsidR="008A4175" w:rsidRPr="00196500">
        <w:rPr>
          <w:sz w:val="24"/>
          <w:szCs w:val="24"/>
        </w:rPr>
        <w:t>There shall be deducted from the amount of the grant that, but for this sub-section, would be payable under this section to a State in the year commencing on 1st July, 1974, the amount specified in the following table opposite to the name of the State:—</w:t>
      </w:r>
    </w:p>
    <w:tbl>
      <w:tblPr>
        <w:tblOverlap w:val="never"/>
        <w:tblW w:w="0" w:type="auto"/>
        <w:tblLayout w:type="fixed"/>
        <w:tblCellMar>
          <w:left w:w="10" w:type="dxa"/>
          <w:right w:w="10" w:type="dxa"/>
        </w:tblCellMar>
        <w:tblLook w:val="0000" w:firstRow="0" w:lastRow="0" w:firstColumn="0" w:lastColumn="0" w:noHBand="0" w:noVBand="0"/>
      </w:tblPr>
      <w:tblGrid>
        <w:gridCol w:w="8020"/>
        <w:gridCol w:w="1440"/>
      </w:tblGrid>
      <w:tr w:rsidR="00290D07" w:rsidRPr="00196500" w14:paraId="349B7EF5" w14:textId="77777777" w:rsidTr="009714C6">
        <w:trPr>
          <w:trHeight w:val="221"/>
        </w:trPr>
        <w:tc>
          <w:tcPr>
            <w:tcW w:w="8020" w:type="dxa"/>
          </w:tcPr>
          <w:p w14:paraId="0272CA2D" w14:textId="77777777" w:rsidR="00290D07" w:rsidRPr="00196500" w:rsidRDefault="00290D07" w:rsidP="0016313D">
            <w:pPr>
              <w:jc w:val="both"/>
              <w:rPr>
                <w:rFonts w:ascii="Times New Roman" w:hAnsi="Times New Roman" w:cs="Times New Roman"/>
              </w:rPr>
            </w:pPr>
          </w:p>
        </w:tc>
        <w:tc>
          <w:tcPr>
            <w:tcW w:w="1440" w:type="dxa"/>
            <w:vAlign w:val="center"/>
          </w:tcPr>
          <w:p w14:paraId="08C2CF68" w14:textId="77777777" w:rsidR="00290D07" w:rsidRPr="00196500" w:rsidRDefault="008A4175" w:rsidP="00F3625A">
            <w:pPr>
              <w:pStyle w:val="BodyText21"/>
              <w:spacing w:line="240" w:lineRule="auto"/>
              <w:ind w:firstLine="0"/>
              <w:jc w:val="center"/>
              <w:rPr>
                <w:sz w:val="24"/>
                <w:szCs w:val="24"/>
              </w:rPr>
            </w:pPr>
            <w:r w:rsidRPr="00196500">
              <w:rPr>
                <w:rStyle w:val="Bodytext11pt0"/>
                <w:sz w:val="24"/>
                <w:szCs w:val="24"/>
              </w:rPr>
              <w:t>$</w:t>
            </w:r>
          </w:p>
        </w:tc>
      </w:tr>
      <w:tr w:rsidR="00290D07" w:rsidRPr="00196500" w14:paraId="00140B69" w14:textId="77777777" w:rsidTr="009714C6">
        <w:trPr>
          <w:trHeight w:val="298"/>
        </w:trPr>
        <w:tc>
          <w:tcPr>
            <w:tcW w:w="8020" w:type="dxa"/>
            <w:vAlign w:val="bottom"/>
          </w:tcPr>
          <w:p w14:paraId="4C6253FC" w14:textId="77777777" w:rsidR="00290D07" w:rsidRPr="00F3625A" w:rsidRDefault="008A4175" w:rsidP="00F3625A">
            <w:pPr>
              <w:pStyle w:val="BodyText21"/>
              <w:tabs>
                <w:tab w:val="left" w:leader="dot" w:pos="7879"/>
              </w:tabs>
              <w:spacing w:line="240" w:lineRule="auto"/>
              <w:ind w:left="2600" w:firstLine="0"/>
              <w:rPr>
                <w:rStyle w:val="Bodytext11pt0"/>
                <w:sz w:val="24"/>
                <w:szCs w:val="24"/>
              </w:rPr>
            </w:pPr>
            <w:r w:rsidRPr="00196500">
              <w:rPr>
                <w:rStyle w:val="Bodytext11pt0"/>
                <w:sz w:val="24"/>
                <w:szCs w:val="24"/>
              </w:rPr>
              <w:t>New South Wales</w:t>
            </w:r>
            <w:r w:rsidR="00AF2BF9">
              <w:rPr>
                <w:rStyle w:val="Bodytext11pt0"/>
                <w:sz w:val="24"/>
                <w:szCs w:val="24"/>
              </w:rPr>
              <w:tab/>
            </w:r>
          </w:p>
        </w:tc>
        <w:tc>
          <w:tcPr>
            <w:tcW w:w="1440" w:type="dxa"/>
            <w:vAlign w:val="bottom"/>
          </w:tcPr>
          <w:p w14:paraId="733CD714"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75,200,000</w:t>
            </w:r>
          </w:p>
        </w:tc>
      </w:tr>
      <w:tr w:rsidR="00290D07" w:rsidRPr="00196500" w14:paraId="41C9689B" w14:textId="77777777" w:rsidTr="009714C6">
        <w:trPr>
          <w:trHeight w:val="269"/>
        </w:trPr>
        <w:tc>
          <w:tcPr>
            <w:tcW w:w="8020" w:type="dxa"/>
            <w:vAlign w:val="bottom"/>
          </w:tcPr>
          <w:p w14:paraId="1C06796A" w14:textId="77777777" w:rsidR="00290D07" w:rsidRPr="00F3625A" w:rsidRDefault="008A4175" w:rsidP="00F3625A">
            <w:pPr>
              <w:pStyle w:val="BodyText21"/>
              <w:tabs>
                <w:tab w:val="left" w:leader="dot" w:pos="7879"/>
              </w:tabs>
              <w:spacing w:line="240" w:lineRule="auto"/>
              <w:ind w:left="2600" w:firstLine="0"/>
              <w:rPr>
                <w:rStyle w:val="Bodytext11pt0"/>
                <w:sz w:val="24"/>
                <w:szCs w:val="24"/>
              </w:rPr>
            </w:pPr>
            <w:r w:rsidRPr="00196500">
              <w:rPr>
                <w:rStyle w:val="Bodytext11pt0"/>
                <w:sz w:val="24"/>
                <w:szCs w:val="24"/>
              </w:rPr>
              <w:t>Victoria</w:t>
            </w:r>
            <w:r w:rsidR="00AF2BF9">
              <w:rPr>
                <w:rStyle w:val="Bodytext11pt0"/>
                <w:sz w:val="24"/>
                <w:szCs w:val="24"/>
              </w:rPr>
              <w:tab/>
            </w:r>
          </w:p>
        </w:tc>
        <w:tc>
          <w:tcPr>
            <w:tcW w:w="1440" w:type="dxa"/>
            <w:vAlign w:val="bottom"/>
          </w:tcPr>
          <w:p w14:paraId="3F6C88D0"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70,800,000</w:t>
            </w:r>
          </w:p>
        </w:tc>
      </w:tr>
      <w:tr w:rsidR="00290D07" w:rsidRPr="00196500" w14:paraId="2965C9A3" w14:textId="77777777" w:rsidTr="009714C6">
        <w:trPr>
          <w:trHeight w:val="243"/>
        </w:trPr>
        <w:tc>
          <w:tcPr>
            <w:tcW w:w="8020" w:type="dxa"/>
            <w:vAlign w:val="bottom"/>
          </w:tcPr>
          <w:p w14:paraId="66BEE25D"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Queensland</w:t>
            </w:r>
            <w:r w:rsidR="00AF2BF9" w:rsidRPr="00F3625A">
              <w:rPr>
                <w:rStyle w:val="Bodytext11pt0"/>
                <w:iCs/>
                <w:sz w:val="24"/>
                <w:szCs w:val="24"/>
              </w:rPr>
              <w:tab/>
            </w:r>
          </w:p>
        </w:tc>
        <w:tc>
          <w:tcPr>
            <w:tcW w:w="1440" w:type="dxa"/>
            <w:vAlign w:val="bottom"/>
          </w:tcPr>
          <w:p w14:paraId="43FF04BE"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27,600,000</w:t>
            </w:r>
          </w:p>
        </w:tc>
      </w:tr>
      <w:tr w:rsidR="00290D07" w:rsidRPr="00196500" w14:paraId="66B55D6B" w14:textId="77777777" w:rsidTr="009714C6">
        <w:trPr>
          <w:trHeight w:val="250"/>
        </w:trPr>
        <w:tc>
          <w:tcPr>
            <w:tcW w:w="8020" w:type="dxa"/>
            <w:vAlign w:val="bottom"/>
          </w:tcPr>
          <w:p w14:paraId="40F5392C"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South Australia</w:t>
            </w:r>
            <w:r w:rsidR="00AF2BF9" w:rsidRPr="00F3625A">
              <w:rPr>
                <w:rStyle w:val="Bodytext11pt0"/>
                <w:iCs/>
                <w:sz w:val="24"/>
                <w:szCs w:val="24"/>
              </w:rPr>
              <w:tab/>
            </w:r>
          </w:p>
        </w:tc>
        <w:tc>
          <w:tcPr>
            <w:tcW w:w="1440" w:type="dxa"/>
            <w:vAlign w:val="bottom"/>
          </w:tcPr>
          <w:p w14:paraId="1A9F275A"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24,700,000</w:t>
            </w:r>
          </w:p>
        </w:tc>
      </w:tr>
      <w:tr w:rsidR="00290D07" w:rsidRPr="00196500" w14:paraId="1F27C98B" w14:textId="77777777" w:rsidTr="009714C6">
        <w:trPr>
          <w:trHeight w:val="278"/>
        </w:trPr>
        <w:tc>
          <w:tcPr>
            <w:tcW w:w="8020" w:type="dxa"/>
            <w:vAlign w:val="bottom"/>
          </w:tcPr>
          <w:p w14:paraId="56CDB4C6"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Western Australia</w:t>
            </w:r>
            <w:r w:rsidR="00AF2BF9" w:rsidRPr="00F3625A">
              <w:rPr>
                <w:rStyle w:val="Bodytext11pt0"/>
                <w:iCs/>
                <w:sz w:val="24"/>
                <w:szCs w:val="24"/>
              </w:rPr>
              <w:tab/>
            </w:r>
          </w:p>
        </w:tc>
        <w:tc>
          <w:tcPr>
            <w:tcW w:w="1440" w:type="dxa"/>
            <w:vAlign w:val="bottom"/>
          </w:tcPr>
          <w:p w14:paraId="2C9D0724"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24,200,000</w:t>
            </w:r>
          </w:p>
        </w:tc>
      </w:tr>
      <w:tr w:rsidR="00290D07" w:rsidRPr="00196500" w14:paraId="67E7342D" w14:textId="77777777" w:rsidTr="009714C6">
        <w:trPr>
          <w:trHeight w:val="293"/>
        </w:trPr>
        <w:tc>
          <w:tcPr>
            <w:tcW w:w="8020" w:type="dxa"/>
            <w:vAlign w:val="bottom"/>
          </w:tcPr>
          <w:p w14:paraId="546BAEB0"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Tasmania</w:t>
            </w:r>
            <w:r w:rsidR="00AF2BF9" w:rsidRPr="00F3625A">
              <w:rPr>
                <w:rStyle w:val="Bodytext11pt0"/>
                <w:iCs/>
                <w:sz w:val="24"/>
                <w:szCs w:val="24"/>
              </w:rPr>
              <w:tab/>
            </w:r>
          </w:p>
        </w:tc>
        <w:tc>
          <w:tcPr>
            <w:tcW w:w="1440" w:type="dxa"/>
            <w:vAlign w:val="bottom"/>
          </w:tcPr>
          <w:p w14:paraId="421983EF" w14:textId="5C318729"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7,200,000</w:t>
            </w:r>
          </w:p>
        </w:tc>
      </w:tr>
    </w:tbl>
    <w:p w14:paraId="2BC97FB6" w14:textId="77777777" w:rsidR="00290D07" w:rsidRPr="00196500" w:rsidRDefault="009714C6" w:rsidP="00F3625A">
      <w:pPr>
        <w:pStyle w:val="Bodytext90"/>
        <w:spacing w:before="60" w:after="60" w:line="240" w:lineRule="auto"/>
        <w:ind w:firstLine="270"/>
        <w:rPr>
          <w:sz w:val="24"/>
          <w:szCs w:val="24"/>
        </w:rPr>
      </w:pPr>
      <w:r>
        <w:rPr>
          <w:sz w:val="24"/>
          <w:szCs w:val="24"/>
        </w:rPr>
        <w:t xml:space="preserve">(4) </w:t>
      </w:r>
      <w:r w:rsidR="008A4175" w:rsidRPr="00196500">
        <w:rPr>
          <w:sz w:val="24"/>
          <w:szCs w:val="24"/>
        </w:rPr>
        <w:t>For the purpose of ascertaining the amount of the grant to be paid under this section to the State of Queensland during the year commencing on 1st July, 1974, the amount of the grant under this section paid to that State during the year that commenced on 1st July, 1973, shall be deemed to be an amount equal to the sum of the amount of that last-mentioned grant and Two million dollars.</w:t>
      </w:r>
    </w:p>
    <w:p w14:paraId="6C352907" w14:textId="77777777" w:rsidR="00290D07" w:rsidRPr="009714C6" w:rsidRDefault="008A4175" w:rsidP="0016313D">
      <w:pPr>
        <w:pStyle w:val="BodyText21"/>
        <w:spacing w:before="120" w:after="60" w:line="240" w:lineRule="auto"/>
        <w:ind w:firstLine="0"/>
        <w:rPr>
          <w:b/>
          <w:sz w:val="20"/>
          <w:szCs w:val="20"/>
        </w:rPr>
      </w:pPr>
      <w:r w:rsidRPr="009714C6">
        <w:rPr>
          <w:rStyle w:val="Bodytext9pt"/>
          <w:b/>
          <w:sz w:val="20"/>
          <w:szCs w:val="20"/>
        </w:rPr>
        <w:t>Deductions</w:t>
      </w:r>
      <w:r w:rsidR="009714C6" w:rsidRPr="009714C6">
        <w:rPr>
          <w:b/>
          <w:sz w:val="20"/>
          <w:szCs w:val="20"/>
        </w:rPr>
        <w:t xml:space="preserve"> </w:t>
      </w:r>
      <w:r w:rsidRPr="009714C6">
        <w:rPr>
          <w:rStyle w:val="Bodytext9pt"/>
          <w:b/>
          <w:sz w:val="20"/>
          <w:szCs w:val="20"/>
        </w:rPr>
        <w:t>during</w:t>
      </w:r>
      <w:r w:rsidR="009714C6" w:rsidRPr="009714C6">
        <w:rPr>
          <w:rStyle w:val="Bodytext9pt"/>
          <w:b/>
          <w:sz w:val="20"/>
          <w:szCs w:val="20"/>
        </w:rPr>
        <w:t xml:space="preserve"> </w:t>
      </w:r>
      <w:r w:rsidRPr="009714C6">
        <w:rPr>
          <w:b/>
          <w:sz w:val="20"/>
          <w:szCs w:val="20"/>
        </w:rPr>
        <w:t>1973</w:t>
      </w:r>
      <w:r w:rsidRPr="009714C6">
        <w:rPr>
          <w:rStyle w:val="Bodytext665pt"/>
          <w:rFonts w:ascii="Times New Roman" w:hAnsi="Times New Roman" w:cs="Times New Roman"/>
          <w:b/>
          <w:sz w:val="20"/>
          <w:szCs w:val="20"/>
        </w:rPr>
        <w:t>-</w:t>
      </w:r>
      <w:r w:rsidRPr="009714C6">
        <w:rPr>
          <w:b/>
          <w:sz w:val="20"/>
          <w:szCs w:val="20"/>
        </w:rPr>
        <w:t>74</w:t>
      </w:r>
      <w:r w:rsidRPr="009714C6">
        <w:rPr>
          <w:rStyle w:val="Bodytext665pt"/>
          <w:rFonts w:ascii="Times New Roman" w:hAnsi="Times New Roman" w:cs="Times New Roman"/>
          <w:b/>
          <w:sz w:val="20"/>
          <w:szCs w:val="20"/>
        </w:rPr>
        <w:t>.</w:t>
      </w:r>
    </w:p>
    <w:p w14:paraId="4E73EF6C" w14:textId="77777777" w:rsidR="00290D07" w:rsidRPr="00196500" w:rsidRDefault="009714C6" w:rsidP="0016313D">
      <w:pPr>
        <w:pStyle w:val="Bodytext90"/>
        <w:tabs>
          <w:tab w:val="left" w:pos="630"/>
        </w:tabs>
        <w:spacing w:after="60" w:line="240" w:lineRule="auto"/>
        <w:ind w:firstLine="274"/>
        <w:rPr>
          <w:sz w:val="24"/>
          <w:szCs w:val="24"/>
        </w:rPr>
      </w:pPr>
      <w:r w:rsidRPr="009714C6">
        <w:rPr>
          <w:b/>
          <w:sz w:val="24"/>
          <w:szCs w:val="24"/>
        </w:rPr>
        <w:t>7.</w:t>
      </w:r>
      <w:r>
        <w:rPr>
          <w:b/>
          <w:sz w:val="24"/>
          <w:szCs w:val="24"/>
        </w:rPr>
        <w:tab/>
      </w:r>
      <w:r w:rsidR="008A4175" w:rsidRPr="00196500">
        <w:rPr>
          <w:sz w:val="24"/>
          <w:szCs w:val="24"/>
        </w:rPr>
        <w:t>There shall be deducted from the aggregate amount of grants that, but for this section, would be payable under this Act to a State in the year that commenced on 1st July, 1973, the amount specified in the following table opposite to the name of the State:—</w:t>
      </w:r>
    </w:p>
    <w:tbl>
      <w:tblPr>
        <w:tblOverlap w:val="never"/>
        <w:tblW w:w="0" w:type="auto"/>
        <w:tblLayout w:type="fixed"/>
        <w:tblCellMar>
          <w:left w:w="10" w:type="dxa"/>
          <w:right w:w="10" w:type="dxa"/>
        </w:tblCellMar>
        <w:tblLook w:val="0000" w:firstRow="0" w:lastRow="0" w:firstColumn="0" w:lastColumn="0" w:noHBand="0" w:noVBand="0"/>
      </w:tblPr>
      <w:tblGrid>
        <w:gridCol w:w="8020"/>
        <w:gridCol w:w="1440"/>
      </w:tblGrid>
      <w:tr w:rsidR="00290D07" w:rsidRPr="00196500" w14:paraId="417D760C" w14:textId="77777777" w:rsidTr="009714C6">
        <w:trPr>
          <w:trHeight w:val="202"/>
        </w:trPr>
        <w:tc>
          <w:tcPr>
            <w:tcW w:w="8020" w:type="dxa"/>
          </w:tcPr>
          <w:p w14:paraId="50B4E211" w14:textId="77777777" w:rsidR="00290D07" w:rsidRPr="00196500" w:rsidRDefault="00290D07" w:rsidP="0016313D">
            <w:pPr>
              <w:jc w:val="both"/>
              <w:rPr>
                <w:rFonts w:ascii="Times New Roman" w:hAnsi="Times New Roman" w:cs="Times New Roman"/>
              </w:rPr>
            </w:pPr>
          </w:p>
        </w:tc>
        <w:tc>
          <w:tcPr>
            <w:tcW w:w="1440" w:type="dxa"/>
            <w:vAlign w:val="center"/>
          </w:tcPr>
          <w:p w14:paraId="46518C3A" w14:textId="77777777" w:rsidR="00290D07" w:rsidRPr="00196500" w:rsidRDefault="009714C6" w:rsidP="00F3625A">
            <w:pPr>
              <w:pStyle w:val="BodyText21"/>
              <w:spacing w:line="240" w:lineRule="auto"/>
              <w:ind w:firstLine="0"/>
              <w:jc w:val="center"/>
              <w:rPr>
                <w:sz w:val="24"/>
                <w:szCs w:val="24"/>
              </w:rPr>
            </w:pPr>
            <w:r>
              <w:rPr>
                <w:rStyle w:val="Bodytext11pt0"/>
                <w:sz w:val="24"/>
                <w:szCs w:val="24"/>
              </w:rPr>
              <w:t>$</w:t>
            </w:r>
          </w:p>
        </w:tc>
      </w:tr>
      <w:tr w:rsidR="00290D07" w:rsidRPr="00196500" w14:paraId="6E488F1B" w14:textId="77777777" w:rsidTr="009714C6">
        <w:trPr>
          <w:trHeight w:val="288"/>
        </w:trPr>
        <w:tc>
          <w:tcPr>
            <w:tcW w:w="8020" w:type="dxa"/>
            <w:vAlign w:val="bottom"/>
          </w:tcPr>
          <w:p w14:paraId="05267032" w14:textId="77777777" w:rsidR="00290D07" w:rsidRPr="00F3625A" w:rsidRDefault="008A4175" w:rsidP="00F3625A">
            <w:pPr>
              <w:pStyle w:val="BodyText21"/>
              <w:tabs>
                <w:tab w:val="left" w:leader="dot" w:pos="7879"/>
              </w:tabs>
              <w:spacing w:line="240" w:lineRule="auto"/>
              <w:ind w:left="2600" w:firstLine="0"/>
              <w:rPr>
                <w:rStyle w:val="Bodytext11pt0"/>
                <w:sz w:val="24"/>
                <w:szCs w:val="24"/>
              </w:rPr>
            </w:pPr>
            <w:r w:rsidRPr="00196500">
              <w:rPr>
                <w:rStyle w:val="Bodytext11pt0"/>
                <w:sz w:val="24"/>
                <w:szCs w:val="24"/>
              </w:rPr>
              <w:t>New South Wales</w:t>
            </w:r>
            <w:r w:rsidR="00AF2BF9">
              <w:rPr>
                <w:rStyle w:val="Bodytext11pt0"/>
                <w:sz w:val="24"/>
                <w:szCs w:val="24"/>
              </w:rPr>
              <w:tab/>
            </w:r>
          </w:p>
        </w:tc>
        <w:tc>
          <w:tcPr>
            <w:tcW w:w="1440" w:type="dxa"/>
            <w:vAlign w:val="bottom"/>
          </w:tcPr>
          <w:p w14:paraId="2EAAECBB"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36,400,000</w:t>
            </w:r>
          </w:p>
        </w:tc>
      </w:tr>
      <w:tr w:rsidR="00290D07" w:rsidRPr="00196500" w14:paraId="361EE425" w14:textId="77777777" w:rsidTr="009714C6">
        <w:trPr>
          <w:trHeight w:val="264"/>
        </w:trPr>
        <w:tc>
          <w:tcPr>
            <w:tcW w:w="8020" w:type="dxa"/>
            <w:vAlign w:val="bottom"/>
          </w:tcPr>
          <w:p w14:paraId="70A70274"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Victoria</w:t>
            </w:r>
            <w:r w:rsidR="00AF2BF9" w:rsidRPr="00F3625A">
              <w:rPr>
                <w:rStyle w:val="Bodytext11pt0"/>
                <w:iCs/>
                <w:sz w:val="24"/>
                <w:szCs w:val="24"/>
              </w:rPr>
              <w:tab/>
            </w:r>
          </w:p>
        </w:tc>
        <w:tc>
          <w:tcPr>
            <w:tcW w:w="1440" w:type="dxa"/>
            <w:vAlign w:val="bottom"/>
          </w:tcPr>
          <w:p w14:paraId="521621E3"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34,800,000</w:t>
            </w:r>
          </w:p>
        </w:tc>
      </w:tr>
      <w:tr w:rsidR="00290D07" w:rsidRPr="00196500" w14:paraId="6E936C0C" w14:textId="77777777" w:rsidTr="009714C6">
        <w:trPr>
          <w:trHeight w:val="189"/>
        </w:trPr>
        <w:tc>
          <w:tcPr>
            <w:tcW w:w="8020" w:type="dxa"/>
            <w:vAlign w:val="bottom"/>
          </w:tcPr>
          <w:p w14:paraId="5A2341BF"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Queensland</w:t>
            </w:r>
            <w:r w:rsidR="00AF2BF9" w:rsidRPr="00F3625A">
              <w:rPr>
                <w:rStyle w:val="Bodytext11pt0"/>
                <w:iCs/>
                <w:sz w:val="24"/>
                <w:szCs w:val="24"/>
              </w:rPr>
              <w:tab/>
            </w:r>
          </w:p>
        </w:tc>
        <w:tc>
          <w:tcPr>
            <w:tcW w:w="1440" w:type="dxa"/>
            <w:vAlign w:val="bottom"/>
          </w:tcPr>
          <w:p w14:paraId="159E2238"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13,500,000</w:t>
            </w:r>
          </w:p>
        </w:tc>
      </w:tr>
      <w:tr w:rsidR="00290D07" w:rsidRPr="00196500" w14:paraId="5A1F44F5" w14:textId="77777777" w:rsidTr="009714C6">
        <w:trPr>
          <w:trHeight w:val="269"/>
        </w:trPr>
        <w:tc>
          <w:tcPr>
            <w:tcW w:w="8020" w:type="dxa"/>
            <w:vAlign w:val="bottom"/>
          </w:tcPr>
          <w:p w14:paraId="28A500EC"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South Australia</w:t>
            </w:r>
            <w:r w:rsidR="00AF2BF9" w:rsidRPr="00F3625A">
              <w:rPr>
                <w:rStyle w:val="Bodytext11pt0"/>
                <w:iCs/>
                <w:sz w:val="24"/>
                <w:szCs w:val="24"/>
              </w:rPr>
              <w:tab/>
            </w:r>
          </w:p>
        </w:tc>
        <w:tc>
          <w:tcPr>
            <w:tcW w:w="1440" w:type="dxa"/>
            <w:vAlign w:val="bottom"/>
          </w:tcPr>
          <w:p w14:paraId="5D211B40"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12,000,000</w:t>
            </w:r>
          </w:p>
        </w:tc>
      </w:tr>
      <w:tr w:rsidR="00290D07" w:rsidRPr="00196500" w14:paraId="4030D161" w14:textId="77777777" w:rsidTr="009714C6">
        <w:trPr>
          <w:trHeight w:val="274"/>
        </w:trPr>
        <w:tc>
          <w:tcPr>
            <w:tcW w:w="8020" w:type="dxa"/>
            <w:vAlign w:val="bottom"/>
          </w:tcPr>
          <w:p w14:paraId="7CA55B9E"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Western Australia</w:t>
            </w:r>
            <w:r w:rsidR="00AF2BF9" w:rsidRPr="00F3625A">
              <w:rPr>
                <w:rStyle w:val="Bodytext11pt0"/>
                <w:iCs/>
                <w:sz w:val="24"/>
                <w:szCs w:val="24"/>
              </w:rPr>
              <w:tab/>
            </w:r>
          </w:p>
        </w:tc>
        <w:tc>
          <w:tcPr>
            <w:tcW w:w="1440" w:type="dxa"/>
            <w:vAlign w:val="bottom"/>
          </w:tcPr>
          <w:p w14:paraId="6EB8BCD3"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11,600,000</w:t>
            </w:r>
          </w:p>
        </w:tc>
      </w:tr>
      <w:tr w:rsidR="00290D07" w:rsidRPr="00196500" w14:paraId="3209CED4" w14:textId="77777777" w:rsidTr="009714C6">
        <w:trPr>
          <w:trHeight w:val="288"/>
        </w:trPr>
        <w:tc>
          <w:tcPr>
            <w:tcW w:w="8020" w:type="dxa"/>
            <w:vAlign w:val="bottom"/>
          </w:tcPr>
          <w:p w14:paraId="2BDD5147" w14:textId="77777777" w:rsidR="00290D07" w:rsidRPr="00F3625A" w:rsidRDefault="008A4175" w:rsidP="00F3625A">
            <w:pPr>
              <w:pStyle w:val="BodyText21"/>
              <w:tabs>
                <w:tab w:val="left" w:leader="dot" w:pos="7879"/>
              </w:tabs>
              <w:spacing w:line="240" w:lineRule="auto"/>
              <w:ind w:left="2600" w:firstLine="0"/>
              <w:rPr>
                <w:rStyle w:val="Bodytext11pt0"/>
                <w:iCs/>
                <w:sz w:val="24"/>
                <w:szCs w:val="24"/>
              </w:rPr>
            </w:pPr>
            <w:r w:rsidRPr="00F3625A">
              <w:rPr>
                <w:rStyle w:val="Bodytext11pt0"/>
                <w:iCs/>
                <w:sz w:val="24"/>
                <w:szCs w:val="24"/>
              </w:rPr>
              <w:t>Tasmania</w:t>
            </w:r>
            <w:r w:rsidR="00AF2BF9" w:rsidRPr="00F3625A">
              <w:rPr>
                <w:rStyle w:val="Bodytext11pt0"/>
                <w:iCs/>
                <w:sz w:val="24"/>
                <w:szCs w:val="24"/>
              </w:rPr>
              <w:tab/>
            </w:r>
          </w:p>
        </w:tc>
        <w:tc>
          <w:tcPr>
            <w:tcW w:w="1440" w:type="dxa"/>
            <w:vAlign w:val="bottom"/>
          </w:tcPr>
          <w:p w14:paraId="6483DEDE" w14:textId="0225BCF1"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3,500,000</w:t>
            </w:r>
          </w:p>
        </w:tc>
      </w:tr>
    </w:tbl>
    <w:p w14:paraId="3D506F3C" w14:textId="77777777" w:rsidR="00290D07" w:rsidRPr="009714C6" w:rsidRDefault="008A4175" w:rsidP="0016313D">
      <w:pPr>
        <w:pStyle w:val="BodyText21"/>
        <w:spacing w:before="120" w:after="60" w:line="240" w:lineRule="auto"/>
        <w:ind w:firstLine="0"/>
        <w:rPr>
          <w:b/>
          <w:sz w:val="20"/>
          <w:szCs w:val="20"/>
        </w:rPr>
      </w:pPr>
      <w:r w:rsidRPr="009714C6">
        <w:rPr>
          <w:rStyle w:val="Bodytext9pt"/>
          <w:b/>
          <w:sz w:val="20"/>
          <w:szCs w:val="20"/>
        </w:rPr>
        <w:t xml:space="preserve">Additional grants to States during </w:t>
      </w:r>
      <w:r w:rsidRPr="009714C6">
        <w:rPr>
          <w:rStyle w:val="BodytextTahoma"/>
          <w:rFonts w:ascii="Times New Roman" w:hAnsi="Times New Roman" w:cs="Times New Roman"/>
          <w:b/>
          <w:sz w:val="20"/>
          <w:szCs w:val="20"/>
        </w:rPr>
        <w:t>1973</w:t>
      </w:r>
      <w:r w:rsidRPr="009714C6">
        <w:rPr>
          <w:rStyle w:val="BodytextTahoma0"/>
          <w:rFonts w:ascii="Times New Roman" w:hAnsi="Times New Roman" w:cs="Times New Roman"/>
          <w:b/>
          <w:sz w:val="20"/>
          <w:szCs w:val="20"/>
        </w:rPr>
        <w:t>-</w:t>
      </w:r>
      <w:r w:rsidRPr="009714C6">
        <w:rPr>
          <w:rStyle w:val="BodytextTahoma"/>
          <w:rFonts w:ascii="Times New Roman" w:hAnsi="Times New Roman" w:cs="Times New Roman"/>
          <w:b/>
          <w:sz w:val="20"/>
          <w:szCs w:val="20"/>
        </w:rPr>
        <w:t>74</w:t>
      </w:r>
      <w:r w:rsidRPr="009714C6">
        <w:rPr>
          <w:rStyle w:val="BodytextTahoma0"/>
          <w:rFonts w:ascii="Times New Roman" w:hAnsi="Times New Roman" w:cs="Times New Roman"/>
          <w:b/>
          <w:sz w:val="20"/>
          <w:szCs w:val="20"/>
        </w:rPr>
        <w:t>.</w:t>
      </w:r>
    </w:p>
    <w:p w14:paraId="51C830EE" w14:textId="77777777" w:rsidR="00290D07" w:rsidRPr="00196500" w:rsidRDefault="009714C6" w:rsidP="0016313D">
      <w:pPr>
        <w:pStyle w:val="Bodytext90"/>
        <w:tabs>
          <w:tab w:val="left" w:pos="630"/>
        </w:tabs>
        <w:spacing w:line="240" w:lineRule="auto"/>
        <w:ind w:firstLine="270"/>
        <w:rPr>
          <w:sz w:val="24"/>
          <w:szCs w:val="24"/>
        </w:rPr>
      </w:pPr>
      <w:r w:rsidRPr="009714C6">
        <w:rPr>
          <w:b/>
          <w:sz w:val="24"/>
          <w:szCs w:val="24"/>
        </w:rPr>
        <w:t>8.</w:t>
      </w:r>
      <w:r>
        <w:rPr>
          <w:b/>
          <w:sz w:val="24"/>
          <w:szCs w:val="24"/>
        </w:rPr>
        <w:tab/>
      </w:r>
      <w:r w:rsidR="008A4175" w:rsidRPr="00196500">
        <w:rPr>
          <w:sz w:val="24"/>
          <w:szCs w:val="24"/>
        </w:rPr>
        <w:t>In addition to the grants payable to the States under section 6 during the base year, there is payable to each of the States during that year an amount that bears to Twenty-five million dollars the same proportion as the sum of the amounts that are payable to that State during that year under section 6 bears to the sum of the amounts that are payable to all the States during that year under section 6.</w:t>
      </w:r>
    </w:p>
    <w:p w14:paraId="0809F607" w14:textId="77777777" w:rsidR="009714C6" w:rsidRPr="009714C6" w:rsidRDefault="009714C6" w:rsidP="0016313D">
      <w:pPr>
        <w:pStyle w:val="BodyText21"/>
        <w:spacing w:before="120" w:after="60" w:line="240" w:lineRule="auto"/>
        <w:ind w:firstLine="0"/>
        <w:rPr>
          <w:b/>
          <w:sz w:val="20"/>
          <w:szCs w:val="20"/>
        </w:rPr>
      </w:pPr>
      <w:r w:rsidRPr="009714C6">
        <w:rPr>
          <w:rStyle w:val="Bodytext9pt"/>
          <w:b/>
          <w:sz w:val="20"/>
          <w:szCs w:val="20"/>
        </w:rPr>
        <w:t>Additional grants to Western Australia.</w:t>
      </w:r>
    </w:p>
    <w:p w14:paraId="01301CAD" w14:textId="77777777" w:rsidR="00290D07" w:rsidRPr="00196500" w:rsidRDefault="009714C6" w:rsidP="0016313D">
      <w:pPr>
        <w:pStyle w:val="Bodytext90"/>
        <w:tabs>
          <w:tab w:val="left" w:pos="630"/>
        </w:tabs>
        <w:spacing w:line="240" w:lineRule="auto"/>
        <w:ind w:firstLine="270"/>
        <w:rPr>
          <w:sz w:val="24"/>
          <w:szCs w:val="24"/>
        </w:rPr>
      </w:pPr>
      <w:r w:rsidRPr="009714C6">
        <w:rPr>
          <w:b/>
          <w:sz w:val="24"/>
          <w:szCs w:val="24"/>
        </w:rPr>
        <w:t>9.</w:t>
      </w:r>
      <w:r>
        <w:rPr>
          <w:b/>
          <w:sz w:val="24"/>
          <w:szCs w:val="24"/>
        </w:rPr>
        <w:tab/>
      </w:r>
      <w:r w:rsidR="008A4175" w:rsidRPr="00196500">
        <w:rPr>
          <w:sz w:val="24"/>
          <w:szCs w:val="24"/>
        </w:rPr>
        <w:t>In addition to the grants payable under section 6 to the State of Western Australia during the base year and the next succeeding year, there are payable to that State during those years the amounts respectively specified in the following table opposite to the references to those years:—</w:t>
      </w:r>
    </w:p>
    <w:tbl>
      <w:tblPr>
        <w:tblOverlap w:val="never"/>
        <w:tblW w:w="0" w:type="auto"/>
        <w:tblLayout w:type="fixed"/>
        <w:tblCellMar>
          <w:left w:w="10" w:type="dxa"/>
          <w:right w:w="10" w:type="dxa"/>
        </w:tblCellMar>
        <w:tblLook w:val="0000" w:firstRow="0" w:lastRow="0" w:firstColumn="0" w:lastColumn="0" w:noHBand="0" w:noVBand="0"/>
      </w:tblPr>
      <w:tblGrid>
        <w:gridCol w:w="8020"/>
        <w:gridCol w:w="1440"/>
      </w:tblGrid>
      <w:tr w:rsidR="00290D07" w:rsidRPr="00196500" w14:paraId="3253218D" w14:textId="77777777" w:rsidTr="00E67994">
        <w:trPr>
          <w:trHeight w:val="230"/>
        </w:trPr>
        <w:tc>
          <w:tcPr>
            <w:tcW w:w="8020" w:type="dxa"/>
          </w:tcPr>
          <w:p w14:paraId="2DC8B9D1" w14:textId="77777777" w:rsidR="00290D07" w:rsidRPr="00196500" w:rsidRDefault="00290D07" w:rsidP="0016313D">
            <w:pPr>
              <w:jc w:val="both"/>
              <w:rPr>
                <w:rFonts w:ascii="Times New Roman" w:hAnsi="Times New Roman" w:cs="Times New Roman"/>
              </w:rPr>
            </w:pPr>
          </w:p>
        </w:tc>
        <w:tc>
          <w:tcPr>
            <w:tcW w:w="1440" w:type="dxa"/>
            <w:vAlign w:val="center"/>
          </w:tcPr>
          <w:p w14:paraId="088D5DC6" w14:textId="77777777" w:rsidR="00290D07" w:rsidRPr="00196500" w:rsidRDefault="008A4175" w:rsidP="00344E57">
            <w:pPr>
              <w:pStyle w:val="BodyText21"/>
              <w:spacing w:line="240" w:lineRule="auto"/>
              <w:ind w:left="260" w:firstLine="0"/>
              <w:jc w:val="center"/>
              <w:rPr>
                <w:sz w:val="24"/>
                <w:szCs w:val="24"/>
              </w:rPr>
            </w:pPr>
            <w:r w:rsidRPr="00196500">
              <w:rPr>
                <w:rStyle w:val="Bodytext11pt0"/>
                <w:sz w:val="24"/>
                <w:szCs w:val="24"/>
              </w:rPr>
              <w:t>$</w:t>
            </w:r>
          </w:p>
        </w:tc>
      </w:tr>
      <w:tr w:rsidR="00290D07" w:rsidRPr="00196500" w14:paraId="094F9B0B" w14:textId="77777777" w:rsidTr="00E67994">
        <w:trPr>
          <w:trHeight w:val="270"/>
        </w:trPr>
        <w:tc>
          <w:tcPr>
            <w:tcW w:w="8020" w:type="dxa"/>
            <w:vAlign w:val="bottom"/>
          </w:tcPr>
          <w:p w14:paraId="3A3AEB49" w14:textId="77777777" w:rsidR="00290D07" w:rsidRPr="00F3625A" w:rsidRDefault="008A4175" w:rsidP="00F3625A">
            <w:pPr>
              <w:pStyle w:val="BodyText21"/>
              <w:tabs>
                <w:tab w:val="left" w:leader="dot" w:pos="7879"/>
              </w:tabs>
              <w:spacing w:line="240" w:lineRule="auto"/>
              <w:ind w:left="2600" w:firstLine="0"/>
              <w:rPr>
                <w:rStyle w:val="Bodytext11pt0"/>
                <w:sz w:val="24"/>
                <w:szCs w:val="24"/>
              </w:rPr>
            </w:pPr>
            <w:r w:rsidRPr="00196500">
              <w:rPr>
                <w:rStyle w:val="Bodytext11pt0"/>
                <w:sz w:val="24"/>
                <w:szCs w:val="24"/>
              </w:rPr>
              <w:t>Year th</w:t>
            </w:r>
            <w:r w:rsidR="00AF2BF9">
              <w:rPr>
                <w:rStyle w:val="Bodytext11pt0"/>
                <w:sz w:val="24"/>
                <w:szCs w:val="24"/>
              </w:rPr>
              <w:t>at commenced on 1st July, 1973</w:t>
            </w:r>
            <w:r w:rsidR="00AF2BF9">
              <w:rPr>
                <w:rStyle w:val="Bodytext11pt0"/>
                <w:sz w:val="24"/>
                <w:szCs w:val="24"/>
              </w:rPr>
              <w:tab/>
            </w:r>
          </w:p>
        </w:tc>
        <w:tc>
          <w:tcPr>
            <w:tcW w:w="1440" w:type="dxa"/>
            <w:vAlign w:val="bottom"/>
          </w:tcPr>
          <w:p w14:paraId="0161358A" w14:textId="77777777"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10,000,000</w:t>
            </w:r>
          </w:p>
        </w:tc>
      </w:tr>
      <w:tr w:rsidR="00290D07" w:rsidRPr="00196500" w14:paraId="46F6E047" w14:textId="77777777" w:rsidTr="00E67994">
        <w:trPr>
          <w:trHeight w:val="180"/>
        </w:trPr>
        <w:tc>
          <w:tcPr>
            <w:tcW w:w="8020" w:type="dxa"/>
            <w:vAlign w:val="bottom"/>
          </w:tcPr>
          <w:p w14:paraId="4DFBB968" w14:textId="77777777" w:rsidR="00290D07" w:rsidRPr="00F3625A" w:rsidRDefault="008A4175" w:rsidP="00F3625A">
            <w:pPr>
              <w:pStyle w:val="BodyText21"/>
              <w:tabs>
                <w:tab w:val="left" w:leader="dot" w:pos="7879"/>
              </w:tabs>
              <w:spacing w:line="240" w:lineRule="auto"/>
              <w:ind w:left="2600" w:firstLine="0"/>
              <w:rPr>
                <w:rStyle w:val="Bodytext11pt0"/>
                <w:sz w:val="24"/>
                <w:szCs w:val="24"/>
              </w:rPr>
            </w:pPr>
            <w:r w:rsidRPr="00196500">
              <w:rPr>
                <w:rStyle w:val="Bodytext11pt0"/>
                <w:sz w:val="24"/>
                <w:szCs w:val="24"/>
              </w:rPr>
              <w:t>Year commencing on 1st July, 1974</w:t>
            </w:r>
            <w:r w:rsidR="00AF2BF9">
              <w:rPr>
                <w:rStyle w:val="Bodytext11pt0"/>
                <w:sz w:val="24"/>
                <w:szCs w:val="24"/>
              </w:rPr>
              <w:tab/>
            </w:r>
          </w:p>
        </w:tc>
        <w:tc>
          <w:tcPr>
            <w:tcW w:w="1440" w:type="dxa"/>
            <w:vAlign w:val="bottom"/>
          </w:tcPr>
          <w:p w14:paraId="4D04A9E7" w14:textId="6C1174CC" w:rsidR="00290D07" w:rsidRPr="00196500" w:rsidRDefault="008A4175" w:rsidP="00344E57">
            <w:pPr>
              <w:pStyle w:val="BodyText21"/>
              <w:spacing w:line="240" w:lineRule="auto"/>
              <w:ind w:right="144" w:firstLine="0"/>
              <w:jc w:val="right"/>
              <w:rPr>
                <w:sz w:val="24"/>
                <w:szCs w:val="24"/>
              </w:rPr>
            </w:pPr>
            <w:r w:rsidRPr="00196500">
              <w:rPr>
                <w:rStyle w:val="Bodytext11pt0"/>
                <w:sz w:val="24"/>
                <w:szCs w:val="24"/>
              </w:rPr>
              <w:t>6,500,000</w:t>
            </w:r>
          </w:p>
        </w:tc>
      </w:tr>
    </w:tbl>
    <w:p w14:paraId="0806EA13" w14:textId="77777777" w:rsidR="009714C6" w:rsidRDefault="009714C6" w:rsidP="0016313D">
      <w:pPr>
        <w:pStyle w:val="Bodytext90"/>
        <w:spacing w:line="240" w:lineRule="auto"/>
        <w:ind w:firstLine="0"/>
        <w:rPr>
          <w:b/>
          <w:sz w:val="24"/>
          <w:szCs w:val="24"/>
        </w:rPr>
      </w:pPr>
    </w:p>
    <w:p w14:paraId="0C4E8C0F" w14:textId="77777777" w:rsidR="009714C6" w:rsidRDefault="009714C6" w:rsidP="0016313D">
      <w:pPr>
        <w:jc w:val="both"/>
        <w:rPr>
          <w:rFonts w:ascii="Times New Roman" w:eastAsia="Times New Roman" w:hAnsi="Times New Roman" w:cs="Times New Roman"/>
          <w:b/>
        </w:rPr>
      </w:pPr>
      <w:r>
        <w:rPr>
          <w:b/>
        </w:rPr>
        <w:br w:type="page"/>
      </w:r>
    </w:p>
    <w:p w14:paraId="3C5FD4EB" w14:textId="77777777" w:rsidR="00E67994" w:rsidRPr="00E67994" w:rsidRDefault="00E67994" w:rsidP="0016313D">
      <w:pPr>
        <w:pStyle w:val="BodyText21"/>
        <w:spacing w:before="120" w:after="60" w:line="240" w:lineRule="auto"/>
        <w:ind w:firstLine="0"/>
        <w:rPr>
          <w:b/>
          <w:sz w:val="20"/>
          <w:szCs w:val="20"/>
        </w:rPr>
      </w:pPr>
      <w:r w:rsidRPr="00E67994">
        <w:rPr>
          <w:rStyle w:val="Bodytext9pt"/>
          <w:b/>
          <w:sz w:val="20"/>
          <w:szCs w:val="20"/>
        </w:rPr>
        <w:lastRenderedPageBreak/>
        <w:t>Statistical</w:t>
      </w:r>
      <w:r w:rsidRPr="00E67994">
        <w:rPr>
          <w:b/>
          <w:sz w:val="20"/>
          <w:szCs w:val="20"/>
        </w:rPr>
        <w:t xml:space="preserve"> </w:t>
      </w:r>
      <w:r w:rsidRPr="00E67994">
        <w:rPr>
          <w:rStyle w:val="Bodytext9pt"/>
          <w:b/>
          <w:sz w:val="20"/>
          <w:szCs w:val="20"/>
        </w:rPr>
        <w:t xml:space="preserve">calculations, </w:t>
      </w:r>
      <w:r w:rsidRPr="00E67994">
        <w:rPr>
          <w:b/>
          <w:sz w:val="20"/>
          <w:szCs w:val="20"/>
        </w:rPr>
        <w:t>&amp;c.</w:t>
      </w:r>
    </w:p>
    <w:p w14:paraId="4378216C" w14:textId="77777777" w:rsidR="00290D07" w:rsidRPr="00196500" w:rsidRDefault="009714C6" w:rsidP="0016313D">
      <w:pPr>
        <w:pStyle w:val="Bodytext90"/>
        <w:spacing w:line="240" w:lineRule="auto"/>
        <w:ind w:firstLine="270"/>
        <w:rPr>
          <w:sz w:val="24"/>
          <w:szCs w:val="24"/>
        </w:rPr>
      </w:pPr>
      <w:r w:rsidRPr="009714C6">
        <w:rPr>
          <w:b/>
          <w:sz w:val="24"/>
          <w:szCs w:val="24"/>
        </w:rPr>
        <w:t>10.</w:t>
      </w:r>
      <w:r w:rsidR="00E67994">
        <w:rPr>
          <w:b/>
          <w:sz w:val="24"/>
          <w:szCs w:val="24"/>
        </w:rPr>
        <w:t xml:space="preserve"> </w:t>
      </w:r>
      <w:r w:rsidR="008A4175" w:rsidRPr="00196500">
        <w:rPr>
          <w:sz w:val="24"/>
          <w:szCs w:val="24"/>
        </w:rPr>
        <w:t>(1) All statistical and math</w:t>
      </w:r>
      <w:r w:rsidR="0016313D">
        <w:rPr>
          <w:sz w:val="24"/>
          <w:szCs w:val="24"/>
        </w:rPr>
        <w:t>ematical calculations and deter</w:t>
      </w:r>
      <w:r w:rsidR="008A4175" w:rsidRPr="00196500">
        <w:rPr>
          <w:sz w:val="24"/>
          <w:szCs w:val="24"/>
        </w:rPr>
        <w:t>minations required for the purposes of this Act shall be made by the Commonwealth Statistician, after consultation, where practicable, with the official Statisticians of the States.</w:t>
      </w:r>
    </w:p>
    <w:p w14:paraId="72A71535" w14:textId="77777777" w:rsidR="00290D07" w:rsidRPr="00196500" w:rsidRDefault="00E67994" w:rsidP="0016313D">
      <w:pPr>
        <w:pStyle w:val="Bodytext90"/>
        <w:spacing w:line="240" w:lineRule="auto"/>
        <w:ind w:firstLine="270"/>
        <w:rPr>
          <w:sz w:val="24"/>
          <w:szCs w:val="24"/>
        </w:rPr>
      </w:pPr>
      <w:r>
        <w:rPr>
          <w:sz w:val="24"/>
          <w:szCs w:val="24"/>
        </w:rPr>
        <w:t xml:space="preserve">(2) </w:t>
      </w:r>
      <w:r w:rsidR="008A4175" w:rsidRPr="00196500">
        <w:rPr>
          <w:sz w:val="24"/>
          <w:szCs w:val="24"/>
        </w:rPr>
        <w:t>For the purpose of ascertaining the amount of a grant payable under this Act to a State during a year—</w:t>
      </w:r>
    </w:p>
    <w:p w14:paraId="0EE57E74" w14:textId="77777777" w:rsidR="00290D07" w:rsidRPr="00196500" w:rsidRDefault="00E67994" w:rsidP="0016313D">
      <w:pPr>
        <w:pStyle w:val="Bodytext90"/>
        <w:spacing w:line="240" w:lineRule="auto"/>
        <w:ind w:left="720" w:hanging="360"/>
        <w:rPr>
          <w:sz w:val="24"/>
          <w:szCs w:val="24"/>
        </w:rPr>
      </w:pPr>
      <w:r>
        <w:rPr>
          <w:sz w:val="24"/>
          <w:szCs w:val="24"/>
        </w:rPr>
        <w:t xml:space="preserve">(a) </w:t>
      </w:r>
      <w:r w:rsidR="008A4175" w:rsidRPr="00196500">
        <w:rPr>
          <w:sz w:val="24"/>
          <w:szCs w:val="24"/>
        </w:rPr>
        <w:t>the determination of the population of the State on 31st December in the year concerned and on 31st December in the year preceding the year concerned—</w:t>
      </w:r>
    </w:p>
    <w:p w14:paraId="1530E6B5" w14:textId="77777777" w:rsidR="00290D07" w:rsidRPr="00196500" w:rsidRDefault="00E67994" w:rsidP="0016313D">
      <w:pPr>
        <w:pStyle w:val="Bodytext90"/>
        <w:spacing w:line="240" w:lineRule="auto"/>
        <w:ind w:left="1350" w:hanging="270"/>
        <w:rPr>
          <w:sz w:val="24"/>
          <w:szCs w:val="24"/>
        </w:rPr>
      </w:pPr>
      <w:r>
        <w:rPr>
          <w:sz w:val="24"/>
          <w:szCs w:val="24"/>
        </w:rPr>
        <w:t>(</w:t>
      </w:r>
      <w:proofErr w:type="spellStart"/>
      <w:r>
        <w:rPr>
          <w:sz w:val="24"/>
          <w:szCs w:val="24"/>
        </w:rPr>
        <w:t>i</w:t>
      </w:r>
      <w:proofErr w:type="spellEnd"/>
      <w:r>
        <w:rPr>
          <w:sz w:val="24"/>
          <w:szCs w:val="24"/>
        </w:rPr>
        <w:t xml:space="preserve">) </w:t>
      </w:r>
      <w:r w:rsidR="008A4175" w:rsidRPr="00196500">
        <w:rPr>
          <w:sz w:val="24"/>
          <w:szCs w:val="24"/>
        </w:rPr>
        <w:t>shall be made after 31st December, and not later than 10th June, in the year concerned; and</w:t>
      </w:r>
    </w:p>
    <w:p w14:paraId="100F7AEF" w14:textId="77777777" w:rsidR="00290D07" w:rsidRPr="00E67994" w:rsidRDefault="00E67994" w:rsidP="0016313D">
      <w:pPr>
        <w:ind w:left="1350" w:hanging="360"/>
        <w:jc w:val="both"/>
        <w:rPr>
          <w:rFonts w:ascii="Times New Roman" w:hAnsi="Times New Roman" w:cs="Times New Roman"/>
        </w:rPr>
      </w:pPr>
      <w:r w:rsidRPr="00E67994">
        <w:rPr>
          <w:rFonts w:ascii="Times New Roman" w:hAnsi="Times New Roman" w:cs="Times New Roman"/>
        </w:rPr>
        <w:t xml:space="preserve">(ii) </w:t>
      </w:r>
      <w:r w:rsidR="008A4175" w:rsidRPr="00E67994">
        <w:rPr>
          <w:rFonts w:ascii="Times New Roman" w:hAnsi="Times New Roman" w:cs="Times New Roman"/>
        </w:rPr>
        <w:t>shall be made having regard to the latest statistics in relation to population available to the Commonwealth Statistician on the day on which the determination is made; and</w:t>
      </w:r>
    </w:p>
    <w:p w14:paraId="3CEBD9BF" w14:textId="77777777" w:rsidR="00290D07" w:rsidRPr="00196500" w:rsidRDefault="00E67994" w:rsidP="0016313D">
      <w:pPr>
        <w:ind w:left="720" w:hanging="360"/>
        <w:jc w:val="both"/>
        <w:rPr>
          <w:rFonts w:ascii="Times New Roman" w:hAnsi="Times New Roman" w:cs="Times New Roman"/>
        </w:rPr>
      </w:pPr>
      <w:r w:rsidRPr="00E67994">
        <w:rPr>
          <w:rFonts w:ascii="Times New Roman" w:hAnsi="Times New Roman" w:cs="Times New Roman"/>
        </w:rPr>
        <w:t xml:space="preserve">(b) </w:t>
      </w:r>
      <w:r w:rsidR="008A4175" w:rsidRPr="00196500">
        <w:rPr>
          <w:rFonts w:ascii="Times New Roman" w:hAnsi="Times New Roman" w:cs="Times New Roman"/>
        </w:rPr>
        <w:t>the average wages per person employed in Australia in the period of twelve months end</w:t>
      </w:r>
      <w:r>
        <w:rPr>
          <w:rFonts w:ascii="Times New Roman" w:hAnsi="Times New Roman" w:cs="Times New Roman"/>
        </w:rPr>
        <w:t>in</w:t>
      </w:r>
      <w:r w:rsidR="008A4175" w:rsidRPr="00196500">
        <w:rPr>
          <w:rFonts w:ascii="Times New Roman" w:hAnsi="Times New Roman" w:cs="Times New Roman"/>
        </w:rPr>
        <w:t>g on 31st March in the year concerned and in the period of twelve months ending on 31st March in the year preceding the year concerned shall be ascertained, after 31st March, and not later than 10th June, in the year concerned, in such manner as the Treasurer, after consultation with the Treasurer of each State, determines, which may be a manner that—</w:t>
      </w:r>
    </w:p>
    <w:p w14:paraId="3F0D53B2" w14:textId="77777777" w:rsidR="00290D07" w:rsidRPr="00196500" w:rsidRDefault="00E67994" w:rsidP="0016313D">
      <w:pPr>
        <w:ind w:left="1350" w:hanging="270"/>
        <w:jc w:val="both"/>
        <w:rPr>
          <w:rFonts w:ascii="Times New Roman" w:hAnsi="Times New Roman" w:cs="Times New Roman"/>
        </w:rPr>
      </w:pPr>
      <w:r w:rsidRPr="00E67994">
        <w:rPr>
          <w:rFonts w:ascii="Times New Roman" w:hAnsi="Times New Roman" w:cs="Times New Roman"/>
        </w:rPr>
        <w:t>(</w:t>
      </w:r>
      <w:proofErr w:type="spellStart"/>
      <w:r w:rsidRPr="00E67994">
        <w:rPr>
          <w:rFonts w:ascii="Times New Roman" w:hAnsi="Times New Roman" w:cs="Times New Roman"/>
        </w:rPr>
        <w:t>i</w:t>
      </w:r>
      <w:proofErr w:type="spellEnd"/>
      <w:r w:rsidRPr="00E67994">
        <w:rPr>
          <w:rFonts w:ascii="Times New Roman" w:hAnsi="Times New Roman" w:cs="Times New Roman"/>
        </w:rPr>
        <w:t xml:space="preserve">) </w:t>
      </w:r>
      <w:r w:rsidR="008A4175" w:rsidRPr="00196500">
        <w:rPr>
          <w:rFonts w:ascii="Times New Roman" w:hAnsi="Times New Roman" w:cs="Times New Roman"/>
        </w:rPr>
        <w:t>for the purpose of calculating the total number of persons employed and the total wages paid, disregards any of the persons on whose wages t</w:t>
      </w:r>
      <w:r w:rsidR="00190228">
        <w:rPr>
          <w:rFonts w:ascii="Times New Roman" w:hAnsi="Times New Roman" w:cs="Times New Roman"/>
        </w:rPr>
        <w:t>ax is not payable under the pay</w:t>
      </w:r>
      <w:r w:rsidR="008A4175" w:rsidRPr="00196500">
        <w:rPr>
          <w:rFonts w:ascii="Times New Roman" w:hAnsi="Times New Roman" w:cs="Times New Roman"/>
        </w:rPr>
        <w:t>roll tax law of Australia or of a State; and</w:t>
      </w:r>
    </w:p>
    <w:p w14:paraId="7D50AF4C" w14:textId="77777777" w:rsidR="00290D07" w:rsidRPr="00196500" w:rsidRDefault="00E67994" w:rsidP="0016313D">
      <w:pPr>
        <w:ind w:left="1350" w:hanging="360"/>
        <w:jc w:val="both"/>
        <w:rPr>
          <w:rFonts w:ascii="Times New Roman" w:hAnsi="Times New Roman" w:cs="Times New Roman"/>
        </w:rPr>
      </w:pPr>
      <w:r w:rsidRPr="00E67994">
        <w:rPr>
          <w:rFonts w:ascii="Times New Roman" w:hAnsi="Times New Roman" w:cs="Times New Roman"/>
        </w:rPr>
        <w:t xml:space="preserve">(ii) </w:t>
      </w:r>
      <w:r w:rsidR="008A4175" w:rsidRPr="00196500">
        <w:rPr>
          <w:rFonts w:ascii="Times New Roman" w:hAnsi="Times New Roman" w:cs="Times New Roman"/>
        </w:rPr>
        <w:t>for the purpose of calculating the total number of persons employed, takes into account a proportion only of the number of female p</w:t>
      </w:r>
      <w:r>
        <w:rPr>
          <w:rFonts w:ascii="Times New Roman" w:hAnsi="Times New Roman" w:cs="Times New Roman"/>
        </w:rPr>
        <w:t>ersons employed who are not dis</w:t>
      </w:r>
      <w:r w:rsidR="008A4175" w:rsidRPr="00196500">
        <w:rPr>
          <w:rFonts w:ascii="Times New Roman" w:hAnsi="Times New Roman" w:cs="Times New Roman"/>
        </w:rPr>
        <w:t>regarded in accordance with sub-paragraph (</w:t>
      </w:r>
      <w:proofErr w:type="spellStart"/>
      <w:r w:rsidR="008A4175" w:rsidRPr="00196500">
        <w:rPr>
          <w:rFonts w:ascii="Times New Roman" w:hAnsi="Times New Roman" w:cs="Times New Roman"/>
        </w:rPr>
        <w:t>i</w:t>
      </w:r>
      <w:proofErr w:type="spellEnd"/>
      <w:r w:rsidR="008A4175" w:rsidRPr="00196500">
        <w:rPr>
          <w:rFonts w:ascii="Times New Roman" w:hAnsi="Times New Roman" w:cs="Times New Roman"/>
        </w:rPr>
        <w:t>).</w:t>
      </w:r>
    </w:p>
    <w:p w14:paraId="1B61FC6F" w14:textId="77777777" w:rsidR="00290D07" w:rsidRPr="00196500" w:rsidRDefault="00E67994" w:rsidP="0016313D">
      <w:pPr>
        <w:pStyle w:val="Bodytext90"/>
        <w:spacing w:after="60" w:line="240" w:lineRule="auto"/>
        <w:ind w:firstLine="274"/>
        <w:rPr>
          <w:sz w:val="24"/>
          <w:szCs w:val="24"/>
        </w:rPr>
      </w:pPr>
      <w:r>
        <w:rPr>
          <w:sz w:val="24"/>
          <w:szCs w:val="24"/>
        </w:rPr>
        <w:t xml:space="preserve">(3) </w:t>
      </w:r>
      <w:r w:rsidR="008A4175" w:rsidRPr="00196500">
        <w:rPr>
          <w:sz w:val="24"/>
          <w:szCs w:val="24"/>
        </w:rPr>
        <w:t>All calculations and determinations made by the Commonwealth Statistician in pursuance of this section for the purposes of ascertaining the amount of a grant payable under this Act to a State during a year shall, for that purpose, be conclusively presumed to be correct.</w:t>
      </w:r>
    </w:p>
    <w:p w14:paraId="191DF1B0" w14:textId="77777777" w:rsidR="00290D07" w:rsidRPr="00190228" w:rsidRDefault="008A4175" w:rsidP="0016313D">
      <w:pPr>
        <w:pStyle w:val="BodyText21"/>
        <w:spacing w:before="120" w:after="60" w:line="240" w:lineRule="auto"/>
        <w:ind w:firstLine="0"/>
        <w:rPr>
          <w:b/>
          <w:sz w:val="20"/>
          <w:szCs w:val="20"/>
        </w:rPr>
      </w:pPr>
      <w:r w:rsidRPr="00190228">
        <w:rPr>
          <w:rStyle w:val="Bodytext9pt"/>
          <w:b/>
          <w:sz w:val="20"/>
          <w:szCs w:val="20"/>
        </w:rPr>
        <w:t>Review of grants.</w:t>
      </w:r>
    </w:p>
    <w:p w14:paraId="2CCDABBB" w14:textId="77777777" w:rsidR="00E67994" w:rsidRDefault="00E67994" w:rsidP="0016313D">
      <w:pPr>
        <w:pStyle w:val="Bodytext90"/>
        <w:spacing w:line="240" w:lineRule="auto"/>
        <w:ind w:firstLine="270"/>
        <w:rPr>
          <w:sz w:val="24"/>
          <w:szCs w:val="24"/>
        </w:rPr>
      </w:pPr>
      <w:r w:rsidRPr="00E67994">
        <w:rPr>
          <w:b/>
          <w:sz w:val="24"/>
          <w:szCs w:val="24"/>
        </w:rPr>
        <w:t>11.</w:t>
      </w:r>
      <w:r w:rsidR="00190228">
        <w:rPr>
          <w:b/>
          <w:sz w:val="24"/>
          <w:szCs w:val="24"/>
        </w:rPr>
        <w:t xml:space="preserve"> </w:t>
      </w:r>
      <w:r w:rsidR="008A4175" w:rsidRPr="00196500">
        <w:rPr>
          <w:sz w:val="24"/>
          <w:szCs w:val="24"/>
        </w:rPr>
        <w:t>(1) The Australian Government shall, at the request of a State, or may, if it considers it desirable to do so, enter into consultation with the Governments of the States with a view to determining whether any change is desirable in the provisions of this Act in so far as they relate to a year subsequent to the year ending on 30th June, 1975, and submitting to the Parliament legislation to give effect to any changes that the Australian Government considers to be desirable as a result of that consultation.</w:t>
      </w:r>
    </w:p>
    <w:p w14:paraId="6941E0A6" w14:textId="77777777" w:rsidR="00E67994" w:rsidRDefault="00E67994" w:rsidP="0016313D">
      <w:pPr>
        <w:jc w:val="both"/>
        <w:rPr>
          <w:rFonts w:ascii="Times New Roman" w:eastAsia="Times New Roman" w:hAnsi="Times New Roman" w:cs="Times New Roman"/>
        </w:rPr>
      </w:pPr>
      <w:r>
        <w:br w:type="page"/>
      </w:r>
    </w:p>
    <w:p w14:paraId="1F543798" w14:textId="77777777" w:rsidR="00290D07" w:rsidRPr="00196500" w:rsidRDefault="00190228" w:rsidP="0016313D">
      <w:pPr>
        <w:pStyle w:val="Bodytext90"/>
        <w:spacing w:line="240" w:lineRule="auto"/>
        <w:ind w:firstLine="270"/>
        <w:rPr>
          <w:sz w:val="24"/>
          <w:szCs w:val="24"/>
        </w:rPr>
      </w:pPr>
      <w:r>
        <w:rPr>
          <w:sz w:val="24"/>
          <w:szCs w:val="24"/>
        </w:rPr>
        <w:lastRenderedPageBreak/>
        <w:t xml:space="preserve">(2) </w:t>
      </w:r>
      <w:r w:rsidR="008A4175" w:rsidRPr="00196500">
        <w:rPr>
          <w:sz w:val="24"/>
          <w:szCs w:val="24"/>
        </w:rPr>
        <w:t>If there has occurred, or there is proposed to be, a substantial change in the financial arrangements between the Australian Government and the Government or Governments of a State or States, the Australian Government may review the provisions of this Act in consultation with the Governments of the States with a view to submitting to the Parliament legislation to give effect to any changes it considers to be desirable as a result of that review.</w:t>
      </w:r>
    </w:p>
    <w:p w14:paraId="7CE57C49" w14:textId="77777777" w:rsidR="00290D07" w:rsidRPr="00190228" w:rsidRDefault="008A4175" w:rsidP="0016313D">
      <w:pPr>
        <w:pStyle w:val="BodyText21"/>
        <w:spacing w:before="120" w:after="60" w:line="240" w:lineRule="auto"/>
        <w:ind w:firstLine="0"/>
        <w:rPr>
          <w:b/>
          <w:sz w:val="20"/>
          <w:szCs w:val="20"/>
        </w:rPr>
      </w:pPr>
      <w:r w:rsidRPr="00190228">
        <w:rPr>
          <w:rStyle w:val="Bodytext9pt"/>
          <w:b/>
          <w:sz w:val="20"/>
          <w:szCs w:val="20"/>
        </w:rPr>
        <w:t>Advance</w:t>
      </w:r>
      <w:r w:rsidR="00190228" w:rsidRPr="00190228">
        <w:rPr>
          <w:b/>
          <w:sz w:val="20"/>
          <w:szCs w:val="20"/>
        </w:rPr>
        <w:t xml:space="preserve"> </w:t>
      </w:r>
      <w:r w:rsidRPr="00190228">
        <w:rPr>
          <w:rStyle w:val="Bodytext9pt"/>
          <w:b/>
          <w:sz w:val="20"/>
          <w:szCs w:val="20"/>
        </w:rPr>
        <w:t>payments.</w:t>
      </w:r>
    </w:p>
    <w:p w14:paraId="0ADDF3F5" w14:textId="182BB69A" w:rsidR="00290D07" w:rsidRPr="00196500" w:rsidRDefault="00190228" w:rsidP="0016313D">
      <w:pPr>
        <w:pStyle w:val="Bodytext90"/>
        <w:tabs>
          <w:tab w:val="left" w:pos="630"/>
        </w:tabs>
        <w:spacing w:line="240" w:lineRule="auto"/>
        <w:ind w:firstLine="270"/>
        <w:rPr>
          <w:sz w:val="24"/>
          <w:szCs w:val="24"/>
        </w:rPr>
      </w:pPr>
      <w:r w:rsidRPr="00190228">
        <w:rPr>
          <w:b/>
          <w:sz w:val="24"/>
          <w:szCs w:val="24"/>
        </w:rPr>
        <w:t>12.</w:t>
      </w:r>
      <w:r>
        <w:rPr>
          <w:b/>
          <w:sz w:val="24"/>
          <w:szCs w:val="24"/>
        </w:rPr>
        <w:tab/>
      </w:r>
      <w:r w:rsidR="008A4175" w:rsidRPr="00196500">
        <w:rPr>
          <w:sz w:val="24"/>
          <w:szCs w:val="24"/>
        </w:rPr>
        <w:t xml:space="preserve">The Treasurer may, in any year, make monthly or other advances to a State of portions of a grant to which it appears to </w:t>
      </w:r>
      <w:r w:rsidR="00344E57" w:rsidRPr="00344E57">
        <w:t>h</w:t>
      </w:r>
      <w:r w:rsidR="008A4175" w:rsidRPr="00196500">
        <w:rPr>
          <w:sz w:val="24"/>
          <w:szCs w:val="24"/>
        </w:rPr>
        <w:t>im the State will be entitled under this Act in respect of that year.</w:t>
      </w:r>
    </w:p>
    <w:p w14:paraId="7FE4C628" w14:textId="77777777" w:rsidR="00190228" w:rsidRPr="00190228" w:rsidRDefault="00190228" w:rsidP="0016313D">
      <w:pPr>
        <w:pStyle w:val="BodyText21"/>
        <w:spacing w:before="120" w:after="60" w:line="240" w:lineRule="auto"/>
        <w:ind w:firstLine="0"/>
        <w:rPr>
          <w:b/>
          <w:sz w:val="20"/>
          <w:szCs w:val="20"/>
        </w:rPr>
      </w:pPr>
      <w:r w:rsidRPr="00190228">
        <w:rPr>
          <w:rStyle w:val="Bodytext9pt"/>
          <w:b/>
          <w:sz w:val="20"/>
          <w:szCs w:val="20"/>
        </w:rPr>
        <w:t>Appropriation.</w:t>
      </w:r>
    </w:p>
    <w:p w14:paraId="0692E9AA" w14:textId="77777777" w:rsidR="00290D07" w:rsidRDefault="00190228" w:rsidP="0016313D">
      <w:pPr>
        <w:pStyle w:val="Bodytext90"/>
        <w:tabs>
          <w:tab w:val="left" w:pos="630"/>
        </w:tabs>
        <w:spacing w:line="240" w:lineRule="auto"/>
        <w:ind w:firstLine="270"/>
        <w:rPr>
          <w:sz w:val="24"/>
          <w:szCs w:val="24"/>
        </w:rPr>
      </w:pPr>
      <w:r w:rsidRPr="00190228">
        <w:rPr>
          <w:b/>
          <w:sz w:val="24"/>
          <w:szCs w:val="24"/>
        </w:rPr>
        <w:t>13.</w:t>
      </w:r>
      <w:r>
        <w:rPr>
          <w:b/>
          <w:sz w:val="24"/>
          <w:szCs w:val="24"/>
        </w:rPr>
        <w:tab/>
      </w:r>
      <w:r w:rsidR="008A4175" w:rsidRPr="00196500">
        <w:rPr>
          <w:sz w:val="24"/>
          <w:szCs w:val="24"/>
        </w:rPr>
        <w:t>Payments under this Act shall be made out of the Consolidated Revenue Fund, which is appropriated accordingly.</w:t>
      </w:r>
    </w:p>
    <w:p w14:paraId="4D1ADF6C" w14:textId="77777777" w:rsidR="00190228" w:rsidRDefault="00190228" w:rsidP="0016313D">
      <w:pPr>
        <w:pStyle w:val="Bodytext90"/>
        <w:spacing w:line="240" w:lineRule="auto"/>
        <w:ind w:firstLine="270"/>
        <w:rPr>
          <w:sz w:val="24"/>
          <w:szCs w:val="24"/>
        </w:rPr>
      </w:pPr>
    </w:p>
    <w:p w14:paraId="513C16E7" w14:textId="77777777" w:rsidR="00190228" w:rsidRPr="00196500" w:rsidRDefault="00190228" w:rsidP="0016313D">
      <w:pPr>
        <w:pStyle w:val="Bodytext90"/>
        <w:spacing w:line="240" w:lineRule="auto"/>
        <w:ind w:firstLine="270"/>
        <w:jc w:val="center"/>
        <w:rPr>
          <w:sz w:val="24"/>
          <w:szCs w:val="24"/>
        </w:rPr>
      </w:pPr>
      <w:r>
        <w:rPr>
          <w:sz w:val="24"/>
          <w:szCs w:val="24"/>
        </w:rPr>
        <w:t>_____________</w:t>
      </w:r>
    </w:p>
    <w:sectPr w:rsidR="00190228" w:rsidRPr="00196500" w:rsidSect="00D41E1D">
      <w:headerReference w:type="even" r:id="rId8"/>
      <w:headerReference w:type="default" r:id="rId9"/>
      <w:type w:val="continuous"/>
      <w:pgSz w:w="11909" w:h="18000" w:code="9"/>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B2EDB" w15:done="0"/>
  <w15:commentEx w15:paraId="4B59673D" w15:done="0"/>
  <w15:commentEx w15:paraId="754A06CE" w15:done="0"/>
  <w15:commentEx w15:paraId="3FB17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B2EDB" w16cid:durableId="1F45DB09"/>
  <w16cid:commentId w16cid:paraId="4B59673D" w16cid:durableId="1F45DB20"/>
  <w16cid:commentId w16cid:paraId="754A06CE" w16cid:durableId="1F45DB41"/>
  <w16cid:commentId w16cid:paraId="3FB17F79" w16cid:durableId="1F45DB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C601E" w14:textId="77777777" w:rsidR="00B939C1" w:rsidRDefault="00B939C1">
      <w:r>
        <w:separator/>
      </w:r>
    </w:p>
  </w:endnote>
  <w:endnote w:type="continuationSeparator" w:id="0">
    <w:p w14:paraId="0349DFC5" w14:textId="77777777" w:rsidR="00B939C1" w:rsidRDefault="00B9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DB956" w14:textId="77777777" w:rsidR="00B939C1" w:rsidRDefault="00B939C1"/>
  </w:footnote>
  <w:footnote w:type="continuationSeparator" w:id="0">
    <w:p w14:paraId="4501B0E1" w14:textId="77777777" w:rsidR="00B939C1" w:rsidRDefault="00B93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7763" w14:textId="77777777" w:rsidR="00504311" w:rsidRPr="00504311" w:rsidRDefault="00504311" w:rsidP="00504311">
    <w:pPr>
      <w:pStyle w:val="Header"/>
      <w:tabs>
        <w:tab w:val="clear" w:pos="4513"/>
        <w:tab w:val="clear" w:pos="9026"/>
        <w:tab w:val="center" w:pos="5040"/>
        <w:tab w:val="right" w:pos="9720"/>
      </w:tabs>
      <w:rPr>
        <w:rFonts w:ascii="Times New Roman" w:hAnsi="Times New Roman" w:cs="Times New Roman"/>
        <w:sz w:val="22"/>
        <w:szCs w:val="22"/>
        <w:lang w:val="en-IN"/>
      </w:rPr>
    </w:pPr>
    <w:r w:rsidRPr="00504311">
      <w:rPr>
        <w:rFonts w:ascii="Times New Roman" w:hAnsi="Times New Roman" w:cs="Times New Roman"/>
        <w:sz w:val="22"/>
        <w:szCs w:val="22"/>
        <w:lang w:val="en-IN"/>
      </w:rPr>
      <w:t>1973</w:t>
    </w:r>
    <w:r>
      <w:rPr>
        <w:rFonts w:ascii="Times New Roman" w:hAnsi="Times New Roman" w:cs="Times New Roman"/>
        <w:sz w:val="22"/>
        <w:szCs w:val="22"/>
        <w:lang w:val="en-IN"/>
      </w:rPr>
      <w:tab/>
    </w:r>
    <w:r w:rsidRPr="00504311">
      <w:rPr>
        <w:rFonts w:ascii="Times New Roman" w:hAnsi="Times New Roman" w:cs="Times New Roman"/>
        <w:i/>
        <w:sz w:val="22"/>
        <w:szCs w:val="22"/>
        <w:lang w:val="en-IN"/>
      </w:rPr>
      <w:t>States Grants</w:t>
    </w:r>
    <w:r w:rsidRPr="00504311">
      <w:rPr>
        <w:rFonts w:ascii="Times New Roman" w:hAnsi="Times New Roman" w:cs="Times New Roman"/>
        <w:sz w:val="22"/>
        <w:szCs w:val="22"/>
        <w:lang w:val="en-IN"/>
      </w:rPr>
      <w:tab/>
      <w:t>No. 149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F9167" w14:textId="77777777" w:rsidR="00504311" w:rsidRPr="00504311" w:rsidRDefault="00504311" w:rsidP="00504311">
    <w:pPr>
      <w:pStyle w:val="Header"/>
      <w:tabs>
        <w:tab w:val="clear" w:pos="4513"/>
        <w:tab w:val="clear" w:pos="9026"/>
        <w:tab w:val="center" w:pos="5040"/>
        <w:tab w:val="right" w:pos="9720"/>
      </w:tabs>
      <w:rPr>
        <w:rFonts w:ascii="Times New Roman" w:hAnsi="Times New Roman" w:cs="Times New Roman"/>
        <w:sz w:val="22"/>
        <w:szCs w:val="22"/>
        <w:lang w:val="en-IN"/>
      </w:rPr>
    </w:pPr>
    <w:r w:rsidRPr="00504311">
      <w:rPr>
        <w:rFonts w:ascii="Times New Roman" w:hAnsi="Times New Roman" w:cs="Times New Roman"/>
        <w:sz w:val="22"/>
        <w:szCs w:val="22"/>
        <w:lang w:val="en-IN"/>
      </w:rPr>
      <w:t>No. 149</w:t>
    </w:r>
    <w:r>
      <w:rPr>
        <w:rFonts w:ascii="Times New Roman" w:hAnsi="Times New Roman" w:cs="Times New Roman"/>
        <w:sz w:val="22"/>
        <w:szCs w:val="22"/>
        <w:lang w:val="en-IN"/>
      </w:rPr>
      <w:tab/>
    </w:r>
    <w:r w:rsidRPr="00504311">
      <w:rPr>
        <w:rFonts w:ascii="Times New Roman" w:hAnsi="Times New Roman" w:cs="Times New Roman"/>
        <w:i/>
        <w:sz w:val="22"/>
        <w:szCs w:val="22"/>
        <w:lang w:val="en-IN"/>
      </w:rPr>
      <w:t>State Grants</w:t>
    </w:r>
    <w:r>
      <w:rPr>
        <w:rFonts w:ascii="Times New Roman" w:hAnsi="Times New Roman" w:cs="Times New Roman"/>
        <w:sz w:val="22"/>
        <w:szCs w:val="22"/>
        <w:lang w:val="en-IN"/>
      </w:rPr>
      <w:tab/>
    </w:r>
    <w:r w:rsidRPr="00504311">
      <w:rPr>
        <w:rFonts w:ascii="Times New Roman" w:hAnsi="Times New Roman" w:cs="Times New Roman"/>
        <w:sz w:val="22"/>
        <w:szCs w:val="22"/>
        <w:lang w:val="en-IN"/>
      </w:rPr>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30E"/>
    <w:multiLevelType w:val="multilevel"/>
    <w:tmpl w:val="81C29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66954"/>
    <w:multiLevelType w:val="multilevel"/>
    <w:tmpl w:val="F154B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677E0"/>
    <w:multiLevelType w:val="multilevel"/>
    <w:tmpl w:val="205265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9502F1"/>
    <w:multiLevelType w:val="multilevel"/>
    <w:tmpl w:val="1A0C8BC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C1021"/>
    <w:multiLevelType w:val="multilevel"/>
    <w:tmpl w:val="CAE2C5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334EF8"/>
    <w:multiLevelType w:val="multilevel"/>
    <w:tmpl w:val="6A06D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CE667F"/>
    <w:multiLevelType w:val="multilevel"/>
    <w:tmpl w:val="DF4293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3319B2"/>
    <w:multiLevelType w:val="multilevel"/>
    <w:tmpl w:val="CC8838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5B14B8"/>
    <w:multiLevelType w:val="multilevel"/>
    <w:tmpl w:val="10062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2"/>
  </w:num>
  <w:num w:numId="5">
    <w:abstractNumId w:val="0"/>
  </w:num>
  <w:num w:numId="6">
    <w:abstractNumId w:val="1"/>
  </w:num>
  <w:num w:numId="7">
    <w:abstractNumId w:val="6"/>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90D07"/>
    <w:rsid w:val="0016313D"/>
    <w:rsid w:val="00190228"/>
    <w:rsid w:val="00196500"/>
    <w:rsid w:val="00246083"/>
    <w:rsid w:val="00290D07"/>
    <w:rsid w:val="00344E57"/>
    <w:rsid w:val="00504311"/>
    <w:rsid w:val="00723B2B"/>
    <w:rsid w:val="007D0975"/>
    <w:rsid w:val="00811671"/>
    <w:rsid w:val="008A4175"/>
    <w:rsid w:val="00903313"/>
    <w:rsid w:val="00906EDB"/>
    <w:rsid w:val="009714C6"/>
    <w:rsid w:val="00AC654E"/>
    <w:rsid w:val="00AF2BF9"/>
    <w:rsid w:val="00B939C1"/>
    <w:rsid w:val="00C32E16"/>
    <w:rsid w:val="00C87810"/>
    <w:rsid w:val="00D41E1D"/>
    <w:rsid w:val="00E67994"/>
    <w:rsid w:val="00E723C8"/>
    <w:rsid w:val="00F3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5"/>
      <w:szCs w:val="25"/>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3"/>
      <w:szCs w:val="23"/>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sz w:val="18"/>
      <w:szCs w:val="18"/>
      <w:u w:val="none"/>
    </w:rPr>
  </w:style>
  <w:style w:type="character" w:customStyle="1" w:styleId="Bodytext6">
    <w:name w:val="Body text (6)_"/>
    <w:basedOn w:val="DefaultParagraphFont"/>
    <w:link w:val="Bodytext60"/>
    <w:rPr>
      <w:rFonts w:ascii="Tahoma" w:eastAsia="Tahoma" w:hAnsi="Tahoma" w:cs="Tahoma"/>
      <w:b w:val="0"/>
      <w:bCs w:val="0"/>
      <w:i w:val="0"/>
      <w:iCs w:val="0"/>
      <w:smallCaps w:val="0"/>
      <w:strike w:val="0"/>
      <w:sz w:val="15"/>
      <w:szCs w:val="15"/>
      <w:u w:val="none"/>
    </w:rPr>
  </w:style>
  <w:style w:type="character" w:customStyle="1" w:styleId="Bodytext665pt">
    <w:name w:val="Body text (6) + 6.5 pt"/>
    <w:basedOn w:val="Bodytext6"/>
    <w:rPr>
      <w:rFonts w:ascii="Tahoma" w:eastAsia="Tahoma" w:hAnsi="Tahoma" w:cs="Tahoma"/>
      <w:b w:val="0"/>
      <w:bCs w:val="0"/>
      <w:i w:val="0"/>
      <w:iCs w:val="0"/>
      <w:smallCaps w:val="0"/>
      <w:strike w:val="0"/>
      <w:color w:val="000000"/>
      <w:spacing w:val="0"/>
      <w:w w:val="100"/>
      <w:position w:val="0"/>
      <w:sz w:val="13"/>
      <w:szCs w:val="13"/>
      <w:u w:val="none"/>
    </w:rPr>
  </w:style>
  <w:style w:type="character" w:customStyle="1" w:styleId="BodytextTahoma">
    <w:name w:val="Body text + Tahoma"/>
    <w:aliases w:val="7.5 pt"/>
    <w:basedOn w:val="Bodytext"/>
    <w:rPr>
      <w:rFonts w:ascii="Tahoma" w:eastAsia="Tahoma" w:hAnsi="Tahoma" w:cs="Tahoma"/>
      <w:b w:val="0"/>
      <w:bCs w:val="0"/>
      <w:i w:val="0"/>
      <w:iCs w:val="0"/>
      <w:smallCaps w:val="0"/>
      <w:strike w:val="0"/>
      <w:sz w:val="15"/>
      <w:szCs w:val="15"/>
      <w:u w:val="none"/>
    </w:rPr>
  </w:style>
  <w:style w:type="character" w:customStyle="1" w:styleId="BodytextTahoma0">
    <w:name w:val="Body text + Tahoma"/>
    <w:aliases w:val="6.5 pt"/>
    <w:basedOn w:val="Bodytext"/>
    <w:rPr>
      <w:rFonts w:ascii="Tahoma" w:eastAsia="Tahoma" w:hAnsi="Tahoma" w:cs="Tahoma"/>
      <w:b w:val="0"/>
      <w:bCs w:val="0"/>
      <w:i w:val="0"/>
      <w:iCs w:val="0"/>
      <w:smallCaps w:val="0"/>
      <w:strike w:val="0"/>
      <w:sz w:val="13"/>
      <w:szCs w:val="13"/>
      <w:u w:val="none"/>
    </w:rPr>
  </w:style>
  <w:style w:type="character" w:customStyle="1" w:styleId="Bodytext10">
    <w:name w:val="Body text (10)_"/>
    <w:basedOn w:val="DefaultParagraphFont"/>
    <w:link w:val="Bodytext100"/>
    <w:rPr>
      <w:rFonts w:ascii="Tahoma" w:eastAsia="Tahoma" w:hAnsi="Tahoma" w:cs="Tahoma"/>
      <w:b/>
      <w:bCs/>
      <w:i w:val="0"/>
      <w:iCs w:val="0"/>
      <w:smallCaps w:val="0"/>
      <w:strike w:val="0"/>
      <w:sz w:val="16"/>
      <w:szCs w:val="16"/>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Bold">
    <w:name w:val="Body text (9) + Bold"/>
    <w:aliases w:val="Spacing -1 pt"/>
    <w:basedOn w:val="Bodytext9"/>
    <w:rPr>
      <w:rFonts w:ascii="Times New Roman" w:eastAsia="Times New Roman" w:hAnsi="Times New Roman" w:cs="Times New Roman"/>
      <w:b/>
      <w:bCs/>
      <w:i w:val="0"/>
      <w:iCs w:val="0"/>
      <w:smallCaps w:val="0"/>
      <w:strike w:val="0"/>
      <w:color w:val="000000"/>
      <w:spacing w:val="-20"/>
      <w:w w:val="100"/>
      <w:position w:val="0"/>
      <w:sz w:val="22"/>
      <w:szCs w:val="22"/>
      <w:u w:val="none"/>
      <w:lang w:val="en-US"/>
    </w:rPr>
  </w:style>
  <w:style w:type="character" w:customStyle="1" w:styleId="Bodytext9FranklinGothicHeavy">
    <w:name w:val="Body text (9) + Franklin Gothic Heavy"/>
    <w:basedOn w:val="Bodytext9"/>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3"/>
      <w:szCs w:val="23"/>
      <w:u w:val="none"/>
    </w:rPr>
  </w:style>
  <w:style w:type="character" w:customStyle="1" w:styleId="Bodytext11pt">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color w:val="000000"/>
      <w:spacing w:val="0"/>
      <w:w w:val="100"/>
      <w:position w:val="0"/>
      <w:sz w:val="22"/>
      <w:szCs w:val="22"/>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26"/>
      <w:szCs w:val="26"/>
    </w:rPr>
  </w:style>
  <w:style w:type="paragraph" w:customStyle="1" w:styleId="BodyText21">
    <w:name w:val="Body Text2"/>
    <w:basedOn w:val="Normal"/>
    <w:link w:val="Bodytext"/>
    <w:pPr>
      <w:spacing w:line="240" w:lineRule="exact"/>
      <w:ind w:hanging="400"/>
      <w:jc w:val="both"/>
    </w:pPr>
    <w:rPr>
      <w:rFonts w:ascii="Times New Roman" w:eastAsia="Times New Roman" w:hAnsi="Times New Roman" w:cs="Times New Roman"/>
      <w:sz w:val="23"/>
      <w:szCs w:val="23"/>
    </w:rPr>
  </w:style>
  <w:style w:type="paragraph" w:customStyle="1" w:styleId="Bodytext60">
    <w:name w:val="Body text (6)"/>
    <w:basedOn w:val="Normal"/>
    <w:link w:val="Bodytext6"/>
    <w:pPr>
      <w:spacing w:line="158" w:lineRule="exact"/>
    </w:pPr>
    <w:rPr>
      <w:rFonts w:ascii="Tahoma" w:eastAsia="Tahoma" w:hAnsi="Tahoma" w:cs="Tahoma"/>
      <w:sz w:val="15"/>
      <w:szCs w:val="15"/>
    </w:rPr>
  </w:style>
  <w:style w:type="paragraph" w:customStyle="1" w:styleId="Bodytext100">
    <w:name w:val="Body text (10)"/>
    <w:basedOn w:val="Normal"/>
    <w:link w:val="Bodytext10"/>
    <w:pPr>
      <w:spacing w:line="158" w:lineRule="exact"/>
    </w:pPr>
    <w:rPr>
      <w:rFonts w:ascii="Tahoma" w:eastAsia="Tahoma" w:hAnsi="Tahoma" w:cs="Tahoma"/>
      <w:b/>
      <w:bCs/>
      <w:sz w:val="16"/>
      <w:szCs w:val="16"/>
    </w:rPr>
  </w:style>
  <w:style w:type="paragraph" w:customStyle="1" w:styleId="Bodytext80">
    <w:name w:val="Body text (8)"/>
    <w:basedOn w:val="Normal"/>
    <w:link w:val="Bodytext8"/>
    <w:pPr>
      <w:spacing w:line="0" w:lineRule="atLeast"/>
      <w:jc w:val="right"/>
    </w:pPr>
    <w:rPr>
      <w:rFonts w:ascii="Times New Roman" w:eastAsia="Times New Roman" w:hAnsi="Times New Roman" w:cs="Times New Roman"/>
      <w:i/>
      <w:iCs/>
      <w:sz w:val="22"/>
      <w:szCs w:val="22"/>
    </w:rPr>
  </w:style>
  <w:style w:type="paragraph" w:customStyle="1" w:styleId="Bodytext90">
    <w:name w:val="Body text (9)"/>
    <w:basedOn w:val="Normal"/>
    <w:link w:val="Bodytext9"/>
    <w:pPr>
      <w:spacing w:line="240" w:lineRule="exact"/>
      <w:ind w:hanging="400"/>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504311"/>
    <w:pPr>
      <w:tabs>
        <w:tab w:val="center" w:pos="4513"/>
        <w:tab w:val="right" w:pos="9026"/>
      </w:tabs>
    </w:pPr>
  </w:style>
  <w:style w:type="character" w:customStyle="1" w:styleId="HeaderChar">
    <w:name w:val="Header Char"/>
    <w:basedOn w:val="DefaultParagraphFont"/>
    <w:link w:val="Header"/>
    <w:uiPriority w:val="99"/>
    <w:rsid w:val="00504311"/>
    <w:rPr>
      <w:color w:val="000000"/>
    </w:rPr>
  </w:style>
  <w:style w:type="paragraph" w:styleId="Footer">
    <w:name w:val="footer"/>
    <w:basedOn w:val="Normal"/>
    <w:link w:val="FooterChar"/>
    <w:uiPriority w:val="99"/>
    <w:unhideWhenUsed/>
    <w:rsid w:val="00504311"/>
    <w:pPr>
      <w:tabs>
        <w:tab w:val="center" w:pos="4513"/>
        <w:tab w:val="right" w:pos="9026"/>
      </w:tabs>
    </w:pPr>
  </w:style>
  <w:style w:type="character" w:customStyle="1" w:styleId="FooterChar">
    <w:name w:val="Footer Char"/>
    <w:basedOn w:val="DefaultParagraphFont"/>
    <w:link w:val="Footer"/>
    <w:uiPriority w:val="99"/>
    <w:rsid w:val="00504311"/>
    <w:rPr>
      <w:color w:val="000000"/>
    </w:rPr>
  </w:style>
  <w:style w:type="character" w:styleId="CommentReference">
    <w:name w:val="annotation reference"/>
    <w:basedOn w:val="DefaultParagraphFont"/>
    <w:uiPriority w:val="99"/>
    <w:semiHidden/>
    <w:unhideWhenUsed/>
    <w:rsid w:val="00811671"/>
    <w:rPr>
      <w:sz w:val="16"/>
      <w:szCs w:val="16"/>
    </w:rPr>
  </w:style>
  <w:style w:type="paragraph" w:styleId="CommentText">
    <w:name w:val="annotation text"/>
    <w:basedOn w:val="Normal"/>
    <w:link w:val="CommentTextChar"/>
    <w:uiPriority w:val="99"/>
    <w:semiHidden/>
    <w:unhideWhenUsed/>
    <w:rsid w:val="00811671"/>
    <w:rPr>
      <w:sz w:val="20"/>
      <w:szCs w:val="20"/>
    </w:rPr>
  </w:style>
  <w:style w:type="character" w:customStyle="1" w:styleId="CommentTextChar">
    <w:name w:val="Comment Text Char"/>
    <w:basedOn w:val="DefaultParagraphFont"/>
    <w:link w:val="CommentText"/>
    <w:uiPriority w:val="99"/>
    <w:semiHidden/>
    <w:rsid w:val="00811671"/>
    <w:rPr>
      <w:color w:val="000000"/>
      <w:sz w:val="20"/>
      <w:szCs w:val="20"/>
    </w:rPr>
  </w:style>
  <w:style w:type="paragraph" w:styleId="CommentSubject">
    <w:name w:val="annotation subject"/>
    <w:basedOn w:val="CommentText"/>
    <w:next w:val="CommentText"/>
    <w:link w:val="CommentSubjectChar"/>
    <w:uiPriority w:val="99"/>
    <w:semiHidden/>
    <w:unhideWhenUsed/>
    <w:rsid w:val="00811671"/>
    <w:rPr>
      <w:b/>
      <w:bCs/>
    </w:rPr>
  </w:style>
  <w:style w:type="character" w:customStyle="1" w:styleId="CommentSubjectChar">
    <w:name w:val="Comment Subject Char"/>
    <w:basedOn w:val="CommentTextChar"/>
    <w:link w:val="CommentSubject"/>
    <w:uiPriority w:val="99"/>
    <w:semiHidden/>
    <w:rsid w:val="00811671"/>
    <w:rPr>
      <w:b/>
      <w:bCs/>
      <w:color w:val="000000"/>
      <w:sz w:val="20"/>
      <w:szCs w:val="20"/>
    </w:rPr>
  </w:style>
  <w:style w:type="paragraph" w:styleId="BalloonText">
    <w:name w:val="Balloon Text"/>
    <w:basedOn w:val="Normal"/>
    <w:link w:val="BalloonTextChar"/>
    <w:uiPriority w:val="99"/>
    <w:semiHidden/>
    <w:unhideWhenUsed/>
    <w:rsid w:val="00811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71"/>
    <w:rPr>
      <w:rFonts w:ascii="Segoe UI" w:hAnsi="Segoe UI" w:cs="Segoe UI"/>
      <w:color w:val="000000"/>
      <w:sz w:val="18"/>
      <w:szCs w:val="18"/>
    </w:rPr>
  </w:style>
  <w:style w:type="paragraph" w:styleId="Revision">
    <w:name w:val="Revision"/>
    <w:hidden/>
    <w:uiPriority w:val="99"/>
    <w:semiHidden/>
    <w:rsid w:val="00344E5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2018-09-13T21:02:00Z</dcterms:created>
  <dcterms:modified xsi:type="dcterms:W3CDTF">2019-05-20T05:25:00Z</dcterms:modified>
</cp:coreProperties>
</file>