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F65E7" w14:textId="77777777" w:rsidR="002361F3" w:rsidRPr="00926BD4" w:rsidRDefault="00893E65" w:rsidP="00B57D7F">
      <w:pPr>
        <w:pStyle w:val="BodyText1"/>
        <w:spacing w:line="240" w:lineRule="auto"/>
        <w:ind w:firstLine="0"/>
        <w:rPr>
          <w:b/>
          <w:sz w:val="32"/>
          <w:szCs w:val="24"/>
        </w:rPr>
      </w:pPr>
      <w:bookmarkStart w:id="0" w:name="bookmark0"/>
      <w:r w:rsidRPr="00926BD4">
        <w:rPr>
          <w:rStyle w:val="Bodytext115pt4"/>
          <w:b/>
          <w:spacing w:val="0"/>
          <w:sz w:val="32"/>
          <w:szCs w:val="24"/>
        </w:rPr>
        <w:t>EVIDENCE</w:t>
      </w:r>
      <w:r w:rsidRPr="00926BD4">
        <w:rPr>
          <w:b/>
          <w:sz w:val="32"/>
          <w:szCs w:val="24"/>
        </w:rPr>
        <w:t xml:space="preserve"> ACT 1974</w:t>
      </w:r>
      <w:bookmarkEnd w:id="0"/>
    </w:p>
    <w:p w14:paraId="4775137A" w14:textId="77777777" w:rsidR="00EA26A3" w:rsidRPr="00B57D7F" w:rsidRDefault="00EA26A3" w:rsidP="00B57D7F">
      <w:pPr>
        <w:pStyle w:val="BodyText1"/>
        <w:spacing w:line="240" w:lineRule="auto"/>
        <w:ind w:firstLine="0"/>
        <w:rPr>
          <w:b/>
          <w:sz w:val="24"/>
          <w:szCs w:val="24"/>
        </w:rPr>
      </w:pPr>
    </w:p>
    <w:p w14:paraId="717910E0" w14:textId="77777777" w:rsidR="002361F3" w:rsidRPr="00926BD4" w:rsidRDefault="00893E65" w:rsidP="00B57D7F">
      <w:pPr>
        <w:pStyle w:val="BodyText1"/>
        <w:spacing w:line="240" w:lineRule="auto"/>
        <w:ind w:firstLine="0"/>
        <w:rPr>
          <w:b/>
          <w:sz w:val="28"/>
          <w:szCs w:val="24"/>
        </w:rPr>
      </w:pPr>
      <w:bookmarkStart w:id="1" w:name="bookmark1"/>
      <w:r w:rsidRPr="00926BD4">
        <w:rPr>
          <w:rStyle w:val="Bodytext115pt4"/>
          <w:b/>
          <w:spacing w:val="0"/>
          <w:sz w:val="28"/>
          <w:szCs w:val="24"/>
        </w:rPr>
        <w:t>No</w:t>
      </w:r>
      <w:r w:rsidRPr="00926BD4">
        <w:rPr>
          <w:b/>
          <w:sz w:val="28"/>
          <w:szCs w:val="24"/>
        </w:rPr>
        <w:t>. 31 of 1974</w:t>
      </w:r>
      <w:bookmarkEnd w:id="1"/>
    </w:p>
    <w:p w14:paraId="4C894E3F" w14:textId="77777777" w:rsidR="00EA26A3" w:rsidRPr="00926BD4" w:rsidRDefault="00EA26A3" w:rsidP="00B57D7F">
      <w:pPr>
        <w:pStyle w:val="BodyText1"/>
        <w:spacing w:line="240" w:lineRule="auto"/>
        <w:ind w:firstLine="0"/>
        <w:rPr>
          <w:b/>
          <w:sz w:val="28"/>
          <w:szCs w:val="24"/>
        </w:rPr>
      </w:pPr>
    </w:p>
    <w:p w14:paraId="4A8B9DE1" w14:textId="77777777" w:rsidR="002361F3" w:rsidRPr="00E22569" w:rsidRDefault="00893E65" w:rsidP="00B57D7F">
      <w:pPr>
        <w:pStyle w:val="BodyText1"/>
        <w:spacing w:line="240" w:lineRule="auto"/>
        <w:ind w:firstLine="0"/>
        <w:rPr>
          <w:rStyle w:val="Bodytext115pt"/>
          <w:sz w:val="28"/>
          <w:szCs w:val="24"/>
        </w:rPr>
      </w:pPr>
      <w:r w:rsidRPr="00E22569">
        <w:rPr>
          <w:rStyle w:val="Bodytext115pt"/>
          <w:sz w:val="28"/>
          <w:szCs w:val="24"/>
        </w:rPr>
        <w:t xml:space="preserve">An Act to amend the </w:t>
      </w:r>
      <w:r w:rsidRPr="00E22569">
        <w:rPr>
          <w:rStyle w:val="Bodytext115pt0"/>
          <w:sz w:val="28"/>
          <w:szCs w:val="24"/>
        </w:rPr>
        <w:t>Evidence Act</w:t>
      </w:r>
      <w:r w:rsidRPr="00E22569">
        <w:rPr>
          <w:rStyle w:val="Bodytext115pt"/>
          <w:sz w:val="28"/>
          <w:szCs w:val="24"/>
        </w:rPr>
        <w:t xml:space="preserve"> 1905-1973.</w:t>
      </w:r>
    </w:p>
    <w:p w14:paraId="21715912" w14:textId="77777777" w:rsidR="00E22569" w:rsidRPr="00B57D7F" w:rsidRDefault="00E22569" w:rsidP="00B57D7F">
      <w:pPr>
        <w:pStyle w:val="BodyText1"/>
        <w:spacing w:line="240" w:lineRule="auto"/>
        <w:ind w:firstLine="0"/>
        <w:rPr>
          <w:sz w:val="24"/>
          <w:szCs w:val="24"/>
        </w:rPr>
      </w:pPr>
    </w:p>
    <w:p w14:paraId="1472C788" w14:textId="77777777" w:rsidR="002361F3" w:rsidRPr="00B57D7F" w:rsidRDefault="00893E65" w:rsidP="00926BD4">
      <w:pPr>
        <w:pStyle w:val="BodyText1"/>
        <w:spacing w:line="240" w:lineRule="auto"/>
        <w:ind w:firstLine="0"/>
        <w:jc w:val="left"/>
        <w:rPr>
          <w:sz w:val="24"/>
          <w:szCs w:val="24"/>
        </w:rPr>
      </w:pPr>
      <w:r w:rsidRPr="00B57D7F">
        <w:rPr>
          <w:rStyle w:val="Bodytext115pt"/>
          <w:sz w:val="24"/>
          <w:szCs w:val="24"/>
        </w:rPr>
        <w:t>BE IT ENACTED by the Queen, the Senate and the House of Representatives of Australia, as follows:—</w:t>
      </w:r>
    </w:p>
    <w:p w14:paraId="125D6488" w14:textId="77777777" w:rsidR="002361F3" w:rsidRPr="00926BD4" w:rsidRDefault="00893E65" w:rsidP="00926BD4">
      <w:pPr>
        <w:pStyle w:val="Bodytext20"/>
        <w:spacing w:before="120" w:after="60" w:line="240" w:lineRule="auto"/>
        <w:jc w:val="left"/>
        <w:rPr>
          <w:sz w:val="20"/>
          <w:szCs w:val="24"/>
        </w:rPr>
      </w:pPr>
      <w:r w:rsidRPr="00926BD4">
        <w:rPr>
          <w:sz w:val="20"/>
          <w:szCs w:val="24"/>
        </w:rPr>
        <w:t>Short title and citation.</w:t>
      </w:r>
    </w:p>
    <w:p w14:paraId="23E66AC2" w14:textId="77777777" w:rsidR="002361F3" w:rsidRPr="00B57D7F" w:rsidRDefault="00926BD4" w:rsidP="00952338">
      <w:pPr>
        <w:pStyle w:val="BodyText1"/>
        <w:spacing w:after="60" w:line="240" w:lineRule="auto"/>
        <w:ind w:firstLine="270"/>
        <w:jc w:val="left"/>
        <w:rPr>
          <w:sz w:val="24"/>
          <w:szCs w:val="24"/>
        </w:rPr>
      </w:pPr>
      <w:r w:rsidRPr="00926BD4">
        <w:rPr>
          <w:rStyle w:val="Bodytext115pt1"/>
          <w:b/>
          <w:sz w:val="24"/>
          <w:szCs w:val="24"/>
        </w:rPr>
        <w:t>1.</w:t>
      </w:r>
      <w:r>
        <w:rPr>
          <w:rStyle w:val="Bodytext115pt1"/>
          <w:sz w:val="24"/>
          <w:szCs w:val="24"/>
        </w:rPr>
        <w:t xml:space="preserve"> </w:t>
      </w:r>
      <w:r w:rsidR="00893E65" w:rsidRPr="00B57D7F">
        <w:rPr>
          <w:rStyle w:val="Bodytext115pt1"/>
          <w:sz w:val="24"/>
          <w:szCs w:val="24"/>
        </w:rPr>
        <w:t>(1)</w:t>
      </w:r>
      <w:r w:rsidR="00EA26A3">
        <w:rPr>
          <w:rStyle w:val="Bodytext115pt"/>
          <w:sz w:val="24"/>
          <w:szCs w:val="24"/>
        </w:rPr>
        <w:t xml:space="preserve"> </w:t>
      </w:r>
      <w:r w:rsidR="00893E65" w:rsidRPr="00B57D7F">
        <w:rPr>
          <w:rStyle w:val="Bodytext115pt"/>
          <w:sz w:val="24"/>
          <w:szCs w:val="24"/>
        </w:rPr>
        <w:t xml:space="preserve">This Act may be cited as the </w:t>
      </w:r>
      <w:r w:rsidR="00893E65" w:rsidRPr="00B57D7F">
        <w:rPr>
          <w:rStyle w:val="Bodytext115pt0"/>
          <w:sz w:val="24"/>
          <w:szCs w:val="24"/>
        </w:rPr>
        <w:t>Evidence Act</w:t>
      </w:r>
      <w:r w:rsidR="00893E65" w:rsidRPr="00B57D7F">
        <w:rPr>
          <w:rStyle w:val="Bodytext115pt"/>
          <w:sz w:val="24"/>
          <w:szCs w:val="24"/>
        </w:rPr>
        <w:t xml:space="preserve"> 1974.</w:t>
      </w:r>
    </w:p>
    <w:p w14:paraId="599A548A" w14:textId="34B28FE2" w:rsidR="002361F3" w:rsidRPr="00B57D7F" w:rsidRDefault="00926BD4" w:rsidP="00952338">
      <w:pPr>
        <w:pStyle w:val="BodyText1"/>
        <w:spacing w:after="60" w:line="240" w:lineRule="auto"/>
        <w:ind w:firstLine="270"/>
        <w:jc w:val="left"/>
        <w:rPr>
          <w:sz w:val="24"/>
          <w:szCs w:val="24"/>
        </w:rPr>
      </w:pPr>
      <w:r>
        <w:rPr>
          <w:rStyle w:val="Bodytext115pt"/>
          <w:sz w:val="24"/>
          <w:szCs w:val="24"/>
        </w:rPr>
        <w:t xml:space="preserve">(2) </w:t>
      </w:r>
      <w:r w:rsidR="00893E65" w:rsidRPr="00B57D7F">
        <w:rPr>
          <w:rStyle w:val="Bodytext115pt"/>
          <w:sz w:val="24"/>
          <w:szCs w:val="24"/>
        </w:rPr>
        <w:t xml:space="preserve">The </w:t>
      </w:r>
      <w:r w:rsidR="00893E65" w:rsidRPr="00B57D7F">
        <w:rPr>
          <w:rStyle w:val="Bodytext115pt0"/>
          <w:sz w:val="24"/>
          <w:szCs w:val="24"/>
        </w:rPr>
        <w:t>Evidence Act</w:t>
      </w:r>
      <w:r w:rsidR="00893E65" w:rsidRPr="00B57D7F">
        <w:rPr>
          <w:rStyle w:val="Bodytext115pt"/>
          <w:sz w:val="24"/>
          <w:szCs w:val="24"/>
        </w:rPr>
        <w:t xml:space="preserve"> 1905-1973 is in this Act referred to as the Principal Act.</w:t>
      </w:r>
    </w:p>
    <w:p w14:paraId="10AA1797" w14:textId="77777777" w:rsidR="002361F3" w:rsidRPr="00B57D7F" w:rsidRDefault="00926BD4" w:rsidP="00952338">
      <w:pPr>
        <w:pStyle w:val="BodyText1"/>
        <w:spacing w:after="60" w:line="240" w:lineRule="auto"/>
        <w:ind w:firstLine="270"/>
        <w:jc w:val="left"/>
        <w:rPr>
          <w:sz w:val="24"/>
          <w:szCs w:val="24"/>
        </w:rPr>
      </w:pPr>
      <w:r>
        <w:rPr>
          <w:rStyle w:val="Bodytext115pt"/>
          <w:sz w:val="24"/>
          <w:szCs w:val="24"/>
        </w:rPr>
        <w:t xml:space="preserve">(3) </w:t>
      </w:r>
      <w:r w:rsidR="00893E65" w:rsidRPr="00B57D7F">
        <w:rPr>
          <w:rStyle w:val="Bodytext115pt"/>
          <w:sz w:val="24"/>
          <w:szCs w:val="24"/>
        </w:rPr>
        <w:t xml:space="preserve">The Principal Act, as amended by this Act, may be cited as the </w:t>
      </w:r>
      <w:r w:rsidR="00893E65" w:rsidRPr="00B57D7F">
        <w:rPr>
          <w:rStyle w:val="Bodytext115pt0"/>
          <w:sz w:val="24"/>
          <w:szCs w:val="24"/>
        </w:rPr>
        <w:t>Evidence Act</w:t>
      </w:r>
      <w:r w:rsidR="00893E65" w:rsidRPr="00B57D7F">
        <w:rPr>
          <w:rStyle w:val="Bodytext115pt"/>
          <w:sz w:val="24"/>
          <w:szCs w:val="24"/>
        </w:rPr>
        <w:t xml:space="preserve"> 1905-1974.</w:t>
      </w:r>
    </w:p>
    <w:p w14:paraId="6857AD15" w14:textId="77777777" w:rsidR="002361F3" w:rsidRPr="00926BD4" w:rsidRDefault="00893E65" w:rsidP="00926BD4">
      <w:pPr>
        <w:pStyle w:val="Bodytext20"/>
        <w:spacing w:before="120" w:after="60" w:line="240" w:lineRule="auto"/>
        <w:jc w:val="left"/>
        <w:rPr>
          <w:sz w:val="20"/>
          <w:szCs w:val="24"/>
        </w:rPr>
      </w:pPr>
      <w:r w:rsidRPr="00926BD4">
        <w:rPr>
          <w:sz w:val="20"/>
          <w:szCs w:val="24"/>
        </w:rPr>
        <w:t>Commencement.</w:t>
      </w:r>
    </w:p>
    <w:p w14:paraId="0697E56F" w14:textId="4146B295" w:rsidR="002361F3" w:rsidRDefault="00926BD4" w:rsidP="00926BD4">
      <w:pPr>
        <w:pStyle w:val="BodyText1"/>
        <w:tabs>
          <w:tab w:val="left" w:pos="630"/>
        </w:tabs>
        <w:spacing w:line="240" w:lineRule="auto"/>
        <w:ind w:firstLine="270"/>
        <w:jc w:val="left"/>
        <w:rPr>
          <w:rStyle w:val="Bodytext115pt"/>
          <w:sz w:val="24"/>
          <w:szCs w:val="24"/>
          <w:vertAlign w:val="superscript"/>
        </w:rPr>
      </w:pPr>
      <w:r>
        <w:rPr>
          <w:rStyle w:val="Bodytext115pt"/>
          <w:b/>
          <w:sz w:val="24"/>
          <w:szCs w:val="24"/>
        </w:rPr>
        <w:t>2</w:t>
      </w:r>
      <w:r w:rsidRPr="00926BD4">
        <w:rPr>
          <w:rStyle w:val="Bodytext115pt"/>
          <w:b/>
          <w:sz w:val="24"/>
          <w:szCs w:val="24"/>
        </w:rPr>
        <w:t>.</w:t>
      </w:r>
      <w:r>
        <w:rPr>
          <w:rStyle w:val="Bodytext115pt"/>
          <w:sz w:val="24"/>
          <w:szCs w:val="24"/>
        </w:rPr>
        <w:tab/>
      </w:r>
      <w:r w:rsidR="00893E65" w:rsidRPr="00B57D7F">
        <w:rPr>
          <w:rStyle w:val="Bodytext115pt"/>
          <w:sz w:val="24"/>
          <w:szCs w:val="24"/>
        </w:rPr>
        <w:t>This Act shall come into operation on the day on which it receives the Royal Assent.</w:t>
      </w:r>
    </w:p>
    <w:p w14:paraId="0C498EE5" w14:textId="77777777" w:rsidR="00952338" w:rsidRPr="00B57D7F" w:rsidRDefault="00952338" w:rsidP="00952338">
      <w:pPr>
        <w:pStyle w:val="Bodytext20"/>
        <w:spacing w:before="120" w:after="60" w:line="240" w:lineRule="auto"/>
        <w:jc w:val="left"/>
        <w:rPr>
          <w:sz w:val="24"/>
          <w:szCs w:val="24"/>
        </w:rPr>
      </w:pPr>
      <w:r w:rsidRPr="00926BD4">
        <w:rPr>
          <w:sz w:val="20"/>
          <w:szCs w:val="24"/>
        </w:rPr>
        <w:t>Definitions</w:t>
      </w:r>
      <w:r w:rsidRPr="00B57D7F">
        <w:rPr>
          <w:sz w:val="24"/>
          <w:szCs w:val="24"/>
        </w:rPr>
        <w:t>.</w:t>
      </w:r>
    </w:p>
    <w:p w14:paraId="7CFBAA2D" w14:textId="2B2FF8DC" w:rsidR="002361F3" w:rsidRPr="00B57D7F" w:rsidRDefault="00926BD4" w:rsidP="00926BD4">
      <w:pPr>
        <w:pStyle w:val="BodyText1"/>
        <w:tabs>
          <w:tab w:val="left" w:pos="645"/>
        </w:tabs>
        <w:spacing w:line="240" w:lineRule="auto"/>
        <w:ind w:firstLine="270"/>
        <w:jc w:val="left"/>
        <w:rPr>
          <w:sz w:val="24"/>
          <w:szCs w:val="24"/>
        </w:rPr>
      </w:pPr>
      <w:r w:rsidRPr="00926BD4">
        <w:rPr>
          <w:rStyle w:val="Bodytext115pt"/>
          <w:b/>
          <w:sz w:val="24"/>
          <w:szCs w:val="24"/>
        </w:rPr>
        <w:t>3.</w:t>
      </w:r>
      <w:r>
        <w:rPr>
          <w:rStyle w:val="Bodytext115pt"/>
          <w:sz w:val="24"/>
          <w:szCs w:val="24"/>
        </w:rPr>
        <w:tab/>
      </w:r>
      <w:r w:rsidR="00893E65" w:rsidRPr="00B57D7F">
        <w:rPr>
          <w:rStyle w:val="Bodytext115pt"/>
          <w:sz w:val="24"/>
          <w:szCs w:val="24"/>
        </w:rPr>
        <w:t>Section 2 of the Principal Act is amended by inser</w:t>
      </w:r>
      <w:r w:rsidR="00483354">
        <w:rPr>
          <w:rStyle w:val="Bodytext115pt"/>
          <w:sz w:val="24"/>
          <w:szCs w:val="24"/>
        </w:rPr>
        <w:t>ting before the definition of “</w:t>
      </w:r>
      <w:r w:rsidR="00893E65" w:rsidRPr="00B57D7F">
        <w:rPr>
          <w:rStyle w:val="Bodytext115pt"/>
          <w:sz w:val="24"/>
          <w:szCs w:val="24"/>
        </w:rPr>
        <w:t>Courts</w:t>
      </w:r>
      <w:r w:rsidR="00483354">
        <w:rPr>
          <w:rStyle w:val="Bodytext115pt"/>
          <w:sz w:val="24"/>
          <w:szCs w:val="24"/>
        </w:rPr>
        <w:t>”</w:t>
      </w:r>
      <w:r w:rsidR="00893E65" w:rsidRPr="00B57D7F">
        <w:rPr>
          <w:rStyle w:val="Bodytext115pt"/>
          <w:sz w:val="24"/>
          <w:szCs w:val="24"/>
        </w:rPr>
        <w:t xml:space="preserve"> the following definition:—</w:t>
      </w:r>
    </w:p>
    <w:p w14:paraId="5DBC6905" w14:textId="36F7CEB2" w:rsidR="002361F3" w:rsidRPr="00B57D7F" w:rsidRDefault="00926BD4" w:rsidP="00926BD4">
      <w:pPr>
        <w:pStyle w:val="BodyText1"/>
        <w:spacing w:line="240" w:lineRule="auto"/>
        <w:ind w:left="630" w:hanging="270"/>
        <w:jc w:val="left"/>
        <w:rPr>
          <w:sz w:val="24"/>
          <w:szCs w:val="24"/>
        </w:rPr>
      </w:pPr>
      <w:r>
        <w:rPr>
          <w:rStyle w:val="Bodytext115pt"/>
          <w:sz w:val="24"/>
          <w:szCs w:val="24"/>
        </w:rPr>
        <w:t>“</w:t>
      </w:r>
      <w:r w:rsidR="00893E65" w:rsidRPr="00B57D7F">
        <w:rPr>
          <w:rStyle w:val="Bodytext115pt"/>
          <w:sz w:val="24"/>
          <w:szCs w:val="24"/>
        </w:rPr>
        <w:t>‘joint sitting of the Parliament’ means a joint sitting of the members of the Senate and of the House of Representatives convened by the Governor-General in pursuance of section 57 of the Constitution; ”.</w:t>
      </w:r>
    </w:p>
    <w:p w14:paraId="2015DB94" w14:textId="77777777" w:rsidR="002361F3" w:rsidRPr="00926BD4" w:rsidRDefault="00893E65" w:rsidP="00926BD4">
      <w:pPr>
        <w:pStyle w:val="Bodytext20"/>
        <w:spacing w:before="120" w:after="60" w:line="240" w:lineRule="auto"/>
        <w:jc w:val="left"/>
        <w:rPr>
          <w:sz w:val="20"/>
          <w:szCs w:val="24"/>
        </w:rPr>
      </w:pPr>
      <w:r w:rsidRPr="00926BD4">
        <w:rPr>
          <w:sz w:val="20"/>
          <w:szCs w:val="24"/>
        </w:rPr>
        <w:t>Certain signatures, &amp;c., to be judicially noticed.</w:t>
      </w:r>
    </w:p>
    <w:p w14:paraId="019592CA" w14:textId="77777777" w:rsidR="002361F3" w:rsidRPr="00B57D7F" w:rsidRDefault="00926BD4" w:rsidP="00926BD4">
      <w:pPr>
        <w:pStyle w:val="BodyText1"/>
        <w:tabs>
          <w:tab w:val="left" w:pos="645"/>
        </w:tabs>
        <w:spacing w:line="240" w:lineRule="auto"/>
        <w:ind w:firstLine="270"/>
        <w:jc w:val="left"/>
        <w:rPr>
          <w:sz w:val="24"/>
          <w:szCs w:val="24"/>
        </w:rPr>
      </w:pPr>
      <w:r w:rsidRPr="00926BD4">
        <w:rPr>
          <w:rStyle w:val="Bodytext115pt"/>
          <w:b/>
          <w:sz w:val="24"/>
          <w:szCs w:val="24"/>
        </w:rPr>
        <w:t>4.</w:t>
      </w:r>
      <w:r>
        <w:rPr>
          <w:rStyle w:val="Bodytext115pt"/>
          <w:b/>
          <w:sz w:val="24"/>
          <w:szCs w:val="24"/>
        </w:rPr>
        <w:tab/>
      </w:r>
      <w:r w:rsidR="00893E65" w:rsidRPr="00B57D7F">
        <w:rPr>
          <w:rStyle w:val="Bodytext115pt"/>
          <w:sz w:val="24"/>
          <w:szCs w:val="24"/>
        </w:rPr>
        <w:t>Section 4 of the Principal Act is amended by adding at the end thereof the following sub-section:—</w:t>
      </w:r>
    </w:p>
    <w:p w14:paraId="622CF093" w14:textId="149BDB15" w:rsidR="002361F3" w:rsidRPr="00B57D7F" w:rsidRDefault="00893E65" w:rsidP="00926BD4">
      <w:pPr>
        <w:pStyle w:val="BodyText1"/>
        <w:spacing w:line="240" w:lineRule="auto"/>
        <w:ind w:firstLine="270"/>
        <w:jc w:val="left"/>
        <w:rPr>
          <w:sz w:val="24"/>
          <w:szCs w:val="24"/>
        </w:rPr>
      </w:pPr>
      <w:r w:rsidRPr="00B57D7F">
        <w:rPr>
          <w:rStyle w:val="Bodytext115pt3"/>
          <w:sz w:val="24"/>
          <w:szCs w:val="24"/>
        </w:rPr>
        <w:t>“(2)</w:t>
      </w:r>
      <w:r w:rsidRPr="00B57D7F">
        <w:rPr>
          <w:rStyle w:val="Bodytext115pt"/>
          <w:sz w:val="24"/>
          <w:szCs w:val="24"/>
        </w:rPr>
        <w:t xml:space="preserve"> All Courts shall take judicial notice of the official signature of any person who is presiding, or has presided, at a joint sitting of the Parliament and of the fact that the person is so presiding or has so presided, if the signature purports to be att</w:t>
      </w:r>
      <w:r w:rsidR="00483354">
        <w:rPr>
          <w:rStyle w:val="Bodytext115pt"/>
          <w:sz w:val="24"/>
          <w:szCs w:val="24"/>
        </w:rPr>
        <w:t>ached to any official document.”.</w:t>
      </w:r>
    </w:p>
    <w:p w14:paraId="71162326" w14:textId="77777777" w:rsidR="00926BD4" w:rsidRPr="00926BD4" w:rsidRDefault="00926BD4" w:rsidP="00926BD4">
      <w:pPr>
        <w:pStyle w:val="Bodytext20"/>
        <w:spacing w:before="120" w:after="60" w:line="240" w:lineRule="auto"/>
        <w:jc w:val="left"/>
        <w:rPr>
          <w:sz w:val="20"/>
          <w:szCs w:val="24"/>
        </w:rPr>
      </w:pPr>
      <w:r w:rsidRPr="00926BD4">
        <w:rPr>
          <w:sz w:val="20"/>
          <w:szCs w:val="24"/>
        </w:rPr>
        <w:t>Proof of proceedings in Parliament.</w:t>
      </w:r>
    </w:p>
    <w:p w14:paraId="794F55BF" w14:textId="699F0551" w:rsidR="002361F3" w:rsidRPr="00B57D7F" w:rsidRDefault="00926BD4" w:rsidP="00926BD4">
      <w:pPr>
        <w:pStyle w:val="BodyText1"/>
        <w:tabs>
          <w:tab w:val="left" w:pos="645"/>
        </w:tabs>
        <w:spacing w:line="240" w:lineRule="auto"/>
        <w:ind w:firstLine="270"/>
        <w:jc w:val="left"/>
        <w:rPr>
          <w:sz w:val="24"/>
          <w:szCs w:val="24"/>
        </w:rPr>
      </w:pPr>
      <w:r>
        <w:rPr>
          <w:rStyle w:val="Bodytext115pt"/>
          <w:b/>
          <w:sz w:val="24"/>
          <w:szCs w:val="24"/>
        </w:rPr>
        <w:t>5</w:t>
      </w:r>
      <w:r w:rsidRPr="00926BD4">
        <w:rPr>
          <w:rStyle w:val="Bodytext115pt"/>
          <w:b/>
          <w:sz w:val="24"/>
          <w:szCs w:val="24"/>
        </w:rPr>
        <w:t>.</w:t>
      </w:r>
      <w:r>
        <w:rPr>
          <w:rStyle w:val="Bodytext115pt"/>
          <w:sz w:val="24"/>
          <w:szCs w:val="24"/>
        </w:rPr>
        <w:tab/>
      </w:r>
      <w:r w:rsidR="00893E65" w:rsidRPr="00B57D7F">
        <w:rPr>
          <w:rStyle w:val="Bodytext115pt"/>
          <w:sz w:val="24"/>
          <w:szCs w:val="24"/>
        </w:rPr>
        <w:t>Section 7 of the Principal Act is amended by inserting after sub</w:t>
      </w:r>
      <w:r w:rsidR="00483354">
        <w:rPr>
          <w:rStyle w:val="Bodytext115pt"/>
          <w:sz w:val="24"/>
          <w:szCs w:val="24"/>
        </w:rPr>
        <w:t>-</w:t>
      </w:r>
      <w:r w:rsidR="00893E65" w:rsidRPr="00B57D7F">
        <w:rPr>
          <w:rStyle w:val="Bodytext115pt"/>
          <w:sz w:val="24"/>
          <w:szCs w:val="24"/>
        </w:rPr>
        <w:t>section (1) the following sub-section:—</w:t>
      </w:r>
    </w:p>
    <w:p w14:paraId="6387EB5C" w14:textId="4C23E709" w:rsidR="00926BD4" w:rsidRPr="00483354" w:rsidRDefault="00893E65" w:rsidP="00483354">
      <w:pPr>
        <w:pStyle w:val="BodyText1"/>
        <w:spacing w:line="240" w:lineRule="auto"/>
        <w:ind w:firstLine="270"/>
        <w:jc w:val="left"/>
        <w:rPr>
          <w:sz w:val="24"/>
          <w:szCs w:val="24"/>
        </w:rPr>
      </w:pPr>
      <w:r w:rsidRPr="00B57D7F">
        <w:rPr>
          <w:rStyle w:val="Bodytext115pt4"/>
          <w:sz w:val="24"/>
          <w:szCs w:val="24"/>
        </w:rPr>
        <w:t>“(l</w:t>
      </w:r>
      <w:r w:rsidR="00483354">
        <w:rPr>
          <w:rStyle w:val="Bodytext115pt4"/>
          <w:smallCaps/>
          <w:sz w:val="24"/>
          <w:szCs w:val="24"/>
        </w:rPr>
        <w:t>a</w:t>
      </w:r>
      <w:r w:rsidRPr="00B57D7F">
        <w:rPr>
          <w:rStyle w:val="Bodytext115pt4"/>
          <w:sz w:val="24"/>
          <w:szCs w:val="24"/>
        </w:rPr>
        <w:t>)</w:t>
      </w:r>
      <w:r w:rsidRPr="00B57D7F">
        <w:rPr>
          <w:rStyle w:val="Bodytext115pt"/>
          <w:sz w:val="24"/>
          <w:szCs w:val="24"/>
        </w:rPr>
        <w:t xml:space="preserve"> A document purporting to be a copy of the official record of, or of any part of, proceedings of a joint sitting of the Parliament or of a paper presented to a joint sitting of the Parliament, if purporting to be printed by the Government Printer, shall on its mere production be admitted as evidence thereof in all Courts.</w:t>
      </w:r>
      <w:bookmarkStart w:id="2" w:name="_GoBack"/>
      <w:bookmarkEnd w:id="2"/>
    </w:p>
    <w:sectPr w:rsidR="00926BD4" w:rsidRPr="00483354" w:rsidSect="00952338">
      <w:headerReference w:type="even" r:id="rId8"/>
      <w:type w:val="continuous"/>
      <w:pgSz w:w="11909" w:h="18000"/>
      <w:pgMar w:top="1080" w:right="1080" w:bottom="1080" w:left="1080" w:header="45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14BE78" w15:done="0"/>
  <w15:commentEx w15:paraId="6EBDAE30" w15:done="0"/>
  <w15:commentEx w15:paraId="3150CE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4BE78" w16cid:durableId="1F47373F"/>
  <w16cid:commentId w16cid:paraId="6EBDAE30" w16cid:durableId="1F473756"/>
  <w16cid:commentId w16cid:paraId="3150CE5C" w16cid:durableId="1F4737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94E45" w14:textId="77777777" w:rsidR="00485050" w:rsidRDefault="00485050">
      <w:r>
        <w:separator/>
      </w:r>
    </w:p>
  </w:endnote>
  <w:endnote w:type="continuationSeparator" w:id="0">
    <w:p w14:paraId="1D428657" w14:textId="77777777" w:rsidR="00485050" w:rsidRDefault="0048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9CB98" w14:textId="77777777" w:rsidR="00485050" w:rsidRDefault="00485050"/>
  </w:footnote>
  <w:footnote w:type="continuationSeparator" w:id="0">
    <w:p w14:paraId="53DEB617" w14:textId="77777777" w:rsidR="00485050" w:rsidRDefault="004850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F25D" w14:textId="77777777" w:rsidR="00952338" w:rsidRPr="00952338" w:rsidRDefault="00952338">
    <w:pPr>
      <w:pStyle w:val="Header"/>
      <w:rPr>
        <w:rFonts w:ascii="Times New Roman" w:hAnsi="Times New Roman" w:cs="Times New Roman"/>
        <w:sz w:val="22"/>
        <w:szCs w:val="22"/>
      </w:rPr>
    </w:pPr>
    <w:r w:rsidRPr="00952338">
      <w:rPr>
        <w:rFonts w:ascii="Times New Roman" w:hAnsi="Times New Roman" w:cs="Times New Roman"/>
        <w:sz w:val="22"/>
        <w:szCs w:val="22"/>
      </w:rPr>
      <w:t>1974</w:t>
    </w:r>
    <w:r w:rsidRPr="00952338">
      <w:rPr>
        <w:rFonts w:ascii="Times New Roman" w:hAnsi="Times New Roman" w:cs="Times New Roman"/>
        <w:sz w:val="22"/>
        <w:szCs w:val="22"/>
      </w:rPr>
      <w:tab/>
      <w:t>Evidence</w:t>
    </w:r>
    <w:r w:rsidRPr="00952338">
      <w:rPr>
        <w:rFonts w:ascii="Times New Roman" w:hAnsi="Times New Roman" w:cs="Times New Roman"/>
        <w:sz w:val="22"/>
        <w:szCs w:val="22"/>
      </w:rPr>
      <w:tab/>
      <w:t>No. 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105"/>
    <w:multiLevelType w:val="multilevel"/>
    <w:tmpl w:val="1CBCB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3464D"/>
    <w:multiLevelType w:val="multilevel"/>
    <w:tmpl w:val="8F009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BC338D"/>
    <w:multiLevelType w:val="multilevel"/>
    <w:tmpl w:val="A62089E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61F3"/>
    <w:rsid w:val="002361F3"/>
    <w:rsid w:val="00483354"/>
    <w:rsid w:val="00485050"/>
    <w:rsid w:val="007B7FB2"/>
    <w:rsid w:val="00893E65"/>
    <w:rsid w:val="00926BD4"/>
    <w:rsid w:val="00952338"/>
    <w:rsid w:val="00B57D7F"/>
    <w:rsid w:val="00C764FC"/>
    <w:rsid w:val="00E22569"/>
    <w:rsid w:val="00EA26A3"/>
    <w:rsid w:val="00E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7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5pt">
    <w:name w:val="Body text + 11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15pt0">
    <w:name w:val="Body text + 11.5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15pt1">
    <w:name w:val="Body text + 11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15pt2">
    <w:name w:val="Body text + 11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">
    <w:name w:val="Body text + Arial"/>
    <w:aliases w:val="13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115pt3">
    <w:name w:val="Body text + 11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115pt4">
    <w:name w:val="Body text + 11.5 pt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pPr>
      <w:spacing w:line="173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1">
    <w:name w:val="Body Text1"/>
    <w:basedOn w:val="Normal"/>
    <w:link w:val="Bodytext"/>
    <w:pPr>
      <w:spacing w:line="0" w:lineRule="atLeast"/>
      <w:ind w:hanging="4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952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52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8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B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FB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FB2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B2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483354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2018-09-14T21:47:00Z</dcterms:created>
  <dcterms:modified xsi:type="dcterms:W3CDTF">2019-06-13T02:59:00Z</dcterms:modified>
</cp:coreProperties>
</file>