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CD" w:rsidRPr="00431439" w:rsidRDefault="003E19B1" w:rsidP="00A25E0D">
      <w:pPr>
        <w:pStyle w:val="Bodytext50"/>
        <w:spacing w:line="240" w:lineRule="auto"/>
        <w:ind w:firstLine="0"/>
        <w:rPr>
          <w:b/>
          <w:sz w:val="36"/>
          <w:szCs w:val="32"/>
        </w:rPr>
      </w:pPr>
      <w:bookmarkStart w:id="0" w:name="bookmark0"/>
      <w:r w:rsidRPr="00431439">
        <w:rPr>
          <w:b/>
          <w:sz w:val="36"/>
          <w:szCs w:val="32"/>
        </w:rPr>
        <w:t>STEVEDORING INDUSTRY (TEMPORARY PROVISIONS) ACT 1974</w:t>
      </w:r>
      <w:bookmarkEnd w:id="0"/>
    </w:p>
    <w:p w:rsidR="00A25E0D" w:rsidRPr="00431439" w:rsidRDefault="00A25E0D" w:rsidP="00A25E0D">
      <w:pPr>
        <w:pStyle w:val="Bodytext50"/>
        <w:spacing w:line="240" w:lineRule="auto"/>
        <w:ind w:firstLine="270"/>
        <w:rPr>
          <w:b/>
          <w:sz w:val="24"/>
          <w:szCs w:val="32"/>
        </w:rPr>
      </w:pPr>
      <w:bookmarkStart w:id="1" w:name="bookmark1"/>
    </w:p>
    <w:p w:rsidR="00C420CD" w:rsidRPr="00A25E0D" w:rsidRDefault="003E19B1" w:rsidP="00A25E0D">
      <w:pPr>
        <w:pStyle w:val="Bodytext50"/>
        <w:spacing w:line="240" w:lineRule="auto"/>
        <w:ind w:firstLine="270"/>
        <w:rPr>
          <w:sz w:val="28"/>
          <w:szCs w:val="32"/>
        </w:rPr>
      </w:pPr>
      <w:r w:rsidRPr="00431439">
        <w:rPr>
          <w:b/>
          <w:sz w:val="28"/>
          <w:szCs w:val="32"/>
        </w:rPr>
        <w:t>No. 44 of 1974</w:t>
      </w:r>
      <w:bookmarkEnd w:id="1"/>
    </w:p>
    <w:p w:rsidR="00D83DEA" w:rsidRPr="00D83DEA" w:rsidRDefault="00D83DEA" w:rsidP="00E50FAA">
      <w:pPr>
        <w:pStyle w:val="Bodytext50"/>
        <w:spacing w:line="240" w:lineRule="auto"/>
        <w:ind w:firstLine="0"/>
        <w:rPr>
          <w:sz w:val="24"/>
          <w:szCs w:val="32"/>
        </w:rPr>
      </w:pPr>
    </w:p>
    <w:p w:rsidR="00C420CD" w:rsidRDefault="003E19B1" w:rsidP="00D83DEA">
      <w:pPr>
        <w:pStyle w:val="Bodytext50"/>
        <w:spacing w:line="240" w:lineRule="auto"/>
        <w:ind w:firstLine="0"/>
        <w:rPr>
          <w:sz w:val="26"/>
          <w:szCs w:val="24"/>
        </w:rPr>
      </w:pPr>
      <w:r w:rsidRPr="00D83DEA">
        <w:rPr>
          <w:sz w:val="26"/>
          <w:szCs w:val="24"/>
        </w:rPr>
        <w:t>An Act relating to the Stevedoring Industry.</w:t>
      </w:r>
    </w:p>
    <w:p w:rsidR="00D83DEA" w:rsidRPr="00D83DEA" w:rsidRDefault="00D83DEA" w:rsidP="00D83DEA">
      <w:pPr>
        <w:pStyle w:val="Bodytext50"/>
        <w:spacing w:line="240" w:lineRule="auto"/>
        <w:ind w:firstLine="0"/>
        <w:rPr>
          <w:sz w:val="26"/>
          <w:szCs w:val="24"/>
        </w:rPr>
      </w:pPr>
    </w:p>
    <w:p w:rsidR="00C420CD" w:rsidRPr="00181E17" w:rsidRDefault="003E19B1" w:rsidP="00D83DEA">
      <w:pPr>
        <w:pStyle w:val="Bodytext50"/>
        <w:spacing w:line="240" w:lineRule="auto"/>
        <w:ind w:firstLine="270"/>
        <w:jc w:val="left"/>
        <w:rPr>
          <w:sz w:val="24"/>
          <w:szCs w:val="24"/>
        </w:rPr>
      </w:pPr>
      <w:r w:rsidRPr="00181E17">
        <w:rPr>
          <w:sz w:val="24"/>
          <w:szCs w:val="24"/>
        </w:rPr>
        <w:t>BE IT ENACTED by the Queen, the Senate and the House of Representatives of Australia, as follows:—</w:t>
      </w:r>
    </w:p>
    <w:p w:rsidR="00A25E0D" w:rsidRPr="00A25E0D" w:rsidRDefault="00A25E0D" w:rsidP="00A25E0D">
      <w:pPr>
        <w:pStyle w:val="BodyText1"/>
        <w:spacing w:before="120" w:after="60" w:line="240" w:lineRule="auto"/>
        <w:ind w:firstLine="0"/>
        <w:jc w:val="left"/>
        <w:rPr>
          <w:b/>
          <w:sz w:val="20"/>
          <w:szCs w:val="24"/>
        </w:rPr>
      </w:pPr>
      <w:r w:rsidRPr="00A25E0D">
        <w:rPr>
          <w:rStyle w:val="Bodytext85pt"/>
          <w:b/>
          <w:sz w:val="20"/>
          <w:szCs w:val="24"/>
        </w:rPr>
        <w:t>Short title.</w:t>
      </w:r>
    </w:p>
    <w:p w:rsidR="00C420CD" w:rsidRPr="00181E17" w:rsidRDefault="00A25E0D" w:rsidP="00A25E0D">
      <w:pPr>
        <w:pStyle w:val="Bodytext60"/>
        <w:tabs>
          <w:tab w:val="left" w:pos="626"/>
        </w:tabs>
        <w:spacing w:line="240" w:lineRule="auto"/>
        <w:ind w:firstLine="270"/>
        <w:jc w:val="left"/>
        <w:rPr>
          <w:sz w:val="24"/>
          <w:szCs w:val="24"/>
        </w:rPr>
      </w:pPr>
      <w:r w:rsidRPr="00A25E0D">
        <w:rPr>
          <w:rStyle w:val="Bodytext6NotItalic"/>
          <w:b/>
          <w:sz w:val="24"/>
          <w:szCs w:val="24"/>
        </w:rPr>
        <w:t>1.</w:t>
      </w:r>
      <w:r>
        <w:rPr>
          <w:rStyle w:val="Bodytext6NotItalic"/>
          <w:sz w:val="24"/>
          <w:szCs w:val="24"/>
        </w:rPr>
        <w:tab/>
      </w:r>
      <w:r w:rsidR="003E19B1" w:rsidRPr="00181E17">
        <w:rPr>
          <w:rStyle w:val="Bodytext6NotItalic"/>
          <w:sz w:val="24"/>
          <w:szCs w:val="24"/>
        </w:rPr>
        <w:t xml:space="preserve">This Act may be cited as the </w:t>
      </w:r>
      <w:r w:rsidR="003E19B1" w:rsidRPr="00181E17">
        <w:rPr>
          <w:sz w:val="24"/>
          <w:szCs w:val="24"/>
        </w:rPr>
        <w:t>Stevedoring Industry (Temporary Provisions) Act</w:t>
      </w:r>
      <w:r w:rsidR="003E19B1" w:rsidRPr="00181E17">
        <w:rPr>
          <w:rStyle w:val="Bodytext6NotItalic"/>
          <w:sz w:val="24"/>
          <w:szCs w:val="24"/>
        </w:rPr>
        <w:t xml:space="preserve"> 1974.</w:t>
      </w:r>
    </w:p>
    <w:p w:rsidR="00853048" w:rsidRPr="00853048" w:rsidRDefault="00853048" w:rsidP="00853048">
      <w:pPr>
        <w:pStyle w:val="BodyText1"/>
        <w:spacing w:before="120" w:after="60" w:line="240" w:lineRule="auto"/>
        <w:ind w:firstLine="0"/>
        <w:jc w:val="left"/>
        <w:rPr>
          <w:rStyle w:val="Bodytext85pt"/>
          <w:b/>
          <w:sz w:val="20"/>
          <w:szCs w:val="24"/>
        </w:rPr>
      </w:pPr>
      <w:r w:rsidRPr="00853048">
        <w:rPr>
          <w:rStyle w:val="Bodytext85pt"/>
          <w:b/>
          <w:sz w:val="20"/>
          <w:szCs w:val="24"/>
        </w:rPr>
        <w:t>Commencement.</w:t>
      </w:r>
    </w:p>
    <w:p w:rsidR="00C420CD" w:rsidRPr="00181E17" w:rsidRDefault="00A25E0D" w:rsidP="00A25E0D">
      <w:pPr>
        <w:pStyle w:val="Bodytext50"/>
        <w:tabs>
          <w:tab w:val="left" w:pos="626"/>
        </w:tabs>
        <w:spacing w:line="240" w:lineRule="auto"/>
        <w:ind w:firstLine="270"/>
        <w:jc w:val="left"/>
        <w:rPr>
          <w:sz w:val="24"/>
          <w:szCs w:val="24"/>
        </w:rPr>
      </w:pPr>
      <w:r w:rsidRPr="00A25E0D">
        <w:rPr>
          <w:b/>
          <w:sz w:val="24"/>
          <w:szCs w:val="24"/>
        </w:rPr>
        <w:t>2.</w:t>
      </w:r>
      <w:r>
        <w:rPr>
          <w:b/>
          <w:sz w:val="24"/>
          <w:szCs w:val="24"/>
        </w:rPr>
        <w:tab/>
      </w:r>
      <w:r w:rsidR="003E19B1" w:rsidRPr="00181E17">
        <w:rPr>
          <w:sz w:val="24"/>
          <w:szCs w:val="24"/>
        </w:rPr>
        <w:t>This Act shall come into operation on the day on which it receives the Royal Assent.</w:t>
      </w:r>
    </w:p>
    <w:p w:rsidR="00853048" w:rsidRPr="00713500" w:rsidRDefault="00853048" w:rsidP="00853048">
      <w:pPr>
        <w:pStyle w:val="BodyText1"/>
        <w:spacing w:before="120" w:after="60" w:line="240" w:lineRule="auto"/>
        <w:ind w:firstLine="0"/>
        <w:jc w:val="left"/>
        <w:rPr>
          <w:rStyle w:val="Bodytext85pt"/>
          <w:sz w:val="20"/>
          <w:szCs w:val="24"/>
        </w:rPr>
      </w:pPr>
      <w:r w:rsidRPr="00853048">
        <w:rPr>
          <w:rStyle w:val="Bodytext85pt"/>
          <w:b/>
          <w:sz w:val="20"/>
          <w:szCs w:val="24"/>
        </w:rPr>
        <w:t>Stevedoring</w:t>
      </w:r>
      <w:r w:rsidRPr="00713500">
        <w:rPr>
          <w:rStyle w:val="Bodytext85pt"/>
          <w:b/>
          <w:sz w:val="20"/>
          <w:szCs w:val="24"/>
        </w:rPr>
        <w:t xml:space="preserve"> Industry (Temporary Provisions) Act, as in force immediately before 1 July 1974, to continue in force, &amp;c.</w:t>
      </w:r>
    </w:p>
    <w:p w:rsidR="00C420CD" w:rsidRPr="00181E17" w:rsidRDefault="00A25E0D" w:rsidP="00A25E0D">
      <w:pPr>
        <w:pStyle w:val="Bodytext50"/>
        <w:tabs>
          <w:tab w:val="left" w:pos="626"/>
        </w:tabs>
        <w:spacing w:line="240" w:lineRule="auto"/>
        <w:ind w:firstLine="270"/>
        <w:jc w:val="left"/>
        <w:rPr>
          <w:sz w:val="24"/>
          <w:szCs w:val="24"/>
        </w:rPr>
      </w:pPr>
      <w:r w:rsidRPr="00A25E0D">
        <w:rPr>
          <w:b/>
          <w:sz w:val="24"/>
          <w:szCs w:val="24"/>
        </w:rPr>
        <w:t>3.</w:t>
      </w:r>
      <w:r>
        <w:rPr>
          <w:sz w:val="24"/>
          <w:szCs w:val="24"/>
        </w:rPr>
        <w:tab/>
      </w:r>
      <w:r w:rsidR="003E19B1" w:rsidRPr="00181E17">
        <w:rPr>
          <w:sz w:val="24"/>
          <w:szCs w:val="24"/>
        </w:rPr>
        <w:t xml:space="preserve">Notwithstanding section 4 of the </w:t>
      </w:r>
      <w:r w:rsidR="003E19B1" w:rsidRPr="00181E17">
        <w:rPr>
          <w:rStyle w:val="Bodytext5Italic"/>
          <w:sz w:val="24"/>
          <w:szCs w:val="24"/>
        </w:rPr>
        <w:t>Stevedoring Industry (Temporary Provisions) Act</w:t>
      </w:r>
      <w:r w:rsidR="003E19B1" w:rsidRPr="00181E17">
        <w:rPr>
          <w:sz w:val="24"/>
          <w:szCs w:val="24"/>
        </w:rPr>
        <w:t xml:space="preserve"> 1967-1973, as in force immediately before 1 July 1974, but, subject to this Act, that Act—</w:t>
      </w:r>
    </w:p>
    <w:p w:rsidR="00C420CD" w:rsidRPr="00181E17" w:rsidRDefault="00A25E0D" w:rsidP="00853048">
      <w:pPr>
        <w:pStyle w:val="Bodytext50"/>
        <w:spacing w:line="240" w:lineRule="auto"/>
        <w:ind w:left="630" w:hanging="360"/>
        <w:jc w:val="left"/>
        <w:rPr>
          <w:sz w:val="24"/>
          <w:szCs w:val="24"/>
        </w:rPr>
      </w:pPr>
      <w:r>
        <w:rPr>
          <w:sz w:val="24"/>
          <w:szCs w:val="24"/>
        </w:rPr>
        <w:t xml:space="preserve">(a) </w:t>
      </w:r>
      <w:r w:rsidR="003E19B1" w:rsidRPr="00181E17">
        <w:rPr>
          <w:sz w:val="24"/>
          <w:szCs w:val="24"/>
        </w:rPr>
        <w:t>shall be deemed not to have been repealed on that date but to have continued in force up to the commencement of this Act; and</w:t>
      </w:r>
    </w:p>
    <w:p w:rsidR="00C420CD" w:rsidRPr="00181E17" w:rsidRDefault="00853048" w:rsidP="00853048">
      <w:pPr>
        <w:pStyle w:val="Bodytext50"/>
        <w:spacing w:line="240" w:lineRule="auto"/>
        <w:ind w:left="630" w:hanging="360"/>
        <w:jc w:val="left"/>
        <w:rPr>
          <w:sz w:val="24"/>
          <w:szCs w:val="24"/>
        </w:rPr>
      </w:pPr>
      <w:r>
        <w:rPr>
          <w:sz w:val="24"/>
          <w:szCs w:val="24"/>
        </w:rPr>
        <w:t xml:space="preserve">(b) </w:t>
      </w:r>
      <w:r w:rsidR="003E19B1" w:rsidRPr="00181E17">
        <w:rPr>
          <w:sz w:val="24"/>
          <w:szCs w:val="24"/>
        </w:rPr>
        <w:t>shall continue in force after the commencement of this Act.</w:t>
      </w:r>
    </w:p>
    <w:p w:rsidR="00713500" w:rsidRPr="00713500" w:rsidRDefault="00713500" w:rsidP="00713500">
      <w:pPr>
        <w:pStyle w:val="BodyText1"/>
        <w:spacing w:before="120" w:after="60" w:line="240" w:lineRule="auto"/>
        <w:ind w:firstLine="0"/>
        <w:jc w:val="left"/>
        <w:rPr>
          <w:rStyle w:val="Bodytext85pt"/>
          <w:b/>
          <w:sz w:val="20"/>
          <w:szCs w:val="24"/>
        </w:rPr>
      </w:pPr>
      <w:r w:rsidRPr="00713500">
        <w:rPr>
          <w:rStyle w:val="Bodytext85pt"/>
          <w:b/>
          <w:sz w:val="20"/>
          <w:szCs w:val="24"/>
        </w:rPr>
        <w:t>Cessation of operation of Act.</w:t>
      </w:r>
    </w:p>
    <w:p w:rsidR="00C420CD" w:rsidRPr="00181E17" w:rsidRDefault="00713500" w:rsidP="00F74289">
      <w:pPr>
        <w:pStyle w:val="Bodytext50"/>
        <w:spacing w:after="160" w:line="240" w:lineRule="auto"/>
        <w:ind w:firstLine="270"/>
        <w:jc w:val="left"/>
        <w:rPr>
          <w:sz w:val="24"/>
          <w:szCs w:val="24"/>
        </w:rPr>
      </w:pPr>
      <w:r w:rsidRPr="00713500">
        <w:rPr>
          <w:b/>
          <w:sz w:val="24"/>
          <w:szCs w:val="24"/>
        </w:rPr>
        <w:t>4.</w:t>
      </w:r>
      <w:r>
        <w:rPr>
          <w:b/>
          <w:sz w:val="24"/>
          <w:szCs w:val="24"/>
        </w:rPr>
        <w:t xml:space="preserve"> </w:t>
      </w:r>
      <w:r w:rsidR="003E19B1" w:rsidRPr="00181E17">
        <w:rPr>
          <w:sz w:val="24"/>
          <w:szCs w:val="24"/>
        </w:rPr>
        <w:t xml:space="preserve">(1) Section 4 of the </w:t>
      </w:r>
      <w:bookmarkStart w:id="2" w:name="_GoBack"/>
      <w:r w:rsidR="003E19B1" w:rsidRPr="00181E17">
        <w:rPr>
          <w:rStyle w:val="Bodytext5Italic"/>
          <w:sz w:val="24"/>
          <w:szCs w:val="24"/>
        </w:rPr>
        <w:t>Stevedoring Industry (Temporary Provisions) Act</w:t>
      </w:r>
      <w:r w:rsidR="003E19B1" w:rsidRPr="00181E17">
        <w:rPr>
          <w:sz w:val="24"/>
          <w:szCs w:val="24"/>
        </w:rPr>
        <w:t xml:space="preserve"> 1967</w:t>
      </w:r>
      <w:bookmarkEnd w:id="2"/>
      <w:r w:rsidR="003E19B1" w:rsidRPr="00181E17">
        <w:rPr>
          <w:sz w:val="24"/>
          <w:szCs w:val="24"/>
        </w:rPr>
        <w:t>-1973, as continued in force by virtue of section 3 of this Act, is amended by omitting the figures and word “1st July, 1974” and substituting the figures and word</w:t>
      </w:r>
      <w:r w:rsidR="007D0FB3">
        <w:rPr>
          <w:sz w:val="24"/>
          <w:szCs w:val="24"/>
        </w:rPr>
        <w:t xml:space="preserve"> </w:t>
      </w:r>
      <w:r w:rsidR="003E19B1" w:rsidRPr="00181E17">
        <w:rPr>
          <w:sz w:val="24"/>
          <w:szCs w:val="24"/>
        </w:rPr>
        <w:t>“1 July 1976”.</w:t>
      </w:r>
    </w:p>
    <w:p w:rsidR="00C420CD" w:rsidRPr="00181E17" w:rsidRDefault="003E19B1" w:rsidP="00F74289">
      <w:pPr>
        <w:pStyle w:val="Bodytext50"/>
        <w:spacing w:line="240" w:lineRule="auto"/>
        <w:ind w:firstLine="270"/>
        <w:jc w:val="left"/>
        <w:rPr>
          <w:sz w:val="24"/>
          <w:szCs w:val="24"/>
        </w:rPr>
      </w:pPr>
      <w:r w:rsidRPr="00181E17">
        <w:rPr>
          <w:sz w:val="24"/>
          <w:szCs w:val="24"/>
        </w:rPr>
        <w:t>(2) The amendment made by sub-section (1) shall be deemed to have come into operation on 1 July 1974.</w:t>
      </w:r>
    </w:p>
    <w:p w:rsidR="00C420CD" w:rsidRPr="00F74289" w:rsidRDefault="003E19B1" w:rsidP="007505B3">
      <w:pPr>
        <w:pStyle w:val="BodyText1"/>
        <w:spacing w:before="120" w:after="60" w:line="240" w:lineRule="auto"/>
        <w:ind w:firstLine="0"/>
        <w:jc w:val="left"/>
        <w:rPr>
          <w:rStyle w:val="Bodytext85pt"/>
          <w:b/>
          <w:sz w:val="20"/>
          <w:szCs w:val="24"/>
        </w:rPr>
      </w:pPr>
      <w:r w:rsidRPr="00F74289">
        <w:rPr>
          <w:rStyle w:val="Bodytext85pt"/>
          <w:b/>
          <w:sz w:val="20"/>
          <w:szCs w:val="24"/>
        </w:rPr>
        <w:t>Regulations, &amp;c., under Stevedoring Industry (Temporary Provisions) Act, as in force</w:t>
      </w:r>
      <w:r w:rsidR="00F74289" w:rsidRPr="00F74289">
        <w:rPr>
          <w:rStyle w:val="Bodytext85pt"/>
          <w:b/>
          <w:sz w:val="20"/>
          <w:szCs w:val="24"/>
        </w:rPr>
        <w:t xml:space="preserve"> </w:t>
      </w:r>
      <w:r w:rsidRPr="00F74289">
        <w:rPr>
          <w:rStyle w:val="Bodytext85pt"/>
          <w:b/>
          <w:sz w:val="20"/>
          <w:szCs w:val="24"/>
        </w:rPr>
        <w:t>immediately before 1 July 1974, to continue in force.</w:t>
      </w:r>
    </w:p>
    <w:p w:rsidR="007505B3" w:rsidRDefault="00F74289" w:rsidP="007505B3">
      <w:pPr>
        <w:pStyle w:val="Bodytext50"/>
        <w:tabs>
          <w:tab w:val="left" w:pos="630"/>
        </w:tabs>
        <w:spacing w:line="240" w:lineRule="auto"/>
        <w:ind w:firstLine="270"/>
        <w:jc w:val="left"/>
        <w:rPr>
          <w:sz w:val="24"/>
          <w:szCs w:val="24"/>
        </w:rPr>
      </w:pPr>
      <w:r w:rsidRPr="00F74289">
        <w:rPr>
          <w:b/>
          <w:sz w:val="24"/>
          <w:szCs w:val="24"/>
        </w:rPr>
        <w:t>5.</w:t>
      </w:r>
      <w:r>
        <w:rPr>
          <w:sz w:val="24"/>
          <w:szCs w:val="24"/>
        </w:rPr>
        <w:tab/>
      </w:r>
      <w:r w:rsidR="003E19B1" w:rsidRPr="00181E17">
        <w:rPr>
          <w:sz w:val="24"/>
          <w:szCs w:val="24"/>
        </w:rPr>
        <w:t xml:space="preserve">Regulations or other instruments in force under the </w:t>
      </w:r>
      <w:r w:rsidR="003E19B1" w:rsidRPr="00181E17">
        <w:rPr>
          <w:rStyle w:val="Bodytext5Italic"/>
          <w:sz w:val="24"/>
          <w:szCs w:val="24"/>
        </w:rPr>
        <w:t>Stevedoring Industry (Temporary Provisions) Act</w:t>
      </w:r>
      <w:r w:rsidR="003E19B1" w:rsidRPr="00181E17">
        <w:rPr>
          <w:sz w:val="24"/>
          <w:szCs w:val="24"/>
        </w:rPr>
        <w:t xml:space="preserve"> 1967-1973 immediately before 1 July 1974 shall be deemed to have continued in force on and after that date for the purposes of that Act as affected by this Act.</w:t>
      </w:r>
    </w:p>
    <w:p w:rsidR="007505B3" w:rsidRDefault="007505B3">
      <w:pPr>
        <w:rPr>
          <w:rFonts w:ascii="Times New Roman" w:eastAsia="Times New Roman" w:hAnsi="Times New Roman" w:cs="Times New Roman"/>
        </w:rPr>
      </w:pPr>
      <w:r>
        <w:br w:type="page"/>
      </w:r>
    </w:p>
    <w:p w:rsidR="00F74289" w:rsidRPr="00F74289" w:rsidRDefault="00F74289" w:rsidP="00315F30">
      <w:pPr>
        <w:pStyle w:val="Bodytext50"/>
        <w:spacing w:before="120" w:after="60" w:line="240" w:lineRule="auto"/>
        <w:ind w:firstLine="0"/>
        <w:jc w:val="left"/>
        <w:rPr>
          <w:rStyle w:val="Bodytext85pt"/>
          <w:b/>
          <w:sz w:val="20"/>
          <w:szCs w:val="24"/>
        </w:rPr>
      </w:pPr>
      <w:r w:rsidRPr="00F74289">
        <w:rPr>
          <w:rStyle w:val="Bodytext85pt"/>
          <w:b/>
          <w:sz w:val="20"/>
          <w:szCs w:val="24"/>
        </w:rPr>
        <w:lastRenderedPageBreak/>
        <w:t>Australian Stevedoring Industry Authority and</w:t>
      </w:r>
      <w:r w:rsidR="00D835EC">
        <w:rPr>
          <w:rStyle w:val="Bodytext85pt"/>
          <w:b/>
          <w:sz w:val="20"/>
          <w:szCs w:val="24"/>
        </w:rPr>
        <w:t xml:space="preserve"> </w:t>
      </w:r>
      <w:r w:rsidRPr="00F74289">
        <w:rPr>
          <w:rStyle w:val="Bodytext85pt"/>
          <w:b/>
          <w:sz w:val="20"/>
          <w:szCs w:val="24"/>
        </w:rPr>
        <w:t>Stevedoring Industry Council to continue in being.</w:t>
      </w:r>
    </w:p>
    <w:p w:rsidR="00D835EC" w:rsidRDefault="00F74289" w:rsidP="00D835EC">
      <w:pPr>
        <w:pStyle w:val="Bodytext50"/>
        <w:tabs>
          <w:tab w:val="left" w:pos="630"/>
        </w:tabs>
        <w:spacing w:line="240" w:lineRule="auto"/>
        <w:ind w:firstLine="270"/>
        <w:jc w:val="left"/>
        <w:rPr>
          <w:sz w:val="24"/>
          <w:szCs w:val="24"/>
        </w:rPr>
      </w:pPr>
      <w:r w:rsidRPr="00F74289">
        <w:rPr>
          <w:b/>
          <w:sz w:val="24"/>
          <w:szCs w:val="24"/>
        </w:rPr>
        <w:t>6.</w:t>
      </w:r>
      <w:r>
        <w:rPr>
          <w:b/>
          <w:sz w:val="24"/>
          <w:szCs w:val="24"/>
        </w:rPr>
        <w:tab/>
      </w:r>
      <w:r w:rsidR="003E19B1" w:rsidRPr="00181E17">
        <w:rPr>
          <w:sz w:val="24"/>
          <w:szCs w:val="24"/>
        </w:rPr>
        <w:t xml:space="preserve">The Australian Stevedoring Industry Authority as subsisting immediately before 1 July 1974 and the Stevedoring Industry Council as subsisting immediately before 1 July 1974 shall be deemed to have continued in existence on and after that date under the </w:t>
      </w:r>
      <w:r w:rsidR="003E19B1" w:rsidRPr="00181E17">
        <w:rPr>
          <w:rStyle w:val="Bodytext5Italic"/>
          <w:sz w:val="24"/>
          <w:szCs w:val="24"/>
        </w:rPr>
        <w:t>Stevedoring Industry (Temporary Provisions) Act</w:t>
      </w:r>
      <w:r w:rsidR="003E19B1" w:rsidRPr="00181E17">
        <w:rPr>
          <w:sz w:val="24"/>
          <w:szCs w:val="24"/>
        </w:rPr>
        <w:t xml:space="preserve"> 1967-1973, as affected by this Act.</w:t>
      </w:r>
    </w:p>
    <w:p w:rsidR="00D835EC" w:rsidRPr="00181E17" w:rsidRDefault="00D835EC" w:rsidP="00C73A63">
      <w:pPr>
        <w:pStyle w:val="BodyText1"/>
        <w:spacing w:before="120" w:after="60" w:line="240" w:lineRule="auto"/>
        <w:ind w:firstLine="0"/>
        <w:jc w:val="left"/>
        <w:rPr>
          <w:sz w:val="24"/>
          <w:szCs w:val="24"/>
        </w:rPr>
      </w:pPr>
      <w:r w:rsidRPr="00D835EC">
        <w:rPr>
          <w:rStyle w:val="Bodytext85pt"/>
          <w:b/>
          <w:sz w:val="20"/>
          <w:szCs w:val="24"/>
        </w:rPr>
        <w:t>Saving of certain acts.</w:t>
      </w:r>
    </w:p>
    <w:p w:rsidR="00C420CD" w:rsidRPr="00181E17" w:rsidRDefault="00F74289" w:rsidP="00D835EC">
      <w:pPr>
        <w:pStyle w:val="Bodytext50"/>
        <w:tabs>
          <w:tab w:val="left" w:pos="630"/>
        </w:tabs>
        <w:spacing w:line="240" w:lineRule="auto"/>
        <w:ind w:firstLine="270"/>
        <w:jc w:val="left"/>
        <w:rPr>
          <w:sz w:val="24"/>
          <w:szCs w:val="24"/>
        </w:rPr>
      </w:pPr>
      <w:r w:rsidRPr="007D0FB3">
        <w:rPr>
          <w:b/>
          <w:sz w:val="24"/>
          <w:szCs w:val="24"/>
        </w:rPr>
        <w:t>7.</w:t>
      </w:r>
      <w:r>
        <w:rPr>
          <w:sz w:val="24"/>
          <w:szCs w:val="24"/>
        </w:rPr>
        <w:tab/>
      </w:r>
      <w:r w:rsidR="003E19B1" w:rsidRPr="00181E17">
        <w:rPr>
          <w:sz w:val="24"/>
          <w:szCs w:val="24"/>
        </w:rPr>
        <w:t xml:space="preserve">An act or thing done on or after 1 July 1974 and before the date of commencement of this Act that could have been done in pursuance of the </w:t>
      </w:r>
      <w:r w:rsidR="003E19B1" w:rsidRPr="00181E17">
        <w:rPr>
          <w:rStyle w:val="Bodytext5Italic"/>
          <w:sz w:val="24"/>
          <w:szCs w:val="24"/>
        </w:rPr>
        <w:t>Stevedoring Industry (Temporary Provisions) Act</w:t>
      </w:r>
      <w:r w:rsidR="003E19B1" w:rsidRPr="00181E17">
        <w:rPr>
          <w:sz w:val="24"/>
          <w:szCs w:val="24"/>
        </w:rPr>
        <w:t xml:space="preserve"> 1967-1973 or the regulations referred to in section 5 of this Act if that Act or those regulations had been in force at the time when it was done shall be deemed to have been done in pursuance of that Act or those regulations as affected by this Act.</w:t>
      </w:r>
    </w:p>
    <w:p w:rsidR="00C420CD" w:rsidRPr="00F74289" w:rsidRDefault="003E19B1" w:rsidP="00C73A63">
      <w:pPr>
        <w:pStyle w:val="BodyText1"/>
        <w:spacing w:before="120" w:after="60" w:line="240" w:lineRule="auto"/>
        <w:ind w:firstLine="0"/>
        <w:jc w:val="left"/>
        <w:rPr>
          <w:rStyle w:val="Bodytext85pt"/>
          <w:b/>
          <w:sz w:val="20"/>
          <w:szCs w:val="24"/>
        </w:rPr>
      </w:pPr>
      <w:r w:rsidRPr="00F74289">
        <w:rPr>
          <w:rStyle w:val="Bodytext85pt"/>
          <w:b/>
          <w:sz w:val="20"/>
          <w:szCs w:val="24"/>
        </w:rPr>
        <w:t>Citation.</w:t>
      </w:r>
    </w:p>
    <w:p w:rsidR="00C420CD" w:rsidRPr="00181E17" w:rsidRDefault="00F74289" w:rsidP="00F74289">
      <w:pPr>
        <w:pStyle w:val="Bodytext50"/>
        <w:tabs>
          <w:tab w:val="left" w:pos="630"/>
        </w:tabs>
        <w:spacing w:line="240" w:lineRule="auto"/>
        <w:ind w:firstLine="270"/>
        <w:jc w:val="left"/>
        <w:rPr>
          <w:sz w:val="24"/>
          <w:szCs w:val="24"/>
        </w:rPr>
      </w:pPr>
      <w:r w:rsidRPr="00F74289">
        <w:rPr>
          <w:rStyle w:val="Bodytext6NotItalic"/>
          <w:b/>
          <w:i w:val="0"/>
          <w:sz w:val="24"/>
          <w:szCs w:val="24"/>
        </w:rPr>
        <w:t>8.</w:t>
      </w:r>
      <w:r>
        <w:rPr>
          <w:rStyle w:val="Bodytext6NotItalic"/>
          <w:b/>
          <w:i w:val="0"/>
          <w:sz w:val="24"/>
          <w:szCs w:val="24"/>
        </w:rPr>
        <w:tab/>
      </w:r>
      <w:r w:rsidR="003E19B1" w:rsidRPr="00F74289">
        <w:rPr>
          <w:rStyle w:val="Bodytext6NotItalic"/>
          <w:i w:val="0"/>
          <w:sz w:val="24"/>
          <w:szCs w:val="24"/>
        </w:rPr>
        <w:t>The</w:t>
      </w:r>
      <w:r w:rsidR="003E19B1" w:rsidRPr="00181E17">
        <w:rPr>
          <w:rStyle w:val="Bodytext6NotItalic"/>
          <w:sz w:val="24"/>
          <w:szCs w:val="24"/>
        </w:rPr>
        <w:t xml:space="preserve"> </w:t>
      </w:r>
      <w:r w:rsidR="003E19B1" w:rsidRPr="006532DF">
        <w:rPr>
          <w:i/>
          <w:sz w:val="24"/>
          <w:szCs w:val="24"/>
        </w:rPr>
        <w:t>Stevedoring Industry (Temporary Provisions) Act</w:t>
      </w:r>
      <w:r w:rsidR="003E19B1" w:rsidRPr="00181E17">
        <w:rPr>
          <w:rStyle w:val="Bodytext6NotItalic"/>
          <w:sz w:val="24"/>
          <w:szCs w:val="24"/>
        </w:rPr>
        <w:t xml:space="preserve"> </w:t>
      </w:r>
      <w:r w:rsidR="003E19B1" w:rsidRPr="006532DF">
        <w:rPr>
          <w:rStyle w:val="Bodytext6NotItalic"/>
          <w:i w:val="0"/>
          <w:sz w:val="24"/>
          <w:szCs w:val="24"/>
        </w:rPr>
        <w:t xml:space="preserve">1967-1973, as affected by this Act, may be cited as the </w:t>
      </w:r>
      <w:r w:rsidR="003E19B1" w:rsidRPr="006532DF">
        <w:rPr>
          <w:i/>
          <w:sz w:val="24"/>
          <w:szCs w:val="24"/>
        </w:rPr>
        <w:t>Stevedoring Industry (Temporary Provisions) Act</w:t>
      </w:r>
      <w:r w:rsidR="003E19B1" w:rsidRPr="00181E17">
        <w:rPr>
          <w:rStyle w:val="Bodytext6NotItalic"/>
          <w:sz w:val="24"/>
          <w:szCs w:val="24"/>
        </w:rPr>
        <w:t xml:space="preserve"> </w:t>
      </w:r>
      <w:r w:rsidR="003E19B1" w:rsidRPr="006532DF">
        <w:rPr>
          <w:rStyle w:val="Bodytext6NotItalic"/>
          <w:i w:val="0"/>
          <w:sz w:val="24"/>
          <w:szCs w:val="24"/>
        </w:rPr>
        <w:t>1967-1974</w:t>
      </w:r>
      <w:r w:rsidR="003E19B1" w:rsidRPr="00181E17">
        <w:rPr>
          <w:rStyle w:val="Bodytext6NotItalic"/>
          <w:sz w:val="24"/>
          <w:szCs w:val="24"/>
        </w:rPr>
        <w:t>.</w:t>
      </w:r>
    </w:p>
    <w:p w:rsidR="00C73A63" w:rsidRDefault="00C73A63" w:rsidP="00C73A63">
      <w:pPr>
        <w:pStyle w:val="Bodytext40"/>
        <w:pBdr>
          <w:bottom w:val="single" w:sz="18" w:space="1" w:color="auto"/>
        </w:pBdr>
        <w:spacing w:after="60" w:line="240" w:lineRule="auto"/>
        <w:jc w:val="left"/>
        <w:rPr>
          <w:rStyle w:val="40D87A6C-45B5-4143-B32B-AA10F15B798B"/>
          <w:b/>
          <w:bCs/>
          <w:sz w:val="24"/>
          <w:szCs w:val="24"/>
        </w:rPr>
      </w:pPr>
    </w:p>
    <w:p w:rsidR="00C73A63" w:rsidRDefault="00C73A63" w:rsidP="00D835EC">
      <w:pPr>
        <w:pStyle w:val="Bodytext40"/>
        <w:spacing w:after="60" w:line="240" w:lineRule="auto"/>
        <w:rPr>
          <w:rStyle w:val="40D87A6C-45B5-4143-B32B-AA10F15B798B"/>
          <w:b/>
          <w:bCs/>
          <w:sz w:val="24"/>
          <w:szCs w:val="24"/>
        </w:rPr>
      </w:pPr>
    </w:p>
    <w:sectPr w:rsidR="00C73A63" w:rsidSect="00864255">
      <w:headerReference w:type="even" r:id="rId8"/>
      <w:pgSz w:w="11909" w:h="18000"/>
      <w:pgMar w:top="1080" w:right="1080" w:bottom="1080" w:left="1080" w:header="63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D4" w:rsidRDefault="00F477D4">
      <w:r>
        <w:separator/>
      </w:r>
    </w:p>
  </w:endnote>
  <w:endnote w:type="continuationSeparator" w:id="0">
    <w:p w:rsidR="00F477D4" w:rsidRDefault="00F4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D4" w:rsidRDefault="00F477D4">
      <w:r>
        <w:separator/>
      </w:r>
    </w:p>
  </w:footnote>
  <w:footnote w:type="continuationSeparator" w:id="0">
    <w:p w:rsidR="00F477D4" w:rsidRDefault="00F4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AA" w:rsidRPr="00E50FAA" w:rsidRDefault="00E50FAA" w:rsidP="00E50FAA">
    <w:pPr>
      <w:pStyle w:val="Header"/>
      <w:tabs>
        <w:tab w:val="clear" w:pos="4680"/>
        <w:tab w:val="clear" w:pos="9360"/>
        <w:tab w:val="center" w:pos="5040"/>
        <w:tab w:val="right" w:pos="9720"/>
      </w:tabs>
      <w:rPr>
        <w:rFonts w:ascii="Times New Roman" w:hAnsi="Times New Roman" w:cs="Times New Roman"/>
        <w:sz w:val="22"/>
        <w:szCs w:val="22"/>
        <w:lang w:val="en-IN"/>
      </w:rPr>
    </w:pPr>
    <w:r w:rsidRPr="00E50FAA">
      <w:rPr>
        <w:rFonts w:ascii="Times New Roman" w:hAnsi="Times New Roman" w:cs="Times New Roman"/>
        <w:sz w:val="22"/>
        <w:szCs w:val="22"/>
        <w:lang w:val="en-IN"/>
      </w:rPr>
      <w:t>1974</w:t>
    </w:r>
    <w:r>
      <w:rPr>
        <w:rFonts w:ascii="Times New Roman" w:hAnsi="Times New Roman" w:cs="Times New Roman"/>
        <w:sz w:val="22"/>
        <w:szCs w:val="22"/>
        <w:lang w:val="en-IN"/>
      </w:rPr>
      <w:tab/>
    </w:r>
    <w:r w:rsidRPr="00E50FAA">
      <w:rPr>
        <w:rFonts w:ascii="Times New Roman" w:hAnsi="Times New Roman" w:cs="Times New Roman"/>
        <w:i/>
        <w:sz w:val="22"/>
        <w:szCs w:val="22"/>
        <w:lang w:val="en-IN"/>
      </w:rPr>
      <w:t>Stevedoring Industry (Temporary Provisions)</w:t>
    </w:r>
    <w:r>
      <w:rPr>
        <w:rFonts w:ascii="Times New Roman" w:hAnsi="Times New Roman" w:cs="Times New Roman"/>
        <w:sz w:val="22"/>
        <w:szCs w:val="22"/>
        <w:lang w:val="en-IN"/>
      </w:rPr>
      <w:tab/>
    </w:r>
    <w:r w:rsidRPr="00E50FAA">
      <w:rPr>
        <w:rFonts w:ascii="Times New Roman" w:hAnsi="Times New Roman" w:cs="Times New Roman"/>
        <w:sz w:val="22"/>
        <w:szCs w:val="22"/>
        <w:lang w:val="en-IN"/>
      </w:rPr>
      <w:t>No. 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24F4"/>
    <w:multiLevelType w:val="multilevel"/>
    <w:tmpl w:val="DB665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200F13"/>
    <w:multiLevelType w:val="multilevel"/>
    <w:tmpl w:val="6B307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2"/>
  </w:compat>
  <w:rsids>
    <w:rsidRoot w:val="00C420CD"/>
    <w:rsid w:val="000B13A6"/>
    <w:rsid w:val="00181E17"/>
    <w:rsid w:val="00315F30"/>
    <w:rsid w:val="003E19B1"/>
    <w:rsid w:val="00431439"/>
    <w:rsid w:val="006532DF"/>
    <w:rsid w:val="00713500"/>
    <w:rsid w:val="007505B3"/>
    <w:rsid w:val="007D0FB3"/>
    <w:rsid w:val="00853048"/>
    <w:rsid w:val="00864255"/>
    <w:rsid w:val="00981087"/>
    <w:rsid w:val="00983D2A"/>
    <w:rsid w:val="00A25E0D"/>
    <w:rsid w:val="00C40F0A"/>
    <w:rsid w:val="00C420CD"/>
    <w:rsid w:val="00C73A63"/>
    <w:rsid w:val="00D835EC"/>
    <w:rsid w:val="00D83DEA"/>
    <w:rsid w:val="00E50FAA"/>
    <w:rsid w:val="00E824B9"/>
    <w:rsid w:val="00F477D4"/>
    <w:rsid w:val="00F7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40D87A6C-45B5-4143-B32B-AA10F15B798B">
    <w:name w:val="{40D87A6C-45B5-4143-B32B-AA10F15B798B}"/>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6718DDE4-DCC7-41A5-AAE3-68AC73BC9ECA">
    <w:name w:val="{6718DDE4-DCC7-41A5-AAE3-68AC73BC9ECA}"/>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paragraph" w:customStyle="1" w:styleId="BodyText1">
    <w:name w:val="Body Text1"/>
    <w:basedOn w:val="Normal"/>
    <w:link w:val="Bodytext"/>
    <w:pPr>
      <w:spacing w:line="0" w:lineRule="atLeast"/>
      <w:ind w:hanging="420"/>
      <w:jc w:val="center"/>
    </w:pPr>
    <w:rPr>
      <w:rFonts w:ascii="Times New Roman" w:eastAsia="Times New Roman" w:hAnsi="Times New Roman" w:cs="Times New Roman"/>
      <w:sz w:val="21"/>
      <w:szCs w:val="21"/>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6"/>
      <w:szCs w:val="26"/>
    </w:rPr>
  </w:style>
  <w:style w:type="paragraph" w:customStyle="1" w:styleId="Bodytext50">
    <w:name w:val="Body text (5)"/>
    <w:basedOn w:val="Normal"/>
    <w:link w:val="Bodytext5"/>
    <w:pPr>
      <w:spacing w:line="0" w:lineRule="atLeast"/>
      <w:ind w:hanging="420"/>
      <w:jc w:val="center"/>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40" w:lineRule="exac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19"/>
      <w:szCs w:val="19"/>
    </w:rPr>
  </w:style>
  <w:style w:type="paragraph" w:styleId="Header">
    <w:name w:val="header"/>
    <w:basedOn w:val="Normal"/>
    <w:link w:val="HeaderChar"/>
    <w:uiPriority w:val="99"/>
    <w:unhideWhenUsed/>
    <w:rsid w:val="00315F30"/>
    <w:pPr>
      <w:tabs>
        <w:tab w:val="center" w:pos="4680"/>
        <w:tab w:val="right" w:pos="9360"/>
      </w:tabs>
    </w:pPr>
  </w:style>
  <w:style w:type="character" w:customStyle="1" w:styleId="HeaderChar">
    <w:name w:val="Header Char"/>
    <w:basedOn w:val="DefaultParagraphFont"/>
    <w:link w:val="Header"/>
    <w:uiPriority w:val="99"/>
    <w:rsid w:val="00315F30"/>
    <w:rPr>
      <w:color w:val="000000"/>
    </w:rPr>
  </w:style>
  <w:style w:type="paragraph" w:styleId="Footer">
    <w:name w:val="footer"/>
    <w:basedOn w:val="Normal"/>
    <w:link w:val="FooterChar"/>
    <w:uiPriority w:val="99"/>
    <w:unhideWhenUsed/>
    <w:rsid w:val="00315F30"/>
    <w:pPr>
      <w:tabs>
        <w:tab w:val="center" w:pos="4680"/>
        <w:tab w:val="right" w:pos="9360"/>
      </w:tabs>
    </w:pPr>
  </w:style>
  <w:style w:type="character" w:customStyle="1" w:styleId="FooterChar">
    <w:name w:val="Footer Char"/>
    <w:basedOn w:val="DefaultParagraphFont"/>
    <w:link w:val="Footer"/>
    <w:uiPriority w:val="99"/>
    <w:rsid w:val="00315F3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2018-02-21T10:50:00Z</dcterms:created>
  <dcterms:modified xsi:type="dcterms:W3CDTF">2019-06-14T02:00:00Z</dcterms:modified>
</cp:coreProperties>
</file>