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4114" w14:textId="77777777" w:rsidR="00A60083" w:rsidRDefault="00C708A0" w:rsidP="00FA6C9E">
      <w:pPr>
        <w:pStyle w:val="BodyText20"/>
        <w:spacing w:line="240" w:lineRule="auto"/>
        <w:rPr>
          <w:b/>
          <w:sz w:val="36"/>
          <w:szCs w:val="36"/>
        </w:rPr>
      </w:pPr>
      <w:bookmarkStart w:id="0" w:name="bookmark0"/>
      <w:r w:rsidRPr="00A60083">
        <w:rPr>
          <w:b/>
          <w:sz w:val="36"/>
          <w:szCs w:val="36"/>
        </w:rPr>
        <w:t>PUBLIC WORKS COMMITTEE ACT 1974</w:t>
      </w:r>
    </w:p>
    <w:p w14:paraId="678EA801" w14:textId="77777777" w:rsidR="00A60083" w:rsidRPr="00A60083" w:rsidRDefault="00A60083" w:rsidP="00FA6C9E">
      <w:pPr>
        <w:pStyle w:val="BodyText20"/>
        <w:spacing w:line="240" w:lineRule="auto"/>
        <w:rPr>
          <w:b/>
          <w:sz w:val="36"/>
          <w:szCs w:val="36"/>
        </w:rPr>
      </w:pPr>
    </w:p>
    <w:p w14:paraId="66D0256C" w14:textId="77777777" w:rsidR="005606D3" w:rsidRPr="00BC04FC" w:rsidRDefault="00C708A0" w:rsidP="00FA6C9E">
      <w:pPr>
        <w:pStyle w:val="BodyText20"/>
        <w:spacing w:line="240" w:lineRule="auto"/>
        <w:rPr>
          <w:b/>
          <w:sz w:val="28"/>
          <w:szCs w:val="28"/>
        </w:rPr>
      </w:pPr>
      <w:r w:rsidRPr="00BC04FC">
        <w:rPr>
          <w:b/>
          <w:sz w:val="28"/>
          <w:szCs w:val="28"/>
        </w:rPr>
        <w:t>No. 48 of 1974</w:t>
      </w:r>
      <w:bookmarkEnd w:id="0"/>
    </w:p>
    <w:p w14:paraId="5A389220" w14:textId="77777777" w:rsidR="00A60083" w:rsidRDefault="00A60083" w:rsidP="00FA6C9E">
      <w:pPr>
        <w:pStyle w:val="BodyText20"/>
        <w:spacing w:line="240" w:lineRule="auto"/>
        <w:rPr>
          <w:sz w:val="28"/>
          <w:szCs w:val="28"/>
        </w:rPr>
      </w:pPr>
    </w:p>
    <w:p w14:paraId="17C433B3" w14:textId="77777777" w:rsidR="005606D3" w:rsidRPr="00A60083" w:rsidRDefault="00C708A0" w:rsidP="00FA6C9E">
      <w:pPr>
        <w:pStyle w:val="BodyText20"/>
        <w:spacing w:after="160" w:line="240" w:lineRule="auto"/>
        <w:rPr>
          <w:sz w:val="24"/>
          <w:szCs w:val="24"/>
        </w:rPr>
      </w:pPr>
      <w:r w:rsidRPr="00A60083">
        <w:rPr>
          <w:sz w:val="24"/>
          <w:szCs w:val="24"/>
        </w:rPr>
        <w:t xml:space="preserve">An Act to amend the </w:t>
      </w:r>
      <w:r w:rsidRPr="00A60083">
        <w:rPr>
          <w:rStyle w:val="BodytextItalic"/>
          <w:sz w:val="24"/>
          <w:szCs w:val="24"/>
        </w:rPr>
        <w:t>Public Works Committee Act</w:t>
      </w:r>
      <w:r w:rsidRPr="00A60083">
        <w:rPr>
          <w:sz w:val="24"/>
          <w:szCs w:val="24"/>
        </w:rPr>
        <w:t xml:space="preserve"> 1969-1973.</w:t>
      </w:r>
    </w:p>
    <w:p w14:paraId="5D00070F" w14:textId="77777777" w:rsidR="005606D3" w:rsidRPr="00A60083" w:rsidRDefault="00C708A0" w:rsidP="00FA6C9E">
      <w:pPr>
        <w:pStyle w:val="BodyText20"/>
        <w:spacing w:line="240" w:lineRule="auto"/>
        <w:jc w:val="both"/>
        <w:rPr>
          <w:sz w:val="24"/>
          <w:szCs w:val="24"/>
        </w:rPr>
      </w:pPr>
      <w:r w:rsidRPr="00A60083">
        <w:rPr>
          <w:sz w:val="24"/>
          <w:szCs w:val="24"/>
        </w:rPr>
        <w:t>BE IT ENACTED by the Queen, the Senate and the House of Representatives of Australia, as follows: —</w:t>
      </w:r>
    </w:p>
    <w:p w14:paraId="651BAAA8" w14:textId="77777777" w:rsidR="005606D3" w:rsidRPr="00A60083" w:rsidRDefault="00C708A0" w:rsidP="00FA6C9E">
      <w:pPr>
        <w:pStyle w:val="Bodytext22"/>
        <w:spacing w:before="120" w:after="60" w:line="240" w:lineRule="auto"/>
        <w:rPr>
          <w:sz w:val="24"/>
          <w:szCs w:val="24"/>
        </w:rPr>
      </w:pPr>
      <w:r w:rsidRPr="00A60083">
        <w:rPr>
          <w:rStyle w:val="Bodytext2"/>
          <w:b/>
          <w:sz w:val="20"/>
          <w:szCs w:val="20"/>
        </w:rPr>
        <w:t>Short title and citation</w:t>
      </w:r>
      <w:r w:rsidRPr="00A60083">
        <w:rPr>
          <w:rStyle w:val="Bodytext2"/>
          <w:sz w:val="24"/>
          <w:szCs w:val="24"/>
        </w:rPr>
        <w:t>.</w:t>
      </w:r>
    </w:p>
    <w:p w14:paraId="716ED18F" w14:textId="58691D9E" w:rsidR="005606D3" w:rsidRPr="00A60083" w:rsidRDefault="00FA6C9E" w:rsidP="00FA6C9E">
      <w:pPr>
        <w:pStyle w:val="BodyText20"/>
        <w:spacing w:line="240" w:lineRule="auto"/>
        <w:ind w:firstLine="27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C04F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708A0" w:rsidRPr="00A60083">
        <w:rPr>
          <w:sz w:val="24"/>
          <w:szCs w:val="24"/>
        </w:rPr>
        <w:t xml:space="preserve">(1) This Act may be cited as the </w:t>
      </w:r>
      <w:r w:rsidR="00C708A0" w:rsidRPr="00A60083">
        <w:rPr>
          <w:rStyle w:val="BodytextItalic"/>
          <w:sz w:val="24"/>
          <w:szCs w:val="24"/>
        </w:rPr>
        <w:t xml:space="preserve">Public Works Committee Act </w:t>
      </w:r>
      <w:r w:rsidR="000B1C47">
        <w:rPr>
          <w:sz w:val="24"/>
          <w:szCs w:val="24"/>
        </w:rPr>
        <w:t>1974</w:t>
      </w:r>
      <w:r w:rsidR="00BC04FC">
        <w:rPr>
          <w:sz w:val="24"/>
          <w:szCs w:val="24"/>
          <w:vertAlign w:val="superscript"/>
        </w:rPr>
        <w:t>.</w:t>
      </w:r>
    </w:p>
    <w:p w14:paraId="436A55AF" w14:textId="14B03E20" w:rsidR="005606D3" w:rsidRPr="00A60083" w:rsidRDefault="00A60083" w:rsidP="00FA6C9E">
      <w:pPr>
        <w:pStyle w:val="BodyText20"/>
        <w:spacing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C708A0" w:rsidRPr="00A60083">
        <w:rPr>
          <w:sz w:val="24"/>
          <w:szCs w:val="24"/>
        </w:rPr>
        <w:t xml:space="preserve">The </w:t>
      </w:r>
      <w:r w:rsidR="00C708A0" w:rsidRPr="00A60083">
        <w:rPr>
          <w:rStyle w:val="BodytextItalic"/>
          <w:sz w:val="24"/>
          <w:szCs w:val="24"/>
        </w:rPr>
        <w:t>Public Works Committee Act</w:t>
      </w:r>
      <w:r w:rsidR="00C708A0" w:rsidRPr="00A60083">
        <w:rPr>
          <w:sz w:val="24"/>
          <w:szCs w:val="24"/>
        </w:rPr>
        <w:t xml:space="preserve"> 1969-1973 is in this Act referred to as the Principal Act.</w:t>
      </w:r>
    </w:p>
    <w:p w14:paraId="6165E26E" w14:textId="77777777" w:rsidR="005606D3" w:rsidRPr="00A60083" w:rsidRDefault="00A60083" w:rsidP="00FA6C9E">
      <w:pPr>
        <w:pStyle w:val="BodyText20"/>
        <w:spacing w:line="240" w:lineRule="auto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C708A0" w:rsidRPr="00A60083">
        <w:rPr>
          <w:sz w:val="24"/>
          <w:szCs w:val="24"/>
        </w:rPr>
        <w:t xml:space="preserve">The Principal Act, as amended by this Act, may be cited as the </w:t>
      </w:r>
      <w:r w:rsidR="00C708A0" w:rsidRPr="00A60083">
        <w:rPr>
          <w:rStyle w:val="BodytextItalic"/>
          <w:sz w:val="24"/>
          <w:szCs w:val="24"/>
        </w:rPr>
        <w:t>Public Works Committee Act</w:t>
      </w:r>
      <w:r w:rsidR="00C708A0" w:rsidRPr="00A60083">
        <w:rPr>
          <w:sz w:val="24"/>
          <w:szCs w:val="24"/>
        </w:rPr>
        <w:t xml:space="preserve"> 1969-1974.</w:t>
      </w:r>
    </w:p>
    <w:p w14:paraId="1CAC7738" w14:textId="77777777" w:rsidR="005606D3" w:rsidRPr="00A60083" w:rsidRDefault="00A60083" w:rsidP="00FA6C9E">
      <w:pPr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083">
        <w:rPr>
          <w:rStyle w:val="Bodytext2"/>
          <w:rFonts w:eastAsia="Courier New"/>
          <w:b/>
          <w:sz w:val="20"/>
          <w:szCs w:val="20"/>
        </w:rPr>
        <w:t>Commencement.</w:t>
      </w:r>
    </w:p>
    <w:p w14:paraId="1F667058" w14:textId="05E1BAD4" w:rsidR="005606D3" w:rsidRPr="00A60083" w:rsidRDefault="00FA6C9E" w:rsidP="00FA6C9E">
      <w:pPr>
        <w:pStyle w:val="BodyText20"/>
        <w:tabs>
          <w:tab w:val="left" w:pos="630"/>
        </w:tabs>
        <w:spacing w:line="240" w:lineRule="auto"/>
        <w:ind w:firstLine="274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A60083">
        <w:rPr>
          <w:sz w:val="24"/>
          <w:szCs w:val="24"/>
        </w:rPr>
        <w:tab/>
      </w:r>
      <w:r w:rsidR="00C708A0" w:rsidRPr="00A60083">
        <w:rPr>
          <w:sz w:val="24"/>
          <w:szCs w:val="24"/>
        </w:rPr>
        <w:t>This Act shall come into operation on the day on which it receives the Royal Assent.</w:t>
      </w:r>
    </w:p>
    <w:p w14:paraId="37F0A102" w14:textId="77777777" w:rsidR="00A60083" w:rsidRPr="00A60083" w:rsidRDefault="00A60083" w:rsidP="00FA6C9E">
      <w:pPr>
        <w:spacing w:before="120" w:after="60"/>
        <w:jc w:val="both"/>
        <w:rPr>
          <w:rFonts w:ascii="Times New Roman" w:hAnsi="Times New Roman" w:cs="Times New Roman"/>
          <w:b/>
        </w:rPr>
      </w:pPr>
      <w:r w:rsidRPr="00A60083">
        <w:rPr>
          <w:rStyle w:val="Bodytext2"/>
          <w:rFonts w:eastAsia="Courier New"/>
          <w:b/>
          <w:sz w:val="20"/>
          <w:szCs w:val="20"/>
        </w:rPr>
        <w:t>Reference of public works to the Committee</w:t>
      </w:r>
      <w:r w:rsidRPr="00A60083">
        <w:rPr>
          <w:rStyle w:val="Bodytext2"/>
          <w:rFonts w:eastAsia="Courier New"/>
          <w:b/>
          <w:sz w:val="24"/>
          <w:szCs w:val="24"/>
        </w:rPr>
        <w:t>.</w:t>
      </w:r>
    </w:p>
    <w:p w14:paraId="255D96AE" w14:textId="2EEE4534" w:rsidR="005606D3" w:rsidRPr="00A60083" w:rsidRDefault="00FA6C9E" w:rsidP="00FA6C9E">
      <w:pPr>
        <w:pStyle w:val="BodyText20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A60083">
        <w:rPr>
          <w:sz w:val="24"/>
          <w:szCs w:val="24"/>
        </w:rPr>
        <w:tab/>
      </w:r>
      <w:r w:rsidR="00C708A0" w:rsidRPr="00A60083">
        <w:rPr>
          <w:sz w:val="24"/>
          <w:szCs w:val="24"/>
        </w:rPr>
        <w:t>Section 18 of the Principal Act is amended by inserting after sub</w:t>
      </w:r>
      <w:r w:rsidR="00BC04FC">
        <w:rPr>
          <w:sz w:val="24"/>
          <w:szCs w:val="24"/>
        </w:rPr>
        <w:t>-</w:t>
      </w:r>
      <w:r w:rsidR="00C708A0" w:rsidRPr="00A60083">
        <w:rPr>
          <w:sz w:val="24"/>
          <w:szCs w:val="24"/>
        </w:rPr>
        <w:t>section (8) the following sub-section:—</w:t>
      </w:r>
    </w:p>
    <w:p w14:paraId="126A5998" w14:textId="6951C945" w:rsidR="005606D3" w:rsidRPr="00A60083" w:rsidRDefault="00C708A0" w:rsidP="00FA6C9E">
      <w:pPr>
        <w:pStyle w:val="BodyText20"/>
        <w:spacing w:line="240" w:lineRule="auto"/>
        <w:ind w:firstLine="274"/>
        <w:jc w:val="both"/>
        <w:rPr>
          <w:sz w:val="24"/>
          <w:szCs w:val="24"/>
        </w:rPr>
      </w:pPr>
      <w:r w:rsidRPr="00A60083">
        <w:rPr>
          <w:sz w:val="24"/>
          <w:szCs w:val="24"/>
        </w:rPr>
        <w:t xml:space="preserve">“(9) The reference in sub-section (8) to the estimated cost of a public work shall be read as a reference to the estimate of cost made at the stage of design development at which all </w:t>
      </w:r>
      <w:r w:rsidR="00BC04FC">
        <w:rPr>
          <w:sz w:val="24"/>
          <w:szCs w:val="24"/>
        </w:rPr>
        <w:t>particulars of the work substan</w:t>
      </w:r>
      <w:r w:rsidRPr="00A60083">
        <w:rPr>
          <w:sz w:val="24"/>
          <w:szCs w:val="24"/>
        </w:rPr>
        <w:t>tially affecting its cost</w:t>
      </w:r>
      <w:r w:rsidR="00BC04FC">
        <w:rPr>
          <w:sz w:val="24"/>
          <w:szCs w:val="24"/>
        </w:rPr>
        <w:t xml:space="preserve"> have been determined.</w:t>
      </w:r>
      <w:r w:rsidRPr="00A60083">
        <w:rPr>
          <w:sz w:val="24"/>
          <w:szCs w:val="24"/>
        </w:rPr>
        <w:t>”.</w:t>
      </w:r>
    </w:p>
    <w:p w14:paraId="14FBE188" w14:textId="6065DCCA" w:rsidR="00A60083" w:rsidRPr="00BC04FC" w:rsidRDefault="00A60083" w:rsidP="00FA6C9E">
      <w:pPr>
        <w:pStyle w:val="Bodytext22"/>
        <w:spacing w:before="120" w:after="60" w:line="240" w:lineRule="auto"/>
        <w:rPr>
          <w:b/>
          <w:sz w:val="20"/>
          <w:szCs w:val="20"/>
        </w:rPr>
      </w:pPr>
      <w:r w:rsidRPr="00A60083">
        <w:rPr>
          <w:rStyle w:val="Bodytext2"/>
          <w:b/>
          <w:sz w:val="20"/>
          <w:szCs w:val="20"/>
        </w:rPr>
        <w:t>Formal</w:t>
      </w:r>
      <w:r>
        <w:rPr>
          <w:rStyle w:val="Bodytext2"/>
          <w:b/>
          <w:sz w:val="20"/>
          <w:szCs w:val="20"/>
        </w:rPr>
        <w:t xml:space="preserve"> </w:t>
      </w:r>
      <w:r w:rsidRPr="00A60083">
        <w:rPr>
          <w:rStyle w:val="Bodytext2"/>
          <w:b/>
          <w:sz w:val="20"/>
          <w:szCs w:val="20"/>
        </w:rPr>
        <w:t>amendme</w:t>
      </w:r>
      <w:r w:rsidRPr="00BC04FC">
        <w:rPr>
          <w:rStyle w:val="Bodytext2"/>
          <w:b/>
          <w:sz w:val="20"/>
          <w:szCs w:val="20"/>
        </w:rPr>
        <w:t>n</w:t>
      </w:r>
      <w:r w:rsidRPr="00BC04FC">
        <w:rPr>
          <w:b/>
          <w:sz w:val="20"/>
          <w:szCs w:val="20"/>
        </w:rPr>
        <w:t>ts</w:t>
      </w:r>
      <w:r w:rsidR="00BC04FC">
        <w:rPr>
          <w:b/>
          <w:sz w:val="20"/>
          <w:szCs w:val="20"/>
        </w:rPr>
        <w:t>.</w:t>
      </w:r>
    </w:p>
    <w:p w14:paraId="1E07D28F" w14:textId="77777777" w:rsidR="005606D3" w:rsidRDefault="00FA6C9E" w:rsidP="00FA6C9E">
      <w:pPr>
        <w:pStyle w:val="BodyText20"/>
        <w:tabs>
          <w:tab w:val="left" w:pos="630"/>
        </w:tabs>
        <w:spacing w:line="240" w:lineRule="auto"/>
        <w:ind w:firstLine="274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60083">
        <w:rPr>
          <w:sz w:val="24"/>
          <w:szCs w:val="24"/>
        </w:rPr>
        <w:tab/>
      </w:r>
      <w:r w:rsidR="00C708A0" w:rsidRPr="00A60083">
        <w:rPr>
          <w:sz w:val="24"/>
          <w:szCs w:val="24"/>
        </w:rPr>
        <w:t>The Principal Act is amended as set out in the Schedule.</w:t>
      </w:r>
    </w:p>
    <w:p w14:paraId="1203EA57" w14:textId="77777777" w:rsidR="00A60083" w:rsidRDefault="00A60083" w:rsidP="00FA6C9E">
      <w:pPr>
        <w:pStyle w:val="BodyText20"/>
        <w:spacing w:line="240" w:lineRule="auto"/>
        <w:ind w:firstLine="274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3B41B6D7" w14:textId="77777777" w:rsidR="00A60083" w:rsidRPr="00A60083" w:rsidRDefault="00A60083" w:rsidP="00FA6C9E">
      <w:pPr>
        <w:pStyle w:val="BodyText20"/>
        <w:spacing w:line="240" w:lineRule="auto"/>
        <w:ind w:firstLine="274"/>
        <w:rPr>
          <w:sz w:val="24"/>
          <w:szCs w:val="24"/>
        </w:rPr>
      </w:pPr>
    </w:p>
    <w:p w14:paraId="63102886" w14:textId="77777777" w:rsidR="005606D3" w:rsidRPr="00A60083" w:rsidRDefault="00A60083" w:rsidP="00FA6C9E">
      <w:pPr>
        <w:pStyle w:val="Bodytext22"/>
        <w:spacing w:after="160" w:line="240" w:lineRule="auto"/>
        <w:jc w:val="center"/>
        <w:rPr>
          <w:sz w:val="24"/>
          <w:szCs w:val="24"/>
        </w:rPr>
      </w:pPr>
      <w:r>
        <w:rPr>
          <w:rStyle w:val="Bodytext2105pt"/>
          <w:sz w:val="24"/>
          <w:szCs w:val="24"/>
        </w:rPr>
        <w:t>SCHEDULE</w:t>
      </w:r>
    </w:p>
    <w:p w14:paraId="7DEF9563" w14:textId="77777777" w:rsidR="005606D3" w:rsidRPr="00A60083" w:rsidRDefault="00C708A0" w:rsidP="00FA6C9E">
      <w:pPr>
        <w:pStyle w:val="Bodytext22"/>
        <w:spacing w:after="160" w:line="240" w:lineRule="auto"/>
        <w:jc w:val="center"/>
        <w:rPr>
          <w:sz w:val="24"/>
          <w:szCs w:val="24"/>
        </w:rPr>
      </w:pPr>
      <w:r w:rsidRPr="00A60083">
        <w:rPr>
          <w:sz w:val="24"/>
          <w:szCs w:val="24"/>
        </w:rPr>
        <w:t>FORMAL AMENDMENTS</w:t>
      </w:r>
    </w:p>
    <w:p w14:paraId="6B42E8B4" w14:textId="7BF08331" w:rsidR="005606D3" w:rsidRPr="00A60083" w:rsidRDefault="00A60083" w:rsidP="00FA6C9E">
      <w:pPr>
        <w:pStyle w:val="BodyText20"/>
        <w:tabs>
          <w:tab w:val="left" w:pos="630"/>
        </w:tabs>
        <w:spacing w:line="240" w:lineRule="auto"/>
        <w:ind w:firstLine="274"/>
        <w:jc w:val="both"/>
        <w:rPr>
          <w:sz w:val="24"/>
          <w:szCs w:val="24"/>
        </w:rPr>
      </w:pPr>
      <w:r w:rsidRPr="00BC04FC">
        <w:rPr>
          <w:sz w:val="24"/>
          <w:szCs w:val="24"/>
        </w:rPr>
        <w:t>1.</w:t>
      </w:r>
      <w:r w:rsidRPr="00BC04FC">
        <w:rPr>
          <w:sz w:val="24"/>
          <w:szCs w:val="24"/>
        </w:rPr>
        <w:tab/>
      </w:r>
      <w:r w:rsidR="00C708A0" w:rsidRPr="00BC04FC">
        <w:rPr>
          <w:sz w:val="24"/>
          <w:szCs w:val="24"/>
        </w:rPr>
        <w:t>The following provisions of the Principal Act are amended by omitt</w:t>
      </w:r>
      <w:r w:rsidR="00BC04FC" w:rsidRPr="00BC04FC">
        <w:rPr>
          <w:sz w:val="24"/>
          <w:szCs w:val="24"/>
        </w:rPr>
        <w:t>ing the words “of this</w:t>
      </w:r>
      <w:r w:rsidR="00BC04FC">
        <w:rPr>
          <w:sz w:val="24"/>
          <w:szCs w:val="24"/>
        </w:rPr>
        <w:t xml:space="preserve"> Act”, “</w:t>
      </w:r>
      <w:r w:rsidR="00C708A0" w:rsidRPr="00A60083">
        <w:rPr>
          <w:sz w:val="24"/>
          <w:szCs w:val="24"/>
        </w:rPr>
        <w:t xml:space="preserve">to this </w:t>
      </w:r>
      <w:r w:rsidR="00BC04FC">
        <w:rPr>
          <w:sz w:val="24"/>
          <w:szCs w:val="24"/>
        </w:rPr>
        <w:t>Act” and “of this section” (wherever occurring):</w:t>
      </w:r>
      <w:r w:rsidR="00C708A0" w:rsidRPr="00A60083">
        <w:rPr>
          <w:sz w:val="24"/>
          <w:szCs w:val="24"/>
        </w:rPr>
        <w:t>—</w:t>
      </w:r>
    </w:p>
    <w:p w14:paraId="00E63768" w14:textId="14C7381E" w:rsidR="005606D3" w:rsidRPr="00A60083" w:rsidRDefault="00C708A0" w:rsidP="00FA6C9E">
      <w:pPr>
        <w:pStyle w:val="Tablecaption0"/>
        <w:spacing w:after="120" w:line="240" w:lineRule="auto"/>
        <w:ind w:firstLine="274"/>
        <w:jc w:val="both"/>
        <w:rPr>
          <w:sz w:val="24"/>
          <w:szCs w:val="24"/>
        </w:rPr>
      </w:pPr>
      <w:r w:rsidRPr="00A60083">
        <w:rPr>
          <w:sz w:val="24"/>
          <w:szCs w:val="24"/>
        </w:rPr>
        <w:t>Sections 5 (definition of</w:t>
      </w:r>
      <w:r w:rsidR="000B1C47">
        <w:rPr>
          <w:sz w:val="24"/>
          <w:szCs w:val="24"/>
        </w:rPr>
        <w:t xml:space="preserve"> </w:t>
      </w:r>
      <w:r w:rsidR="00BC04FC">
        <w:rPr>
          <w:sz w:val="24"/>
          <w:szCs w:val="24"/>
        </w:rPr>
        <w:t>“assessor”), 7</w:t>
      </w:r>
      <w:r w:rsidRPr="00A60083">
        <w:rPr>
          <w:sz w:val="24"/>
          <w:szCs w:val="24"/>
        </w:rPr>
        <w:t>(7)(b), 8, 19(1), 23(4)(b) and (6), 28,</w:t>
      </w:r>
      <w:r w:rsidR="00BC04FC">
        <w:rPr>
          <w:sz w:val="24"/>
          <w:szCs w:val="24"/>
        </w:rPr>
        <w:t xml:space="preserve"> </w:t>
      </w:r>
      <w:r w:rsidRPr="00A60083">
        <w:rPr>
          <w:sz w:val="24"/>
          <w:szCs w:val="24"/>
        </w:rPr>
        <w:t>29, 30, 33</w:t>
      </w:r>
      <w:r w:rsidR="00BC04FC">
        <w:rPr>
          <w:sz w:val="24"/>
          <w:szCs w:val="24"/>
        </w:rPr>
        <w:t>(3) and </w:t>
      </w:r>
      <w:r w:rsidRPr="00A60083">
        <w:rPr>
          <w:sz w:val="24"/>
          <w:szCs w:val="24"/>
        </w:rPr>
        <w:t>37(1) and (2).</w:t>
      </w:r>
    </w:p>
    <w:p w14:paraId="1AE8478E" w14:textId="77777777" w:rsidR="005606D3" w:rsidRPr="00BC04FC" w:rsidRDefault="00FA6C9E" w:rsidP="00FA6C9E">
      <w:pPr>
        <w:pStyle w:val="BodyText20"/>
        <w:tabs>
          <w:tab w:val="left" w:pos="630"/>
        </w:tabs>
        <w:spacing w:after="120" w:line="240" w:lineRule="auto"/>
        <w:ind w:firstLine="274"/>
        <w:jc w:val="both"/>
        <w:rPr>
          <w:sz w:val="24"/>
          <w:szCs w:val="24"/>
        </w:rPr>
      </w:pPr>
      <w:r w:rsidRPr="00BC04FC">
        <w:rPr>
          <w:sz w:val="24"/>
          <w:szCs w:val="24"/>
        </w:rPr>
        <w:t>2.</w:t>
      </w:r>
      <w:r w:rsidR="000B1C47" w:rsidRPr="00BC04FC">
        <w:rPr>
          <w:sz w:val="24"/>
          <w:szCs w:val="24"/>
        </w:rPr>
        <w:tab/>
      </w:r>
      <w:r w:rsidR="00C708A0" w:rsidRPr="00BC04FC">
        <w:rPr>
          <w:sz w:val="24"/>
          <w:szCs w:val="24"/>
        </w:rPr>
        <w:t>The Principal Act is further amended as set out in the following table:—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958"/>
      </w:tblGrid>
      <w:tr w:rsidR="005606D3" w:rsidRPr="00A60083" w14:paraId="3F4725FF" w14:textId="77777777" w:rsidTr="00BC04FC">
        <w:trPr>
          <w:trHeight w:val="374"/>
        </w:trPr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5C0DE3F5" w14:textId="77777777" w:rsidR="005606D3" w:rsidRPr="00BC04FC" w:rsidRDefault="00C708A0" w:rsidP="000B1C47">
            <w:pPr>
              <w:pStyle w:val="BodyText20"/>
              <w:spacing w:line="240" w:lineRule="auto"/>
              <w:jc w:val="left"/>
              <w:rPr>
                <w:sz w:val="24"/>
                <w:szCs w:val="24"/>
              </w:rPr>
            </w:pPr>
            <w:r w:rsidRPr="00BC04FC">
              <w:rPr>
                <w:rStyle w:val="Bodytext8pt"/>
                <w:sz w:val="24"/>
                <w:szCs w:val="24"/>
              </w:rPr>
              <w:t>Provision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vAlign w:val="center"/>
          </w:tcPr>
          <w:p w14:paraId="1BEF1D63" w14:textId="39C08428" w:rsidR="005606D3" w:rsidRPr="00BC04FC" w:rsidRDefault="00C708A0" w:rsidP="00BC04FC">
            <w:pPr>
              <w:pStyle w:val="BodyText20"/>
              <w:spacing w:line="240" w:lineRule="auto"/>
              <w:jc w:val="left"/>
              <w:rPr>
                <w:sz w:val="24"/>
                <w:szCs w:val="24"/>
              </w:rPr>
            </w:pPr>
            <w:r w:rsidRPr="00BC04FC">
              <w:rPr>
                <w:rStyle w:val="Bodytext8pt"/>
                <w:sz w:val="24"/>
                <w:szCs w:val="24"/>
              </w:rPr>
              <w:t>Amendment</w:t>
            </w:r>
          </w:p>
        </w:tc>
      </w:tr>
      <w:tr w:rsidR="005606D3" w:rsidRPr="00A60083" w14:paraId="74E9A4BA" w14:textId="77777777" w:rsidTr="00BC04FC">
        <w:trPr>
          <w:trHeight w:val="451"/>
        </w:trPr>
        <w:tc>
          <w:tcPr>
            <w:tcW w:w="3412" w:type="dxa"/>
            <w:tcBorders>
              <w:top w:val="single" w:sz="4" w:space="0" w:color="auto"/>
            </w:tcBorders>
          </w:tcPr>
          <w:p w14:paraId="278988F8" w14:textId="60D4510E" w:rsidR="005606D3" w:rsidRPr="00A60083" w:rsidRDefault="00C708A0" w:rsidP="00BC04FC">
            <w:pPr>
              <w:pStyle w:val="BodyText20"/>
              <w:tabs>
                <w:tab w:val="left" w:leader="dot" w:pos="33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60083">
              <w:rPr>
                <w:rStyle w:val="Bodytext8pt"/>
                <w:sz w:val="24"/>
                <w:szCs w:val="24"/>
              </w:rPr>
              <w:t>Sub-section 12</w:t>
            </w:r>
            <w:r w:rsidR="000B1C47">
              <w:rPr>
                <w:rStyle w:val="Bodytext8pt"/>
                <w:sz w:val="24"/>
                <w:szCs w:val="24"/>
              </w:rPr>
              <w:t>(1)</w:t>
            </w:r>
            <w:r w:rsidR="000B1C47"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5958" w:type="dxa"/>
            <w:tcBorders>
              <w:top w:val="single" w:sz="4" w:space="0" w:color="auto"/>
            </w:tcBorders>
            <w:vAlign w:val="bottom"/>
          </w:tcPr>
          <w:p w14:paraId="62586A0F" w14:textId="77777777" w:rsidR="005606D3" w:rsidRPr="00A60083" w:rsidRDefault="00C708A0" w:rsidP="000B1C47">
            <w:pPr>
              <w:pStyle w:val="BodyText20"/>
              <w:spacing w:line="240" w:lineRule="auto"/>
              <w:ind w:left="170" w:hanging="170"/>
              <w:jc w:val="left"/>
              <w:rPr>
                <w:sz w:val="24"/>
                <w:szCs w:val="24"/>
              </w:rPr>
            </w:pPr>
            <w:r w:rsidRPr="00A60083">
              <w:rPr>
                <w:rStyle w:val="Bodytext8pt"/>
                <w:sz w:val="24"/>
                <w:szCs w:val="24"/>
              </w:rPr>
              <w:t>Omit “the Commonwealth” (wherever occurring), substi</w:t>
            </w:r>
            <w:r w:rsidRPr="00A60083">
              <w:rPr>
                <w:rStyle w:val="Bodytext8pt"/>
                <w:sz w:val="24"/>
                <w:szCs w:val="24"/>
              </w:rPr>
              <w:softHyphen/>
              <w:t>tute “Australia”.</w:t>
            </w:r>
          </w:p>
        </w:tc>
      </w:tr>
      <w:tr w:rsidR="005606D3" w:rsidRPr="00A60083" w14:paraId="359C8D98" w14:textId="77777777" w:rsidTr="00BC04FC">
        <w:trPr>
          <w:trHeight w:val="360"/>
        </w:trPr>
        <w:tc>
          <w:tcPr>
            <w:tcW w:w="3412" w:type="dxa"/>
          </w:tcPr>
          <w:p w14:paraId="42616743" w14:textId="14297AB9" w:rsidR="005606D3" w:rsidRPr="00A60083" w:rsidRDefault="000B1C47" w:rsidP="00BC04FC">
            <w:pPr>
              <w:pStyle w:val="BodyText20"/>
              <w:tabs>
                <w:tab w:val="left" w:leader="dot" w:pos="331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Section 16</w:t>
            </w:r>
            <w:r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5958" w:type="dxa"/>
            <w:vAlign w:val="bottom"/>
          </w:tcPr>
          <w:p w14:paraId="2DC33A33" w14:textId="77777777" w:rsidR="005606D3" w:rsidRPr="00A60083" w:rsidRDefault="00C708A0" w:rsidP="000B1C47">
            <w:pPr>
              <w:pStyle w:val="BodyText20"/>
              <w:spacing w:line="240" w:lineRule="auto"/>
              <w:ind w:left="170" w:hanging="170"/>
              <w:jc w:val="left"/>
              <w:rPr>
                <w:sz w:val="24"/>
                <w:szCs w:val="24"/>
              </w:rPr>
            </w:pPr>
            <w:r w:rsidRPr="00A60083">
              <w:rPr>
                <w:rStyle w:val="Bodytext8pt"/>
                <w:sz w:val="24"/>
                <w:szCs w:val="24"/>
              </w:rPr>
              <w:t>Omit “thirty-first day of December” (wherever occurring), substitute “31 December”.</w:t>
            </w:r>
          </w:p>
        </w:tc>
      </w:tr>
      <w:tr w:rsidR="005606D3" w:rsidRPr="00A60083" w14:paraId="1E77E5F0" w14:textId="77777777" w:rsidTr="00BC04FC">
        <w:trPr>
          <w:trHeight w:val="341"/>
        </w:trPr>
        <w:tc>
          <w:tcPr>
            <w:tcW w:w="3412" w:type="dxa"/>
            <w:tcBorders>
              <w:bottom w:val="single" w:sz="4" w:space="0" w:color="auto"/>
            </w:tcBorders>
            <w:vAlign w:val="bottom"/>
          </w:tcPr>
          <w:p w14:paraId="51F0DC9B" w14:textId="74279E3B" w:rsidR="005606D3" w:rsidRPr="00A60083" w:rsidRDefault="000B1C47" w:rsidP="00BC04FC">
            <w:pPr>
              <w:pStyle w:val="BodyText20"/>
              <w:tabs>
                <w:tab w:val="left" w:leader="dot" w:pos="331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8pt"/>
                <w:sz w:val="24"/>
                <w:szCs w:val="24"/>
              </w:rPr>
              <w:t>Sub-section 23(3)</w:t>
            </w:r>
            <w:r>
              <w:rPr>
                <w:rStyle w:val="Bodytext8pt"/>
                <w:sz w:val="24"/>
                <w:szCs w:val="24"/>
              </w:rPr>
              <w:tab/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14:paraId="204BFEBA" w14:textId="77777777" w:rsidR="005606D3" w:rsidRPr="00A60083" w:rsidRDefault="00C708A0" w:rsidP="000B1C47">
            <w:pPr>
              <w:pStyle w:val="BodyText20"/>
              <w:spacing w:line="240" w:lineRule="auto"/>
              <w:jc w:val="left"/>
              <w:rPr>
                <w:sz w:val="24"/>
                <w:szCs w:val="24"/>
              </w:rPr>
            </w:pPr>
            <w:r w:rsidRPr="00A60083">
              <w:rPr>
                <w:rStyle w:val="Bodytext8pt"/>
                <w:sz w:val="24"/>
                <w:szCs w:val="24"/>
              </w:rPr>
              <w:t>Omit “of this Act”.</w:t>
            </w:r>
          </w:p>
        </w:tc>
      </w:tr>
    </w:tbl>
    <w:p w14:paraId="78BCDCC9" w14:textId="2D088EB6" w:rsidR="000B1C47" w:rsidRDefault="000B1C47">
      <w:pPr>
        <w:rPr>
          <w:rFonts w:ascii="Times New Roman" w:eastAsia="Times New Roman" w:hAnsi="Times New Roman" w:cs="Times New Roman"/>
          <w:i/>
          <w:iCs/>
        </w:rPr>
      </w:pPr>
      <w:bookmarkStart w:id="1" w:name="_GoBack"/>
      <w:bookmarkEnd w:id="1"/>
    </w:p>
    <w:sectPr w:rsidR="000B1C47" w:rsidSect="00A25408">
      <w:headerReference w:type="even" r:id="rId8"/>
      <w:type w:val="continuous"/>
      <w:pgSz w:w="11909" w:h="18000"/>
      <w:pgMar w:top="1080" w:right="1080" w:bottom="1080" w:left="108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2CE0BB" w15:done="0"/>
  <w15:commentEx w15:paraId="01324006" w15:done="0"/>
  <w15:commentEx w15:paraId="5D3D002A" w15:done="0"/>
  <w15:commentEx w15:paraId="48C15C89" w15:done="0"/>
  <w15:commentEx w15:paraId="0BF38B0A" w15:done="0"/>
  <w15:commentEx w15:paraId="44DF63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CE0BB" w16cid:durableId="1F49E77F"/>
  <w16cid:commentId w16cid:paraId="01324006" w16cid:durableId="1F49E79D"/>
  <w16cid:commentId w16cid:paraId="5D3D002A" w16cid:durableId="1F49E7A4"/>
  <w16cid:commentId w16cid:paraId="48C15C89" w16cid:durableId="1F49E7AF"/>
  <w16cid:commentId w16cid:paraId="0BF38B0A" w16cid:durableId="1F49E7CA"/>
  <w16cid:commentId w16cid:paraId="44DF6342" w16cid:durableId="1F49E7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3F665" w14:textId="77777777" w:rsidR="006B6786" w:rsidRDefault="006B6786">
      <w:r>
        <w:separator/>
      </w:r>
    </w:p>
  </w:endnote>
  <w:endnote w:type="continuationSeparator" w:id="0">
    <w:p w14:paraId="207F13C0" w14:textId="77777777" w:rsidR="006B6786" w:rsidRDefault="006B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EE13B" w14:textId="77777777" w:rsidR="006B6786" w:rsidRDefault="006B6786"/>
  </w:footnote>
  <w:footnote w:type="continuationSeparator" w:id="0">
    <w:p w14:paraId="2D242E57" w14:textId="77777777" w:rsidR="006B6786" w:rsidRDefault="006B67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A416" w14:textId="77777777" w:rsidR="00A25408" w:rsidRPr="00A25408" w:rsidRDefault="00A25408" w:rsidP="00A25408">
    <w:pPr>
      <w:pStyle w:val="Header"/>
      <w:tabs>
        <w:tab w:val="clear" w:pos="4513"/>
        <w:tab w:val="clear" w:pos="9026"/>
        <w:tab w:val="center" w:pos="5040"/>
        <w:tab w:val="right" w:pos="9720"/>
      </w:tabs>
      <w:rPr>
        <w:rFonts w:ascii="Times New Roman" w:hAnsi="Times New Roman" w:cs="Times New Roman"/>
        <w:sz w:val="22"/>
        <w:szCs w:val="22"/>
        <w:lang w:val="en-IN"/>
      </w:rPr>
    </w:pPr>
    <w:r w:rsidRPr="00A25408">
      <w:rPr>
        <w:rFonts w:ascii="Times New Roman" w:hAnsi="Times New Roman" w:cs="Times New Roman"/>
        <w:sz w:val="22"/>
        <w:szCs w:val="22"/>
        <w:lang w:val="en-IN"/>
      </w:rPr>
      <w:t>1974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A25408">
      <w:rPr>
        <w:rFonts w:ascii="Times New Roman" w:hAnsi="Times New Roman" w:cs="Times New Roman"/>
        <w:i/>
        <w:sz w:val="22"/>
        <w:szCs w:val="22"/>
        <w:lang w:val="en-IN"/>
      </w:rPr>
      <w:t>Public Works Committee</w:t>
    </w:r>
    <w:r>
      <w:rPr>
        <w:rFonts w:ascii="Times New Roman" w:hAnsi="Times New Roman" w:cs="Times New Roman"/>
        <w:sz w:val="22"/>
        <w:szCs w:val="22"/>
        <w:lang w:val="en-IN"/>
      </w:rPr>
      <w:tab/>
    </w:r>
    <w:r w:rsidRPr="00A25408">
      <w:rPr>
        <w:rFonts w:ascii="Times New Roman" w:hAnsi="Times New Roman" w:cs="Times New Roman"/>
        <w:sz w:val="22"/>
        <w:szCs w:val="22"/>
        <w:lang w:val="en-IN"/>
      </w:rPr>
      <w:t>No. 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F0D"/>
    <w:multiLevelType w:val="multilevel"/>
    <w:tmpl w:val="959AD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8688C"/>
    <w:multiLevelType w:val="multilevel"/>
    <w:tmpl w:val="46BAB6B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5378F"/>
    <w:multiLevelType w:val="multilevel"/>
    <w:tmpl w:val="2ACE8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D4FD9"/>
    <w:multiLevelType w:val="multilevel"/>
    <w:tmpl w:val="1F1E2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0F0A33"/>
    <w:multiLevelType w:val="multilevel"/>
    <w:tmpl w:val="F7B6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3"/>
    <w:rsid w:val="000B1C47"/>
    <w:rsid w:val="005606D3"/>
    <w:rsid w:val="006B6786"/>
    <w:rsid w:val="007A5CD7"/>
    <w:rsid w:val="00A25408"/>
    <w:rsid w:val="00A60083"/>
    <w:rsid w:val="00AA7433"/>
    <w:rsid w:val="00BC04FC"/>
    <w:rsid w:val="00C708A0"/>
    <w:rsid w:val="00E12DDF"/>
    <w:rsid w:val="00F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 (2)_"/>
    <w:basedOn w:val="DefaultParagraphFont"/>
    <w:link w:val="Body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5pt">
    <w:name w:val="Body text (2) + 10.5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8pt0">
    <w:name w:val="Body text + 8 pt"/>
    <w:aliases w:val="Spacing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6"/>
      <w:szCs w:val="16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2">
    <w:name w:val="Body text (2)"/>
    <w:basedOn w:val="Normal"/>
    <w:link w:val="Bodytext21"/>
    <w:pPr>
      <w:spacing w:line="3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2"/>
    <w:basedOn w:val="Normal"/>
    <w:link w:val="Bodytext"/>
    <w:pPr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Heading10">
    <w:name w:val="Heading #1"/>
    <w:basedOn w:val="Normal"/>
    <w:link w:val="Heading1"/>
    <w:pPr>
      <w:spacing w:line="518" w:lineRule="exact"/>
      <w:jc w:val="center"/>
      <w:outlineLvl w:val="0"/>
    </w:pPr>
    <w:rPr>
      <w:rFonts w:ascii="Arial" w:eastAsia="Arial" w:hAnsi="Arial" w:cs="Arial"/>
      <w:b/>
      <w:bCs/>
      <w:spacing w:val="10"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40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5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40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2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D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D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DF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C04F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Bodytext">
    <w:name w:val="Body text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 (2)_"/>
    <w:basedOn w:val="DefaultParagraphFont"/>
    <w:link w:val="Bodytext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5pt">
    <w:name w:val="Body text (2) + 10.5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8pt0">
    <w:name w:val="Body text + 8 pt"/>
    <w:aliases w:val="Spacing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6"/>
      <w:szCs w:val="16"/>
      <w:u w:val="none"/>
      <w:lang w:val="en-US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2">
    <w:name w:val="Body text (2)"/>
    <w:basedOn w:val="Normal"/>
    <w:link w:val="Bodytext21"/>
    <w:pPr>
      <w:spacing w:line="3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">
    <w:name w:val="Body Text2"/>
    <w:basedOn w:val="Normal"/>
    <w:link w:val="Bodytext"/>
    <w:pPr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Heading10">
    <w:name w:val="Heading #1"/>
    <w:basedOn w:val="Normal"/>
    <w:link w:val="Heading1"/>
    <w:pPr>
      <w:spacing w:line="518" w:lineRule="exact"/>
      <w:jc w:val="center"/>
      <w:outlineLvl w:val="0"/>
    </w:pPr>
    <w:rPr>
      <w:rFonts w:ascii="Arial" w:eastAsia="Arial" w:hAnsi="Arial" w:cs="Arial"/>
      <w:b/>
      <w:bCs/>
      <w:spacing w:val="10"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pacing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pacing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40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5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40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12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D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D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DF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C0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Harper, Michael</cp:lastModifiedBy>
  <cp:revision>4</cp:revision>
  <dcterms:created xsi:type="dcterms:W3CDTF">2018-09-16T22:44:00Z</dcterms:created>
  <dcterms:modified xsi:type="dcterms:W3CDTF">2019-06-17T02:40:00Z</dcterms:modified>
</cp:coreProperties>
</file>