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36CC2" w14:textId="77777777" w:rsidR="007530F4" w:rsidRPr="00191E87" w:rsidRDefault="006040C1" w:rsidP="00F63C29">
      <w:pPr>
        <w:pStyle w:val="BodyText1"/>
        <w:spacing w:after="120" w:line="240" w:lineRule="auto"/>
        <w:jc w:val="center"/>
        <w:rPr>
          <w:b/>
          <w:sz w:val="36"/>
          <w:szCs w:val="36"/>
        </w:rPr>
      </w:pPr>
      <w:bookmarkStart w:id="0" w:name="bookmark0"/>
      <w:bookmarkStart w:id="1" w:name="_GoBack"/>
      <w:bookmarkEnd w:id="1"/>
      <w:r w:rsidRPr="00191E87">
        <w:rPr>
          <w:b/>
          <w:sz w:val="36"/>
          <w:szCs w:val="36"/>
        </w:rPr>
        <w:t>STATES GRANTS ACT 1974</w:t>
      </w:r>
      <w:bookmarkEnd w:id="0"/>
    </w:p>
    <w:p w14:paraId="64705139" w14:textId="77777777" w:rsidR="007530F4" w:rsidRPr="00191E87" w:rsidRDefault="006040C1" w:rsidP="00F63C29">
      <w:pPr>
        <w:pStyle w:val="BodyText1"/>
        <w:spacing w:line="240" w:lineRule="auto"/>
        <w:jc w:val="center"/>
        <w:rPr>
          <w:b/>
          <w:sz w:val="28"/>
          <w:szCs w:val="28"/>
        </w:rPr>
      </w:pPr>
      <w:bookmarkStart w:id="2" w:name="bookmark1"/>
      <w:r w:rsidRPr="00191E87">
        <w:rPr>
          <w:b/>
          <w:sz w:val="28"/>
          <w:szCs w:val="28"/>
        </w:rPr>
        <w:t>No. 84 of 1974</w:t>
      </w:r>
      <w:bookmarkEnd w:id="2"/>
    </w:p>
    <w:p w14:paraId="5B47B9A5" w14:textId="77777777" w:rsidR="00F63C29" w:rsidRPr="00F63C29" w:rsidRDefault="00F63C29" w:rsidP="00F63C29">
      <w:pPr>
        <w:pStyle w:val="BodyText1"/>
        <w:spacing w:line="240" w:lineRule="auto"/>
        <w:jc w:val="center"/>
        <w:rPr>
          <w:sz w:val="28"/>
          <w:szCs w:val="28"/>
        </w:rPr>
      </w:pPr>
    </w:p>
    <w:p w14:paraId="69A9C5C8" w14:textId="77777777" w:rsidR="007530F4" w:rsidRPr="00F63C29" w:rsidRDefault="006040C1" w:rsidP="00B24147">
      <w:pPr>
        <w:pStyle w:val="BodyText1"/>
        <w:spacing w:after="360" w:line="240" w:lineRule="auto"/>
        <w:rPr>
          <w:sz w:val="24"/>
          <w:szCs w:val="24"/>
        </w:rPr>
      </w:pPr>
      <w:r w:rsidRPr="00F63C29">
        <w:rPr>
          <w:sz w:val="24"/>
          <w:szCs w:val="24"/>
        </w:rPr>
        <w:t xml:space="preserve">An Act to amend the </w:t>
      </w:r>
      <w:r w:rsidRPr="00F63C29">
        <w:rPr>
          <w:rStyle w:val="BodytextItalic"/>
          <w:sz w:val="24"/>
          <w:szCs w:val="24"/>
        </w:rPr>
        <w:t>States Grants Act</w:t>
      </w:r>
      <w:r w:rsidRPr="00F63C29">
        <w:rPr>
          <w:sz w:val="24"/>
          <w:szCs w:val="24"/>
        </w:rPr>
        <w:t xml:space="preserve"> 1973 to grant additional Financial Assistance to the State of Tasmania.</w:t>
      </w:r>
    </w:p>
    <w:p w14:paraId="31157781" w14:textId="25084481" w:rsidR="007530F4" w:rsidRPr="00F63C29" w:rsidRDefault="006040C1" w:rsidP="00191E87">
      <w:pPr>
        <w:pStyle w:val="BodyText1"/>
        <w:spacing w:line="240" w:lineRule="auto"/>
        <w:ind w:firstLine="270"/>
        <w:rPr>
          <w:sz w:val="24"/>
          <w:szCs w:val="24"/>
        </w:rPr>
      </w:pPr>
      <w:r w:rsidRPr="00F63C29">
        <w:rPr>
          <w:sz w:val="24"/>
          <w:szCs w:val="24"/>
        </w:rPr>
        <w:t>BE IT ENACTED by the Queen, the Senate and the House of Representatives of Australia, as follows:—</w:t>
      </w:r>
    </w:p>
    <w:p w14:paraId="1F964E48" w14:textId="77777777" w:rsidR="00F63C29" w:rsidRPr="008D4A26" w:rsidRDefault="00F63C29" w:rsidP="00F63C29">
      <w:pPr>
        <w:pStyle w:val="BodyText1"/>
        <w:spacing w:before="120" w:after="60" w:line="240" w:lineRule="auto"/>
        <w:rPr>
          <w:b/>
          <w:sz w:val="20"/>
          <w:szCs w:val="24"/>
        </w:rPr>
      </w:pPr>
      <w:r w:rsidRPr="008D4A26">
        <w:rPr>
          <w:b/>
          <w:sz w:val="20"/>
          <w:szCs w:val="24"/>
        </w:rPr>
        <w:t>Short title</w:t>
      </w:r>
      <w:r w:rsidRPr="008D4A26">
        <w:rPr>
          <w:rStyle w:val="Bodytext8pt1"/>
          <w:b/>
          <w:sz w:val="20"/>
          <w:szCs w:val="24"/>
        </w:rPr>
        <w:t xml:space="preserve"> </w:t>
      </w:r>
      <w:r w:rsidRPr="008D4A26">
        <w:rPr>
          <w:b/>
          <w:sz w:val="20"/>
          <w:szCs w:val="24"/>
        </w:rPr>
        <w:t>and citation.</w:t>
      </w:r>
    </w:p>
    <w:p w14:paraId="6445DF65" w14:textId="35CB96CA" w:rsidR="007530F4" w:rsidRPr="00F63C29" w:rsidRDefault="00F63C29" w:rsidP="00191E87">
      <w:pPr>
        <w:pStyle w:val="BodyText1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F63C29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6040C1" w:rsidRPr="00F63C29">
        <w:rPr>
          <w:sz w:val="24"/>
          <w:szCs w:val="24"/>
        </w:rPr>
        <w:t xml:space="preserve">(1) This Act may be cited as the </w:t>
      </w:r>
      <w:r w:rsidR="006040C1" w:rsidRPr="00F63C29">
        <w:rPr>
          <w:rStyle w:val="BodytextItalic"/>
          <w:sz w:val="24"/>
          <w:szCs w:val="24"/>
        </w:rPr>
        <w:t>States Grants Act</w:t>
      </w:r>
      <w:r w:rsidR="006040C1" w:rsidRPr="00F63C29">
        <w:rPr>
          <w:sz w:val="24"/>
          <w:szCs w:val="24"/>
        </w:rPr>
        <w:t xml:space="preserve"> 1974.</w:t>
      </w:r>
    </w:p>
    <w:p w14:paraId="67980B38" w14:textId="54358DC9" w:rsidR="007530F4" w:rsidRPr="00F63C29" w:rsidRDefault="00F63C29" w:rsidP="003C017B">
      <w:pPr>
        <w:pStyle w:val="BodyText1"/>
        <w:spacing w:after="120"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6040C1" w:rsidRPr="00F63C29">
        <w:rPr>
          <w:sz w:val="24"/>
          <w:szCs w:val="24"/>
        </w:rPr>
        <w:t xml:space="preserve">The </w:t>
      </w:r>
      <w:r w:rsidR="006040C1" w:rsidRPr="00F63C29">
        <w:rPr>
          <w:rStyle w:val="BodytextItalic"/>
          <w:sz w:val="24"/>
          <w:szCs w:val="24"/>
        </w:rPr>
        <w:t>States Grants Act</w:t>
      </w:r>
      <w:r w:rsidR="006040C1" w:rsidRPr="00F63C29">
        <w:rPr>
          <w:sz w:val="24"/>
          <w:szCs w:val="24"/>
        </w:rPr>
        <w:t xml:space="preserve"> 1973 is in this Act referred to as the Principal Act.</w:t>
      </w:r>
    </w:p>
    <w:p w14:paraId="4EF341E7" w14:textId="77777777" w:rsidR="007530F4" w:rsidRPr="00F63C29" w:rsidRDefault="00F63C29" w:rsidP="003C017B">
      <w:pPr>
        <w:pStyle w:val="BodyText1"/>
        <w:spacing w:after="120"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6040C1" w:rsidRPr="00F63C29">
        <w:rPr>
          <w:sz w:val="24"/>
          <w:szCs w:val="24"/>
        </w:rPr>
        <w:t xml:space="preserve">The </w:t>
      </w:r>
      <w:r w:rsidR="006040C1" w:rsidRPr="00F63C29">
        <w:rPr>
          <w:rStyle w:val="BodytextItalic"/>
          <w:sz w:val="24"/>
          <w:szCs w:val="24"/>
        </w:rPr>
        <w:t>States Grants Act</w:t>
      </w:r>
      <w:r w:rsidR="006040C1" w:rsidRPr="00F63C29">
        <w:rPr>
          <w:sz w:val="24"/>
          <w:szCs w:val="24"/>
        </w:rPr>
        <w:t xml:space="preserve"> 1973, as amended by this Act, may be cited as the </w:t>
      </w:r>
      <w:r w:rsidR="006040C1" w:rsidRPr="00F63C29">
        <w:rPr>
          <w:rStyle w:val="BodytextItalic"/>
          <w:sz w:val="24"/>
          <w:szCs w:val="24"/>
        </w:rPr>
        <w:t>States Grants Act</w:t>
      </w:r>
      <w:r w:rsidR="006040C1" w:rsidRPr="00F63C29">
        <w:rPr>
          <w:sz w:val="24"/>
          <w:szCs w:val="24"/>
        </w:rPr>
        <w:t xml:space="preserve"> 1973-1974.</w:t>
      </w:r>
    </w:p>
    <w:p w14:paraId="65341D99" w14:textId="77777777" w:rsidR="00F63C29" w:rsidRPr="008D4A26" w:rsidRDefault="00F63C29" w:rsidP="00F63C29">
      <w:pPr>
        <w:pStyle w:val="BodyText1"/>
        <w:spacing w:before="120" w:after="60" w:line="240" w:lineRule="auto"/>
        <w:rPr>
          <w:b/>
          <w:szCs w:val="24"/>
        </w:rPr>
      </w:pPr>
      <w:r w:rsidRPr="008D4A26">
        <w:rPr>
          <w:b/>
          <w:sz w:val="20"/>
        </w:rPr>
        <w:t>Commencement</w:t>
      </w:r>
    </w:p>
    <w:p w14:paraId="1B6058E4" w14:textId="791A619E" w:rsidR="00191E87" w:rsidRDefault="00F63C29" w:rsidP="00191E87">
      <w:pPr>
        <w:pStyle w:val="BodyText1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F63C2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6040C1" w:rsidRPr="00F63C29">
        <w:rPr>
          <w:sz w:val="24"/>
          <w:szCs w:val="24"/>
        </w:rPr>
        <w:t>This Act shall come into operation on the day on which it receives the Royal Assent.</w:t>
      </w:r>
    </w:p>
    <w:p w14:paraId="5A3EE24B" w14:textId="77777777" w:rsidR="003F798B" w:rsidRPr="008D4A26" w:rsidRDefault="003F798B" w:rsidP="003F798B">
      <w:pPr>
        <w:pStyle w:val="BodyText1"/>
        <w:spacing w:before="120" w:after="60" w:line="240" w:lineRule="auto"/>
        <w:rPr>
          <w:b/>
          <w:sz w:val="20"/>
        </w:rPr>
      </w:pPr>
      <w:r w:rsidRPr="008D4A26">
        <w:rPr>
          <w:b/>
          <w:sz w:val="20"/>
        </w:rPr>
        <w:t>Grants to states.</w:t>
      </w:r>
    </w:p>
    <w:p w14:paraId="397C2B51" w14:textId="0F1EAED2" w:rsidR="007530F4" w:rsidRPr="00F63C29" w:rsidRDefault="00191E87" w:rsidP="00191E87">
      <w:pPr>
        <w:pStyle w:val="BodyText1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191E8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="006040C1" w:rsidRPr="00F63C29">
        <w:rPr>
          <w:sz w:val="24"/>
          <w:szCs w:val="24"/>
        </w:rPr>
        <w:t>Section 6 of the Principal Act is amended by omitting from sub-section (1) the word and figure “section 7”, and substituting the words a</w:t>
      </w:r>
      <w:r w:rsidR="003F798B">
        <w:rPr>
          <w:sz w:val="24"/>
          <w:szCs w:val="24"/>
        </w:rPr>
        <w:t>nd figures “sections 6</w:t>
      </w:r>
      <w:r w:rsidR="00B346F5">
        <w:rPr>
          <w:smallCaps/>
          <w:sz w:val="24"/>
          <w:szCs w:val="24"/>
        </w:rPr>
        <w:t>a</w:t>
      </w:r>
      <w:r w:rsidR="003F798B">
        <w:rPr>
          <w:sz w:val="24"/>
          <w:szCs w:val="24"/>
        </w:rPr>
        <w:t xml:space="preserve"> and 7 ”</w:t>
      </w:r>
    </w:p>
    <w:p w14:paraId="6B96949F" w14:textId="77777777" w:rsidR="007530F4" w:rsidRPr="00F63C29" w:rsidRDefault="00191E87" w:rsidP="00191E87">
      <w:pPr>
        <w:pStyle w:val="BodyText1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191E8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="006040C1" w:rsidRPr="00F63C29">
        <w:rPr>
          <w:sz w:val="24"/>
          <w:szCs w:val="24"/>
        </w:rPr>
        <w:t>After section 6 of the Principal Act the following section is inserted: —</w:t>
      </w:r>
    </w:p>
    <w:p w14:paraId="0AD07B92" w14:textId="77777777" w:rsidR="003F798B" w:rsidRPr="008D4A26" w:rsidRDefault="003F798B" w:rsidP="003F798B">
      <w:pPr>
        <w:pStyle w:val="BodyText1"/>
        <w:spacing w:before="120" w:after="60" w:line="240" w:lineRule="auto"/>
        <w:rPr>
          <w:b/>
          <w:smallCaps/>
          <w:sz w:val="20"/>
        </w:rPr>
      </w:pPr>
      <w:r w:rsidRPr="008D4A26">
        <w:rPr>
          <w:b/>
          <w:sz w:val="20"/>
        </w:rPr>
        <w:t xml:space="preserve">Additional Grants to Tasmania. </w:t>
      </w:r>
    </w:p>
    <w:p w14:paraId="7B21416A" w14:textId="77777777" w:rsidR="007530F4" w:rsidRPr="00F63C29" w:rsidRDefault="006040C1" w:rsidP="00191E87">
      <w:pPr>
        <w:pStyle w:val="BodyText1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F63C29">
        <w:rPr>
          <w:rStyle w:val="Bodytext8pt1"/>
          <w:sz w:val="24"/>
          <w:szCs w:val="24"/>
        </w:rPr>
        <w:t xml:space="preserve">“6a. </w:t>
      </w:r>
      <w:r w:rsidRPr="00F63C29">
        <w:rPr>
          <w:sz w:val="24"/>
          <w:szCs w:val="24"/>
        </w:rPr>
        <w:t>(1) There is payable to the State of Tasmania, during the year commencing on 1 July 1974, in addition to the amount payable to that State during that year under section 6, an amount of $15,000,000.</w:t>
      </w:r>
    </w:p>
    <w:p w14:paraId="45D7743F" w14:textId="0F82B938" w:rsidR="00191E87" w:rsidRDefault="006040C1" w:rsidP="00191E87">
      <w:pPr>
        <w:pStyle w:val="BodyText1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F63C29">
        <w:rPr>
          <w:sz w:val="24"/>
          <w:szCs w:val="24"/>
        </w:rPr>
        <w:t>“(2) For the purpose of ascertaining the amount of the grant to be paid under section 6 to the State of Tasmania during the year commencing on 1 July 1975 and during each succeeding year, the amount of the grant paid to that State under section 6 during the year that commenced on 1 July 1974 shall be deemed to be an amount equal to the sum of the amount so paid and the amount paid under sub-section (1) of this section.”</w:t>
      </w:r>
    </w:p>
    <w:p w14:paraId="75936EB9" w14:textId="77777777" w:rsidR="00191E87" w:rsidRDefault="00191E87" w:rsidP="00191E87">
      <w:pPr>
        <w:pBdr>
          <w:bottom w:val="single" w:sz="12" w:space="1" w:color="auto"/>
        </w:pBdr>
      </w:pPr>
    </w:p>
    <w:p w14:paraId="340BA73E" w14:textId="77777777" w:rsidR="003F798B" w:rsidRDefault="003F798B" w:rsidP="003F798B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</w:p>
    <w:sectPr w:rsidR="003F798B" w:rsidSect="00F63C29">
      <w:type w:val="continuous"/>
      <w:pgSz w:w="11909" w:h="18000"/>
      <w:pgMar w:top="1080" w:right="1080" w:bottom="108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94E57" w14:textId="77777777" w:rsidR="00F034BA" w:rsidRDefault="00F034BA">
      <w:r>
        <w:separator/>
      </w:r>
    </w:p>
  </w:endnote>
  <w:endnote w:type="continuationSeparator" w:id="0">
    <w:p w14:paraId="51C9280A" w14:textId="77777777" w:rsidR="00F034BA" w:rsidRDefault="00F0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0064F" w14:textId="77777777" w:rsidR="00F034BA" w:rsidRDefault="00F034BA">
      <w:r>
        <w:separator/>
      </w:r>
    </w:p>
  </w:footnote>
  <w:footnote w:type="continuationSeparator" w:id="0">
    <w:p w14:paraId="0EDC726D" w14:textId="77777777" w:rsidR="00F034BA" w:rsidRDefault="00F0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2DA0"/>
    <w:multiLevelType w:val="multilevel"/>
    <w:tmpl w:val="076408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4D4D2B"/>
    <w:multiLevelType w:val="multilevel"/>
    <w:tmpl w:val="3E247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F4"/>
    <w:rsid w:val="00027EFC"/>
    <w:rsid w:val="00191E87"/>
    <w:rsid w:val="00195CA9"/>
    <w:rsid w:val="003C017B"/>
    <w:rsid w:val="003F798B"/>
    <w:rsid w:val="006040C1"/>
    <w:rsid w:val="007530F4"/>
    <w:rsid w:val="00850FF2"/>
    <w:rsid w:val="008D4A26"/>
    <w:rsid w:val="008F25A6"/>
    <w:rsid w:val="00950179"/>
    <w:rsid w:val="00B24147"/>
    <w:rsid w:val="00B346F5"/>
    <w:rsid w:val="00BC68C4"/>
    <w:rsid w:val="00C83208"/>
    <w:rsid w:val="00F034BA"/>
    <w:rsid w:val="00F6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C0C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ArialUnicodeMS">
    <w:name w:val="Body text + Arial Unicode MS"/>
    <w:aliases w:val="16.5 pt"/>
    <w:basedOn w:val="Bodytex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Bodytext8pt1">
    <w:name w:val="Body text + 8 pt1"/>
    <w:aliases w:val="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Spacing-1pt">
    <w:name w:val="Body text + Spacing -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/>
    </w:rPr>
  </w:style>
  <w:style w:type="paragraph" w:customStyle="1" w:styleId="Footnote20">
    <w:name w:val="Footnote (2)"/>
    <w:basedOn w:val="Normal"/>
    <w:link w:val="Footnote2"/>
    <w:pPr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0">
    <w:name w:val="Footnote"/>
    <w:basedOn w:val="Normal"/>
    <w:link w:val="Footnote"/>
    <w:pPr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Arial Unicode MS" w:eastAsia="Arial Unicode MS" w:hAnsi="Arial Unicode MS" w:cs="Arial Unicode MS"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outlineLvl w:val="1"/>
    </w:pPr>
    <w:rPr>
      <w:rFonts w:ascii="Arial Unicode MS" w:eastAsia="Arial Unicode MS" w:hAnsi="Arial Unicode MS" w:cs="Arial Unicode MS"/>
      <w:sz w:val="27"/>
      <w:szCs w:val="27"/>
    </w:rPr>
  </w:style>
  <w:style w:type="paragraph" w:customStyle="1" w:styleId="BodyText1">
    <w:name w:val="Body Text1"/>
    <w:basedOn w:val="Normal"/>
    <w:link w:val="Bodytext"/>
    <w:pPr>
      <w:spacing w:line="24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CA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CA9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A9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346F5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ArialUnicodeMS">
    <w:name w:val="Body text + Arial Unicode MS"/>
    <w:aliases w:val="16.5 pt"/>
    <w:basedOn w:val="Bodytex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Bodytext8pt1">
    <w:name w:val="Body text + 8 pt1"/>
    <w:aliases w:val="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Spacing-1pt">
    <w:name w:val="Body text + Spacing -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/>
    </w:rPr>
  </w:style>
  <w:style w:type="paragraph" w:customStyle="1" w:styleId="Footnote20">
    <w:name w:val="Footnote (2)"/>
    <w:basedOn w:val="Normal"/>
    <w:link w:val="Footnote2"/>
    <w:pPr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0">
    <w:name w:val="Footnote"/>
    <w:basedOn w:val="Normal"/>
    <w:link w:val="Footnote"/>
    <w:pPr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Arial Unicode MS" w:eastAsia="Arial Unicode MS" w:hAnsi="Arial Unicode MS" w:cs="Arial Unicode MS"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outlineLvl w:val="1"/>
    </w:pPr>
    <w:rPr>
      <w:rFonts w:ascii="Arial Unicode MS" w:eastAsia="Arial Unicode MS" w:hAnsi="Arial Unicode MS" w:cs="Arial Unicode MS"/>
      <w:sz w:val="27"/>
      <w:szCs w:val="27"/>
    </w:rPr>
  </w:style>
  <w:style w:type="paragraph" w:customStyle="1" w:styleId="BodyText1">
    <w:name w:val="Body Text1"/>
    <w:basedOn w:val="Normal"/>
    <w:link w:val="Bodytext"/>
    <w:pPr>
      <w:spacing w:line="24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CA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CA9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A9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346F5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1</cp:revision>
  <dcterms:created xsi:type="dcterms:W3CDTF">2018-09-17T19:14:00Z</dcterms:created>
  <dcterms:modified xsi:type="dcterms:W3CDTF">2019-06-23T21:34:00Z</dcterms:modified>
</cp:coreProperties>
</file>