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B1917" w14:textId="77777777" w:rsidR="00BA230F" w:rsidRPr="002B2E50" w:rsidRDefault="00921F49" w:rsidP="002B2E50">
      <w:pPr>
        <w:spacing w:after="160"/>
        <w:jc w:val="center"/>
        <w:rPr>
          <w:rFonts w:ascii="Times New Roman" w:hAnsi="Times New Roman" w:cs="Times New Roman"/>
          <w:b/>
          <w:sz w:val="32"/>
          <w:szCs w:val="32"/>
        </w:rPr>
      </w:pPr>
      <w:bookmarkStart w:id="0" w:name="bookmark0"/>
      <w:r w:rsidRPr="002B2E50">
        <w:rPr>
          <w:rFonts w:ascii="Times New Roman" w:hAnsi="Times New Roman" w:cs="Times New Roman"/>
          <w:b/>
          <w:sz w:val="32"/>
          <w:szCs w:val="32"/>
        </w:rPr>
        <w:t>PAPUA NEW GUINEA ACT (No. 2) 1974</w:t>
      </w:r>
      <w:bookmarkEnd w:id="0"/>
    </w:p>
    <w:p w14:paraId="53DE4AB7" w14:textId="77777777" w:rsidR="00BA230F" w:rsidRPr="002B2E50" w:rsidRDefault="00921F49" w:rsidP="002B2E50">
      <w:pPr>
        <w:spacing w:after="240"/>
        <w:jc w:val="center"/>
        <w:rPr>
          <w:rFonts w:ascii="Times New Roman" w:hAnsi="Times New Roman" w:cs="Times New Roman"/>
          <w:b/>
          <w:sz w:val="28"/>
          <w:szCs w:val="28"/>
        </w:rPr>
      </w:pPr>
      <w:bookmarkStart w:id="1" w:name="bookmark1"/>
      <w:r w:rsidRPr="002B2E50">
        <w:rPr>
          <w:rFonts w:ascii="Times New Roman" w:hAnsi="Times New Roman" w:cs="Times New Roman"/>
          <w:b/>
          <w:sz w:val="28"/>
          <w:szCs w:val="28"/>
        </w:rPr>
        <w:t>No. 161 of 1974</w:t>
      </w:r>
      <w:bookmarkEnd w:id="1"/>
    </w:p>
    <w:p w14:paraId="11E533A3" w14:textId="77777777" w:rsidR="00BA230F" w:rsidRPr="002B2E50" w:rsidRDefault="00921F49" w:rsidP="002B2E50">
      <w:pPr>
        <w:pStyle w:val="Bodytext20"/>
        <w:spacing w:after="240" w:line="240" w:lineRule="auto"/>
        <w:jc w:val="center"/>
        <w:rPr>
          <w:sz w:val="24"/>
          <w:szCs w:val="24"/>
        </w:rPr>
      </w:pPr>
      <w:r w:rsidRPr="002B2E50">
        <w:rPr>
          <w:rStyle w:val="Bodytext2105pt"/>
          <w:sz w:val="24"/>
          <w:szCs w:val="24"/>
        </w:rPr>
        <w:t>An Act relating to Papua New Guinea.</w:t>
      </w:r>
    </w:p>
    <w:p w14:paraId="20FAAFEF" w14:textId="77777777" w:rsidR="00BA230F" w:rsidRPr="002B2E50" w:rsidRDefault="00921F49" w:rsidP="002B2E50">
      <w:pPr>
        <w:pStyle w:val="Bodytext20"/>
        <w:spacing w:line="240" w:lineRule="auto"/>
        <w:ind w:firstLine="270"/>
        <w:rPr>
          <w:sz w:val="24"/>
          <w:szCs w:val="24"/>
        </w:rPr>
      </w:pPr>
      <w:r w:rsidRPr="002B2E50">
        <w:rPr>
          <w:rStyle w:val="Bodytext2105pt"/>
          <w:sz w:val="24"/>
          <w:szCs w:val="24"/>
        </w:rPr>
        <w:t>BE IT ENACTED by the Queen, the Senate and the House of Representatives of Australia, as follows: —</w:t>
      </w:r>
    </w:p>
    <w:p w14:paraId="4C3C34BF" w14:textId="77777777" w:rsidR="00BA230F" w:rsidRPr="002B2E50" w:rsidRDefault="00921F49" w:rsidP="002B2E50">
      <w:pPr>
        <w:pStyle w:val="BodyText1"/>
        <w:spacing w:before="120" w:after="60" w:line="240" w:lineRule="auto"/>
        <w:ind w:firstLine="0"/>
        <w:jc w:val="both"/>
        <w:rPr>
          <w:b/>
          <w:sz w:val="20"/>
          <w:szCs w:val="20"/>
        </w:rPr>
      </w:pPr>
      <w:r w:rsidRPr="002B2E50">
        <w:rPr>
          <w:rStyle w:val="Bodytext8pt"/>
          <w:b/>
          <w:sz w:val="20"/>
          <w:szCs w:val="20"/>
        </w:rPr>
        <w:t>Short title and citation.</w:t>
      </w:r>
    </w:p>
    <w:p w14:paraId="3CC063D2" w14:textId="5E33889E" w:rsidR="00BA230F" w:rsidRPr="002B2E50" w:rsidRDefault="002B2E50" w:rsidP="002B2E50">
      <w:pPr>
        <w:pStyle w:val="Bodytext20"/>
        <w:tabs>
          <w:tab w:val="left" w:pos="630"/>
        </w:tabs>
        <w:spacing w:after="60" w:line="240" w:lineRule="auto"/>
        <w:ind w:firstLine="274"/>
        <w:rPr>
          <w:sz w:val="24"/>
          <w:szCs w:val="24"/>
        </w:rPr>
      </w:pPr>
      <w:r w:rsidRPr="002B2E50">
        <w:rPr>
          <w:rStyle w:val="Bodytext2105pt"/>
          <w:b/>
          <w:sz w:val="24"/>
          <w:szCs w:val="24"/>
        </w:rPr>
        <w:t>1.</w:t>
      </w:r>
      <w:r>
        <w:rPr>
          <w:rStyle w:val="Bodytext2105pt"/>
          <w:b/>
          <w:sz w:val="24"/>
          <w:szCs w:val="24"/>
        </w:rPr>
        <w:tab/>
      </w:r>
      <w:r w:rsidR="00921F49" w:rsidRPr="002B2E50">
        <w:rPr>
          <w:rStyle w:val="Bodytext2105pt"/>
          <w:sz w:val="24"/>
          <w:szCs w:val="24"/>
        </w:rPr>
        <w:t xml:space="preserve">(1) This Act may be cited as the </w:t>
      </w:r>
      <w:r w:rsidR="00921F49" w:rsidRPr="002B2E50">
        <w:rPr>
          <w:rStyle w:val="Bodytext2105pt0"/>
          <w:sz w:val="24"/>
          <w:szCs w:val="24"/>
        </w:rPr>
        <w:t xml:space="preserve">Papua New Guinea Act (No. </w:t>
      </w:r>
      <w:r w:rsidR="00921F49" w:rsidRPr="00084929">
        <w:rPr>
          <w:rStyle w:val="Bodytext2105pt0"/>
          <w:i w:val="0"/>
          <w:sz w:val="24"/>
          <w:szCs w:val="24"/>
        </w:rPr>
        <w:t>2</w:t>
      </w:r>
      <w:r w:rsidR="00921F49" w:rsidRPr="002B2E50">
        <w:rPr>
          <w:rStyle w:val="Bodytext2105pt0"/>
          <w:sz w:val="24"/>
          <w:szCs w:val="24"/>
        </w:rPr>
        <w:t xml:space="preserve">) </w:t>
      </w:r>
      <w:r w:rsidR="00921F49" w:rsidRPr="002B2E50">
        <w:rPr>
          <w:rStyle w:val="Bodytext2105pt"/>
          <w:sz w:val="24"/>
          <w:szCs w:val="24"/>
        </w:rPr>
        <w:t>1974.</w:t>
      </w:r>
    </w:p>
    <w:p w14:paraId="3BC2405D" w14:textId="2C4B1691" w:rsidR="00BA230F" w:rsidRPr="002B2E50" w:rsidRDefault="002B2E50" w:rsidP="002B2E50">
      <w:pPr>
        <w:pStyle w:val="Bodytext20"/>
        <w:spacing w:after="60" w:line="240" w:lineRule="auto"/>
        <w:ind w:firstLine="274"/>
        <w:rPr>
          <w:sz w:val="24"/>
          <w:szCs w:val="24"/>
        </w:rPr>
      </w:pPr>
      <w:r>
        <w:rPr>
          <w:rStyle w:val="Bodytext2105pt"/>
          <w:sz w:val="24"/>
          <w:szCs w:val="24"/>
        </w:rPr>
        <w:t xml:space="preserve">(2) </w:t>
      </w:r>
      <w:r w:rsidR="00921F49" w:rsidRPr="002B2E50">
        <w:rPr>
          <w:rStyle w:val="Bodytext2105pt"/>
          <w:sz w:val="24"/>
          <w:szCs w:val="24"/>
        </w:rPr>
        <w:t xml:space="preserve">The </w:t>
      </w:r>
      <w:r w:rsidR="00921F49" w:rsidRPr="002B2E50">
        <w:rPr>
          <w:rStyle w:val="Bodytext2105pt0"/>
          <w:sz w:val="24"/>
          <w:szCs w:val="24"/>
        </w:rPr>
        <w:t>Papua New Guinea Act</w:t>
      </w:r>
      <w:r w:rsidR="00921F49" w:rsidRPr="002B2E50">
        <w:rPr>
          <w:rStyle w:val="Bodytext2105pt"/>
          <w:sz w:val="24"/>
          <w:szCs w:val="24"/>
        </w:rPr>
        <w:t xml:space="preserve"> 1949-1973, as amended by the </w:t>
      </w:r>
      <w:r w:rsidR="00921F49" w:rsidRPr="002B2E50">
        <w:rPr>
          <w:rStyle w:val="Bodytext2105pt0"/>
          <w:sz w:val="24"/>
          <w:szCs w:val="24"/>
        </w:rPr>
        <w:t>Papua New Guinea Act</w:t>
      </w:r>
      <w:r w:rsidR="00921F49" w:rsidRPr="002B2E50">
        <w:rPr>
          <w:rStyle w:val="Bodytext2105pt"/>
          <w:sz w:val="24"/>
          <w:szCs w:val="24"/>
        </w:rPr>
        <w:t xml:space="preserve"> 1974, is in this Act referred to as the Principal Act.</w:t>
      </w:r>
    </w:p>
    <w:p w14:paraId="262BF7CB" w14:textId="77777777" w:rsidR="00BA230F" w:rsidRPr="002B2E50" w:rsidRDefault="002B2E50" w:rsidP="002B2E50">
      <w:pPr>
        <w:pStyle w:val="Bodytext20"/>
        <w:spacing w:after="60" w:line="240" w:lineRule="auto"/>
        <w:ind w:firstLine="274"/>
        <w:rPr>
          <w:sz w:val="24"/>
          <w:szCs w:val="24"/>
        </w:rPr>
      </w:pPr>
      <w:r>
        <w:rPr>
          <w:rStyle w:val="Bodytext2105pt"/>
          <w:sz w:val="24"/>
          <w:szCs w:val="24"/>
        </w:rPr>
        <w:t xml:space="preserve">(3) </w:t>
      </w:r>
      <w:r w:rsidR="00921F49" w:rsidRPr="002B2E50">
        <w:rPr>
          <w:rStyle w:val="Bodytext2105pt"/>
          <w:sz w:val="24"/>
          <w:szCs w:val="24"/>
        </w:rPr>
        <w:t xml:space="preserve">Section 1 of the </w:t>
      </w:r>
      <w:r w:rsidR="00921F49" w:rsidRPr="002B2E50">
        <w:rPr>
          <w:rStyle w:val="Bodytext2105pt0"/>
          <w:sz w:val="24"/>
          <w:szCs w:val="24"/>
        </w:rPr>
        <w:t>Papua New Guinea Act</w:t>
      </w:r>
      <w:r w:rsidR="00921F49" w:rsidRPr="002B2E50">
        <w:rPr>
          <w:rStyle w:val="Bodytext2105pt"/>
          <w:sz w:val="24"/>
          <w:szCs w:val="24"/>
        </w:rPr>
        <w:t xml:space="preserve"> 1974 is amended by omitting sub-section (2).</w:t>
      </w:r>
    </w:p>
    <w:p w14:paraId="7FCDEF93" w14:textId="5E92E414" w:rsidR="00BA230F" w:rsidRPr="002B2E50" w:rsidRDefault="002B2E50" w:rsidP="002B2E50">
      <w:pPr>
        <w:pStyle w:val="Bodytext20"/>
        <w:spacing w:after="60" w:line="240" w:lineRule="auto"/>
        <w:ind w:firstLine="274"/>
        <w:rPr>
          <w:sz w:val="24"/>
          <w:szCs w:val="24"/>
        </w:rPr>
      </w:pPr>
      <w:r>
        <w:rPr>
          <w:rStyle w:val="Bodytext2105pt"/>
          <w:sz w:val="24"/>
          <w:szCs w:val="24"/>
        </w:rPr>
        <w:t xml:space="preserve">(4) </w:t>
      </w:r>
      <w:r w:rsidR="00921F49" w:rsidRPr="002B2E50">
        <w:rPr>
          <w:rStyle w:val="Bodytext2105pt"/>
          <w:sz w:val="24"/>
          <w:szCs w:val="24"/>
        </w:rPr>
        <w:t xml:space="preserve">The Principal Act, as amended by this Act, may be cited as the </w:t>
      </w:r>
      <w:r w:rsidR="00921F49" w:rsidRPr="002B2E50">
        <w:rPr>
          <w:rStyle w:val="Bodytext2105pt0"/>
          <w:sz w:val="24"/>
          <w:szCs w:val="24"/>
        </w:rPr>
        <w:t xml:space="preserve">Papua New Guinea Act </w:t>
      </w:r>
      <w:r w:rsidR="00921F49" w:rsidRPr="00084929">
        <w:rPr>
          <w:rStyle w:val="Bodytext2105pt0"/>
          <w:i w:val="0"/>
          <w:sz w:val="24"/>
          <w:szCs w:val="24"/>
        </w:rPr>
        <w:t>1</w:t>
      </w:r>
      <w:r w:rsidR="00921F49" w:rsidRPr="002B2E50">
        <w:rPr>
          <w:rStyle w:val="Bodytext2105pt"/>
          <w:sz w:val="24"/>
          <w:szCs w:val="24"/>
        </w:rPr>
        <w:t>949-1974.</w:t>
      </w:r>
    </w:p>
    <w:p w14:paraId="1A6CC986" w14:textId="77777777" w:rsidR="00BA230F" w:rsidRPr="002B2E50" w:rsidRDefault="002B2E50" w:rsidP="002B2E50">
      <w:pPr>
        <w:pStyle w:val="BodyText1"/>
        <w:spacing w:before="120" w:after="60" w:line="240" w:lineRule="auto"/>
        <w:ind w:firstLine="0"/>
        <w:jc w:val="both"/>
        <w:rPr>
          <w:b/>
          <w:sz w:val="20"/>
          <w:szCs w:val="20"/>
        </w:rPr>
      </w:pPr>
      <w:r w:rsidRPr="002B2E50">
        <w:rPr>
          <w:rStyle w:val="Bodytext8pt"/>
          <w:b/>
          <w:sz w:val="20"/>
          <w:szCs w:val="20"/>
        </w:rPr>
        <w:t>Commence</w:t>
      </w:r>
      <w:r w:rsidR="00921F49" w:rsidRPr="002B2E50">
        <w:rPr>
          <w:rStyle w:val="Bodytext8pt"/>
          <w:b/>
          <w:sz w:val="20"/>
          <w:szCs w:val="20"/>
        </w:rPr>
        <w:t>ment.</w:t>
      </w:r>
    </w:p>
    <w:p w14:paraId="5A7BDB8A" w14:textId="10AE9829" w:rsidR="00BA230F" w:rsidRPr="002B2E50" w:rsidRDefault="002B2E50" w:rsidP="002B2E50">
      <w:pPr>
        <w:pStyle w:val="Bodytext20"/>
        <w:spacing w:after="60" w:line="240" w:lineRule="auto"/>
        <w:ind w:firstLine="274"/>
        <w:rPr>
          <w:sz w:val="24"/>
          <w:szCs w:val="24"/>
        </w:rPr>
      </w:pPr>
      <w:r w:rsidRPr="002B2E50">
        <w:rPr>
          <w:rStyle w:val="Bodytext2105pt"/>
          <w:b/>
          <w:sz w:val="24"/>
          <w:szCs w:val="24"/>
        </w:rPr>
        <w:t>2.</w:t>
      </w:r>
      <w:r>
        <w:rPr>
          <w:rStyle w:val="Bodytext2105pt"/>
          <w:b/>
          <w:sz w:val="24"/>
          <w:szCs w:val="24"/>
        </w:rPr>
        <w:t xml:space="preserve"> </w:t>
      </w:r>
      <w:r w:rsidR="00921F49" w:rsidRPr="002B2E50">
        <w:rPr>
          <w:rStyle w:val="Bodytext2105pt"/>
          <w:sz w:val="24"/>
          <w:szCs w:val="24"/>
        </w:rPr>
        <w:t xml:space="preserve">(1) Sections 1, 2 and 11 shall come into operation on the </w:t>
      </w:r>
      <w:bookmarkStart w:id="2" w:name="_GoBack"/>
      <w:bookmarkEnd w:id="2"/>
      <w:r w:rsidR="00921F49" w:rsidRPr="002B2E50">
        <w:rPr>
          <w:rStyle w:val="Bodytext2105pt"/>
          <w:sz w:val="24"/>
          <w:szCs w:val="24"/>
        </w:rPr>
        <w:t>date on which this Act receives the Royal Assent.</w:t>
      </w:r>
    </w:p>
    <w:p w14:paraId="5CA2305F" w14:textId="77777777" w:rsidR="00BA230F" w:rsidRPr="002B2E50" w:rsidRDefault="002B2E50" w:rsidP="002A4146">
      <w:pPr>
        <w:pStyle w:val="Bodytext20"/>
        <w:spacing w:after="60" w:line="240" w:lineRule="auto"/>
        <w:ind w:firstLine="270"/>
        <w:rPr>
          <w:sz w:val="24"/>
          <w:szCs w:val="24"/>
        </w:rPr>
      </w:pPr>
      <w:r>
        <w:rPr>
          <w:rStyle w:val="Bodytext2105pt"/>
          <w:sz w:val="24"/>
          <w:szCs w:val="24"/>
        </w:rPr>
        <w:t xml:space="preserve">(2) </w:t>
      </w:r>
      <w:r w:rsidR="00921F49" w:rsidRPr="002B2E50">
        <w:rPr>
          <w:rStyle w:val="Bodytext2105pt"/>
          <w:sz w:val="24"/>
          <w:szCs w:val="24"/>
        </w:rPr>
        <w:t>Sections 4 to 10 (inclusive) shall come into operation on a date to be fixed by Proclamation.</w:t>
      </w:r>
    </w:p>
    <w:p w14:paraId="55269449" w14:textId="77777777" w:rsidR="00BA230F" w:rsidRPr="002B2E50" w:rsidRDefault="002B2E50" w:rsidP="002A4146">
      <w:pPr>
        <w:pStyle w:val="Bodytext20"/>
        <w:spacing w:after="60" w:line="240" w:lineRule="auto"/>
        <w:ind w:firstLine="270"/>
        <w:rPr>
          <w:sz w:val="24"/>
          <w:szCs w:val="24"/>
        </w:rPr>
      </w:pPr>
      <w:r>
        <w:rPr>
          <w:rStyle w:val="Bodytext2105pt"/>
          <w:sz w:val="24"/>
          <w:szCs w:val="24"/>
        </w:rPr>
        <w:t xml:space="preserve">(3) </w:t>
      </w:r>
      <w:r w:rsidR="00921F49" w:rsidRPr="002B2E50">
        <w:rPr>
          <w:rStyle w:val="Bodytext2105pt"/>
          <w:sz w:val="24"/>
          <w:szCs w:val="24"/>
        </w:rPr>
        <w:t>Section 3 shall come into operation on a date to be fixed by Proclamation.</w:t>
      </w:r>
    </w:p>
    <w:p w14:paraId="4413A450" w14:textId="77777777" w:rsidR="00BA230F" w:rsidRPr="002A4146" w:rsidRDefault="002B2E50" w:rsidP="002A4146">
      <w:pPr>
        <w:pStyle w:val="BodyText1"/>
        <w:spacing w:before="120" w:after="60" w:line="240" w:lineRule="auto"/>
        <w:ind w:firstLine="0"/>
        <w:jc w:val="both"/>
        <w:rPr>
          <w:b/>
          <w:sz w:val="20"/>
          <w:szCs w:val="20"/>
        </w:rPr>
      </w:pPr>
      <w:r w:rsidRPr="002A4146">
        <w:rPr>
          <w:rStyle w:val="Bodytext8pt"/>
          <w:b/>
          <w:sz w:val="20"/>
          <w:szCs w:val="20"/>
        </w:rPr>
        <w:t>Interpret</w:t>
      </w:r>
      <w:r w:rsidR="00921F49" w:rsidRPr="002A4146">
        <w:rPr>
          <w:rStyle w:val="Bodytext8pt"/>
          <w:b/>
          <w:sz w:val="20"/>
          <w:szCs w:val="20"/>
        </w:rPr>
        <w:t>ation.</w:t>
      </w:r>
    </w:p>
    <w:p w14:paraId="40936B34" w14:textId="79C188EB" w:rsidR="00BA230F" w:rsidRPr="002B2E50" w:rsidRDefault="002B2E50" w:rsidP="002A4146">
      <w:pPr>
        <w:pStyle w:val="Bodytext20"/>
        <w:tabs>
          <w:tab w:val="left" w:pos="630"/>
        </w:tabs>
        <w:spacing w:after="60" w:line="240" w:lineRule="auto"/>
        <w:ind w:firstLine="274"/>
        <w:rPr>
          <w:sz w:val="24"/>
          <w:szCs w:val="24"/>
        </w:rPr>
      </w:pPr>
      <w:r w:rsidRPr="002B2E50">
        <w:rPr>
          <w:rStyle w:val="Bodytext2105pt"/>
          <w:b/>
          <w:sz w:val="24"/>
          <w:szCs w:val="24"/>
        </w:rPr>
        <w:t>3.</w:t>
      </w:r>
      <w:r w:rsidR="002A4146">
        <w:rPr>
          <w:rStyle w:val="Bodytext2105pt"/>
          <w:b/>
          <w:sz w:val="24"/>
          <w:szCs w:val="24"/>
        </w:rPr>
        <w:tab/>
      </w:r>
      <w:r w:rsidR="00921F49" w:rsidRPr="002B2E50">
        <w:rPr>
          <w:rStyle w:val="Bodytext2105pt"/>
          <w:sz w:val="24"/>
          <w:szCs w:val="24"/>
        </w:rPr>
        <w:t>Section 5 of the Principal Act is amended by omitting paragraphs</w:t>
      </w:r>
      <w:r>
        <w:rPr>
          <w:sz w:val="24"/>
          <w:szCs w:val="24"/>
        </w:rPr>
        <w:t xml:space="preserve"> </w:t>
      </w:r>
      <w:r>
        <w:rPr>
          <w:rStyle w:val="Bodytext2105pt"/>
          <w:sz w:val="24"/>
          <w:szCs w:val="24"/>
        </w:rPr>
        <w:t xml:space="preserve">(a) </w:t>
      </w:r>
      <w:r w:rsidR="00084929">
        <w:rPr>
          <w:rStyle w:val="Bodytext2105pt"/>
          <w:sz w:val="24"/>
          <w:szCs w:val="24"/>
        </w:rPr>
        <w:t>and (b) of sub-section </w:t>
      </w:r>
      <w:r w:rsidR="00921F49" w:rsidRPr="002B2E50">
        <w:rPr>
          <w:rStyle w:val="Bodytext2105pt"/>
          <w:sz w:val="24"/>
          <w:szCs w:val="24"/>
        </w:rPr>
        <w:t>(1</w:t>
      </w:r>
      <w:r w:rsidR="00084929">
        <w:rPr>
          <w:rStyle w:val="Bodytext2105pt"/>
          <w:smallCaps/>
          <w:sz w:val="24"/>
          <w:szCs w:val="24"/>
        </w:rPr>
        <w:t>a</w:t>
      </w:r>
      <w:r w:rsidR="00921F49" w:rsidRPr="002B2E50">
        <w:rPr>
          <w:rStyle w:val="Bodytext2105pt"/>
          <w:sz w:val="24"/>
          <w:szCs w:val="24"/>
        </w:rPr>
        <w:t>).</w:t>
      </w:r>
    </w:p>
    <w:p w14:paraId="72847112" w14:textId="77777777" w:rsidR="002A4146" w:rsidRPr="002A4146" w:rsidRDefault="002A4146" w:rsidP="002A4146">
      <w:pPr>
        <w:pStyle w:val="BodyText1"/>
        <w:spacing w:before="120" w:after="60" w:line="240" w:lineRule="auto"/>
        <w:ind w:firstLine="0"/>
        <w:jc w:val="both"/>
        <w:rPr>
          <w:b/>
          <w:sz w:val="20"/>
          <w:szCs w:val="20"/>
        </w:rPr>
      </w:pPr>
      <w:r w:rsidRPr="002A4146">
        <w:rPr>
          <w:rStyle w:val="Bodytext8pt"/>
          <w:b/>
          <w:sz w:val="20"/>
          <w:szCs w:val="20"/>
        </w:rPr>
        <w:t>Constitution of Supreme Court.</w:t>
      </w:r>
    </w:p>
    <w:p w14:paraId="5DF2AECE" w14:textId="77777777" w:rsidR="00BA230F" w:rsidRPr="002B2E50" w:rsidRDefault="002B2E50" w:rsidP="002A4146">
      <w:pPr>
        <w:pStyle w:val="Bodytext20"/>
        <w:tabs>
          <w:tab w:val="left" w:pos="630"/>
        </w:tabs>
        <w:spacing w:after="60" w:line="240" w:lineRule="auto"/>
        <w:ind w:firstLine="274"/>
        <w:rPr>
          <w:sz w:val="24"/>
          <w:szCs w:val="24"/>
        </w:rPr>
      </w:pPr>
      <w:r w:rsidRPr="002B2E50">
        <w:rPr>
          <w:rStyle w:val="Bodytext2105pt"/>
          <w:b/>
          <w:sz w:val="24"/>
          <w:szCs w:val="24"/>
        </w:rPr>
        <w:t>4.</w:t>
      </w:r>
      <w:r w:rsidR="002A4146">
        <w:rPr>
          <w:rStyle w:val="Bodytext2105pt"/>
          <w:b/>
          <w:sz w:val="24"/>
          <w:szCs w:val="24"/>
        </w:rPr>
        <w:tab/>
      </w:r>
      <w:r w:rsidR="00921F49" w:rsidRPr="002B2E50">
        <w:rPr>
          <w:rStyle w:val="Bodytext2105pt"/>
          <w:sz w:val="24"/>
          <w:szCs w:val="24"/>
        </w:rPr>
        <w:t>Section 58 of the Principal Act is amended by omitting from sub</w:t>
      </w:r>
      <w:r>
        <w:rPr>
          <w:rStyle w:val="Bodytext2105pt"/>
          <w:sz w:val="24"/>
          <w:szCs w:val="24"/>
        </w:rPr>
        <w:t>-</w:t>
      </w:r>
      <w:r w:rsidR="00921F49" w:rsidRPr="002B2E50">
        <w:rPr>
          <w:rStyle w:val="Bodytext2105pt"/>
          <w:sz w:val="24"/>
          <w:szCs w:val="24"/>
        </w:rPr>
        <w:t xml:space="preserve">sections (2) and </w:t>
      </w:r>
      <w:r w:rsidR="00921F49" w:rsidRPr="002B2E50">
        <w:rPr>
          <w:rStyle w:val="Bodytext28pt"/>
          <w:sz w:val="24"/>
          <w:szCs w:val="24"/>
        </w:rPr>
        <w:t xml:space="preserve">(5a) </w:t>
      </w:r>
      <w:r w:rsidR="00921F49" w:rsidRPr="002B2E50">
        <w:rPr>
          <w:rStyle w:val="Bodytext2105pt"/>
          <w:sz w:val="24"/>
          <w:szCs w:val="24"/>
        </w:rPr>
        <w:t>the word “Governor-General” and substituting the words “High Commissioner”.</w:t>
      </w:r>
    </w:p>
    <w:p w14:paraId="42290AFF" w14:textId="77777777" w:rsidR="002A4146" w:rsidRPr="002A4146" w:rsidRDefault="002A4146" w:rsidP="002A4146">
      <w:pPr>
        <w:pStyle w:val="BodyText1"/>
        <w:spacing w:before="120" w:after="60" w:line="240" w:lineRule="auto"/>
        <w:ind w:firstLine="0"/>
        <w:jc w:val="both"/>
        <w:rPr>
          <w:b/>
          <w:sz w:val="20"/>
          <w:szCs w:val="20"/>
        </w:rPr>
      </w:pPr>
      <w:r w:rsidRPr="002A4146">
        <w:rPr>
          <w:rStyle w:val="Bodytext8pt"/>
          <w:b/>
          <w:sz w:val="20"/>
          <w:szCs w:val="20"/>
        </w:rPr>
        <w:t>Appointment of Chief Justice and other judges.</w:t>
      </w:r>
    </w:p>
    <w:p w14:paraId="3B97C3A3" w14:textId="77777777" w:rsidR="00BA230F" w:rsidRPr="002B2E50" w:rsidRDefault="002B2E50" w:rsidP="002A4146">
      <w:pPr>
        <w:pStyle w:val="Bodytext20"/>
        <w:tabs>
          <w:tab w:val="left" w:pos="630"/>
        </w:tabs>
        <w:spacing w:after="60" w:line="240" w:lineRule="auto"/>
        <w:ind w:firstLine="274"/>
        <w:rPr>
          <w:sz w:val="24"/>
          <w:szCs w:val="24"/>
        </w:rPr>
      </w:pPr>
      <w:r w:rsidRPr="002B2E50">
        <w:rPr>
          <w:rStyle w:val="Bodytext2105pt"/>
          <w:b/>
          <w:sz w:val="24"/>
          <w:szCs w:val="24"/>
        </w:rPr>
        <w:t>5.</w:t>
      </w:r>
      <w:r w:rsidR="002A4146">
        <w:rPr>
          <w:rStyle w:val="Bodytext2105pt"/>
          <w:b/>
          <w:sz w:val="24"/>
          <w:szCs w:val="24"/>
        </w:rPr>
        <w:tab/>
      </w:r>
      <w:r w:rsidR="00921F49" w:rsidRPr="002B2E50">
        <w:rPr>
          <w:rStyle w:val="Bodytext2105pt"/>
          <w:sz w:val="24"/>
          <w:szCs w:val="24"/>
        </w:rPr>
        <w:t>Section 59 of the Principal Act is amended by omitting the word “Governor-General” (wherever occurring) and substituting the words “High Commissioner”.</w:t>
      </w:r>
    </w:p>
    <w:p w14:paraId="48390660" w14:textId="77777777" w:rsidR="002A4146" w:rsidRPr="002A4146" w:rsidRDefault="002A4146" w:rsidP="002A4146">
      <w:pPr>
        <w:pStyle w:val="BodyText1"/>
        <w:spacing w:before="120" w:after="60" w:line="240" w:lineRule="auto"/>
        <w:ind w:firstLine="0"/>
        <w:jc w:val="both"/>
        <w:rPr>
          <w:b/>
          <w:sz w:val="20"/>
          <w:szCs w:val="20"/>
        </w:rPr>
      </w:pPr>
      <w:r w:rsidRPr="002A4146">
        <w:rPr>
          <w:rStyle w:val="Bodytext8pt"/>
          <w:b/>
          <w:sz w:val="20"/>
          <w:szCs w:val="20"/>
        </w:rPr>
        <w:t>Acting judges.</w:t>
      </w:r>
    </w:p>
    <w:p w14:paraId="4EB679A0" w14:textId="77777777" w:rsidR="002B2E50" w:rsidRDefault="002B2E50" w:rsidP="002A4146">
      <w:pPr>
        <w:pStyle w:val="Bodytext20"/>
        <w:tabs>
          <w:tab w:val="left" w:pos="630"/>
        </w:tabs>
        <w:spacing w:after="60" w:line="240" w:lineRule="auto"/>
        <w:ind w:firstLine="274"/>
        <w:rPr>
          <w:rStyle w:val="Bodytext2105pt"/>
          <w:sz w:val="24"/>
          <w:szCs w:val="24"/>
        </w:rPr>
      </w:pPr>
      <w:r w:rsidRPr="002B2E50">
        <w:rPr>
          <w:rStyle w:val="Bodytext2105pt"/>
          <w:b/>
          <w:sz w:val="24"/>
          <w:szCs w:val="24"/>
        </w:rPr>
        <w:t>6.</w:t>
      </w:r>
      <w:r w:rsidR="002A4146">
        <w:rPr>
          <w:rStyle w:val="Bodytext2105pt"/>
          <w:b/>
          <w:sz w:val="24"/>
          <w:szCs w:val="24"/>
        </w:rPr>
        <w:tab/>
      </w:r>
      <w:r w:rsidR="00921F49" w:rsidRPr="002B2E50">
        <w:rPr>
          <w:rStyle w:val="Bodytext2105pt"/>
          <w:sz w:val="24"/>
          <w:szCs w:val="24"/>
        </w:rPr>
        <w:t>Section 60 of the Principal Act is amended by omitting the word “Governor-General” (wherever occurring) and substituting the words “High Commissioner”.</w:t>
      </w:r>
    </w:p>
    <w:p w14:paraId="4964C66B" w14:textId="77777777" w:rsidR="002A4146" w:rsidRPr="002A4146" w:rsidRDefault="002A4146" w:rsidP="002A4146">
      <w:pPr>
        <w:pStyle w:val="BodyText1"/>
        <w:spacing w:before="120" w:after="60" w:line="240" w:lineRule="auto"/>
        <w:ind w:firstLine="0"/>
        <w:jc w:val="both"/>
        <w:rPr>
          <w:b/>
          <w:sz w:val="20"/>
          <w:szCs w:val="20"/>
        </w:rPr>
      </w:pPr>
      <w:r w:rsidRPr="002A4146">
        <w:rPr>
          <w:rStyle w:val="Bodytext8pt"/>
          <w:b/>
          <w:sz w:val="20"/>
          <w:szCs w:val="20"/>
        </w:rPr>
        <w:t>Qualifications of judges.</w:t>
      </w:r>
    </w:p>
    <w:p w14:paraId="3A1CC1CD" w14:textId="77777777" w:rsidR="002B2E50" w:rsidRPr="00367213" w:rsidRDefault="002B2E50" w:rsidP="002A4146">
      <w:pPr>
        <w:pStyle w:val="Bodytext20"/>
        <w:tabs>
          <w:tab w:val="left" w:pos="630"/>
        </w:tabs>
        <w:spacing w:after="60" w:line="240" w:lineRule="auto"/>
        <w:ind w:firstLine="274"/>
        <w:rPr>
          <w:color w:val="auto"/>
          <w:sz w:val="24"/>
          <w:szCs w:val="24"/>
        </w:rPr>
      </w:pPr>
      <w:r w:rsidRPr="00367213">
        <w:rPr>
          <w:b/>
          <w:bCs/>
          <w:color w:val="auto"/>
          <w:sz w:val="24"/>
          <w:szCs w:val="24"/>
        </w:rPr>
        <w:t>7.</w:t>
      </w:r>
      <w:r w:rsidR="002A4146" w:rsidRPr="00367213">
        <w:rPr>
          <w:b/>
          <w:bCs/>
          <w:color w:val="auto"/>
          <w:sz w:val="24"/>
          <w:szCs w:val="24"/>
        </w:rPr>
        <w:tab/>
      </w:r>
      <w:r w:rsidRPr="00367213">
        <w:rPr>
          <w:color w:val="auto"/>
          <w:sz w:val="24"/>
          <w:szCs w:val="24"/>
        </w:rPr>
        <w:t xml:space="preserve">Section 61 of the Principal Act is amended by omitting from sub paragraph (ii) of paragraph (a) the word </w:t>
      </w:r>
      <w:r w:rsidR="002A4146" w:rsidRPr="00367213">
        <w:rPr>
          <w:color w:val="auto"/>
          <w:sz w:val="24"/>
          <w:szCs w:val="24"/>
        </w:rPr>
        <w:t>“</w:t>
      </w:r>
      <w:r w:rsidRPr="00367213">
        <w:rPr>
          <w:color w:val="auto"/>
          <w:sz w:val="24"/>
          <w:szCs w:val="24"/>
        </w:rPr>
        <w:t>Governor-General</w:t>
      </w:r>
      <w:r w:rsidR="002A4146" w:rsidRPr="00367213">
        <w:rPr>
          <w:color w:val="auto"/>
          <w:sz w:val="24"/>
          <w:szCs w:val="24"/>
        </w:rPr>
        <w:t>”</w:t>
      </w:r>
      <w:r w:rsidRPr="00367213">
        <w:rPr>
          <w:color w:val="auto"/>
          <w:sz w:val="24"/>
          <w:szCs w:val="24"/>
        </w:rPr>
        <w:t xml:space="preserve"> and substituting the words </w:t>
      </w:r>
      <w:r w:rsidR="002A4146" w:rsidRPr="00367213">
        <w:rPr>
          <w:color w:val="auto"/>
          <w:sz w:val="24"/>
          <w:szCs w:val="24"/>
        </w:rPr>
        <w:t>“</w:t>
      </w:r>
      <w:r w:rsidRPr="00367213">
        <w:rPr>
          <w:color w:val="auto"/>
          <w:sz w:val="24"/>
          <w:szCs w:val="24"/>
        </w:rPr>
        <w:t>High Commissioner</w:t>
      </w:r>
      <w:r w:rsidR="002A4146" w:rsidRPr="00367213">
        <w:rPr>
          <w:color w:val="auto"/>
          <w:sz w:val="24"/>
          <w:szCs w:val="24"/>
        </w:rPr>
        <w:t>”</w:t>
      </w:r>
      <w:r w:rsidRPr="00367213">
        <w:rPr>
          <w:color w:val="auto"/>
          <w:sz w:val="24"/>
          <w:szCs w:val="24"/>
        </w:rPr>
        <w:t>.</w:t>
      </w:r>
    </w:p>
    <w:p w14:paraId="49987988" w14:textId="23316B1E" w:rsidR="002A4146" w:rsidRPr="002A4146" w:rsidRDefault="002A4146" w:rsidP="002A4146">
      <w:pPr>
        <w:pStyle w:val="BodyText1"/>
        <w:spacing w:before="120" w:after="60" w:line="240" w:lineRule="auto"/>
        <w:ind w:firstLine="0"/>
        <w:jc w:val="both"/>
        <w:rPr>
          <w:b/>
          <w:sz w:val="20"/>
          <w:szCs w:val="20"/>
        </w:rPr>
      </w:pPr>
      <w:r w:rsidRPr="002A4146">
        <w:rPr>
          <w:rStyle w:val="Bodytext8pt"/>
          <w:b/>
          <w:sz w:val="20"/>
          <w:szCs w:val="20"/>
        </w:rPr>
        <w:t>Rules of Court.</w:t>
      </w:r>
    </w:p>
    <w:p w14:paraId="797B26F3" w14:textId="26926DDB" w:rsidR="00BA230F" w:rsidRPr="002B2E50" w:rsidRDefault="002A4146" w:rsidP="002A4146">
      <w:pPr>
        <w:pStyle w:val="Bodytext20"/>
        <w:tabs>
          <w:tab w:val="left" w:pos="630"/>
        </w:tabs>
        <w:spacing w:line="240" w:lineRule="auto"/>
        <w:ind w:firstLine="270"/>
        <w:rPr>
          <w:sz w:val="24"/>
          <w:szCs w:val="24"/>
        </w:rPr>
      </w:pPr>
      <w:r w:rsidRPr="002A4146">
        <w:rPr>
          <w:rStyle w:val="Bodytext2105pt"/>
          <w:b/>
          <w:sz w:val="24"/>
          <w:szCs w:val="24"/>
        </w:rPr>
        <w:t>8.</w:t>
      </w:r>
      <w:r>
        <w:rPr>
          <w:rStyle w:val="Bodytext2105pt"/>
          <w:b/>
          <w:sz w:val="24"/>
          <w:szCs w:val="24"/>
        </w:rPr>
        <w:tab/>
      </w:r>
      <w:r w:rsidR="00921F49" w:rsidRPr="002B2E50">
        <w:rPr>
          <w:rStyle w:val="Bodytext2105pt"/>
          <w:sz w:val="24"/>
          <w:szCs w:val="24"/>
        </w:rPr>
        <w:t xml:space="preserve">Section </w:t>
      </w:r>
      <w:r w:rsidR="00084929">
        <w:rPr>
          <w:rStyle w:val="Bodytext2105pt0"/>
          <w:i w:val="0"/>
          <w:sz w:val="24"/>
          <w:szCs w:val="24"/>
        </w:rPr>
        <w:t>62</w:t>
      </w:r>
      <w:r w:rsidR="00084929">
        <w:rPr>
          <w:rStyle w:val="Bodytext2105pt0"/>
          <w:i w:val="0"/>
          <w:smallCaps/>
          <w:sz w:val="24"/>
          <w:szCs w:val="24"/>
        </w:rPr>
        <w:t>a</w:t>
      </w:r>
      <w:r w:rsidR="00921F49" w:rsidRPr="002B2E50">
        <w:rPr>
          <w:rStyle w:val="Bodytext2105pt"/>
          <w:sz w:val="24"/>
          <w:szCs w:val="24"/>
        </w:rPr>
        <w:t xml:space="preserve"> of the Principal Act is amended—</w:t>
      </w:r>
    </w:p>
    <w:p w14:paraId="04924299" w14:textId="0244E9DA" w:rsidR="00BA230F" w:rsidRPr="002B2E50" w:rsidRDefault="002A4146" w:rsidP="002A4146">
      <w:pPr>
        <w:pStyle w:val="Bodytext20"/>
        <w:spacing w:line="240" w:lineRule="auto"/>
        <w:ind w:firstLine="270"/>
        <w:rPr>
          <w:sz w:val="24"/>
          <w:szCs w:val="24"/>
        </w:rPr>
      </w:pPr>
      <w:r>
        <w:rPr>
          <w:rStyle w:val="Bodytext2105pt"/>
          <w:sz w:val="24"/>
          <w:szCs w:val="24"/>
        </w:rPr>
        <w:t xml:space="preserve">(a) </w:t>
      </w:r>
      <w:r w:rsidR="00921F49" w:rsidRPr="002B2E50">
        <w:rPr>
          <w:rStyle w:val="Bodytext2105pt"/>
          <w:sz w:val="24"/>
          <w:szCs w:val="24"/>
        </w:rPr>
        <w:t>by omitting sub-section (3) and substituting the following sub</w:t>
      </w:r>
      <w:r w:rsidR="00084929">
        <w:rPr>
          <w:rStyle w:val="Bodytext2105pt"/>
          <w:sz w:val="24"/>
          <w:szCs w:val="24"/>
        </w:rPr>
        <w:t>-</w:t>
      </w:r>
      <w:r w:rsidR="00921F49" w:rsidRPr="002B2E50">
        <w:rPr>
          <w:rStyle w:val="Bodytext2105pt"/>
          <w:sz w:val="24"/>
          <w:szCs w:val="24"/>
        </w:rPr>
        <w:t>section:—</w:t>
      </w:r>
    </w:p>
    <w:p w14:paraId="7A11A70B" w14:textId="77777777" w:rsidR="00BA230F" w:rsidRPr="002B2E50" w:rsidRDefault="00921F49" w:rsidP="00367213">
      <w:pPr>
        <w:pStyle w:val="Bodytext20"/>
        <w:spacing w:after="60" w:line="240" w:lineRule="auto"/>
        <w:ind w:left="630" w:firstLine="180"/>
        <w:rPr>
          <w:sz w:val="24"/>
          <w:szCs w:val="24"/>
        </w:rPr>
      </w:pPr>
      <w:r w:rsidRPr="002B2E50">
        <w:rPr>
          <w:rStyle w:val="Bodytext2105pt"/>
          <w:sz w:val="24"/>
          <w:szCs w:val="24"/>
        </w:rPr>
        <w:t xml:space="preserve">“(3) The power to make Rules of Court conferred by this section does not include power </w:t>
      </w:r>
      <w:r w:rsidR="002A4146">
        <w:rPr>
          <w:rStyle w:val="Bodytext2105pt"/>
          <w:sz w:val="24"/>
          <w:szCs w:val="24"/>
        </w:rPr>
        <w:t>to make Rules that are inconsis</w:t>
      </w:r>
      <w:r w:rsidRPr="002B2E50">
        <w:rPr>
          <w:rStyle w:val="Bodytext2105pt"/>
          <w:sz w:val="24"/>
          <w:szCs w:val="24"/>
        </w:rPr>
        <w:t>tent with an enactment and, on the coming into operation of an enactment that is inconsistent with Rules of Court, the Rules of Court cease to have effect to the extent of the inconsistency.”; and</w:t>
      </w:r>
    </w:p>
    <w:p w14:paraId="12424B6F" w14:textId="41221D75" w:rsidR="00BA230F" w:rsidRPr="002B2E50" w:rsidRDefault="002A4146" w:rsidP="002A4146">
      <w:pPr>
        <w:pStyle w:val="Bodytext20"/>
        <w:spacing w:line="240" w:lineRule="auto"/>
        <w:ind w:firstLine="270"/>
        <w:rPr>
          <w:sz w:val="24"/>
          <w:szCs w:val="24"/>
        </w:rPr>
      </w:pPr>
      <w:r>
        <w:rPr>
          <w:rStyle w:val="Bodytext2105pt"/>
          <w:sz w:val="24"/>
          <w:szCs w:val="24"/>
        </w:rPr>
        <w:t xml:space="preserve">(b) </w:t>
      </w:r>
      <w:r w:rsidR="00921F49" w:rsidRPr="002B2E50">
        <w:rPr>
          <w:rStyle w:val="Bodytext2105pt"/>
          <w:sz w:val="24"/>
          <w:szCs w:val="24"/>
        </w:rPr>
        <w:t>by omitting sub-sections (5) to (9) (inclusive) and substitut</w:t>
      </w:r>
      <w:r w:rsidR="00084929">
        <w:rPr>
          <w:rStyle w:val="Bodytext2105pt"/>
          <w:sz w:val="24"/>
          <w:szCs w:val="24"/>
        </w:rPr>
        <w:t>ing the following sub-sections:</w:t>
      </w:r>
      <w:r w:rsidR="00921F49" w:rsidRPr="002B2E50">
        <w:rPr>
          <w:rStyle w:val="Bodytext2105pt"/>
          <w:sz w:val="24"/>
          <w:szCs w:val="24"/>
        </w:rPr>
        <w:t>—</w:t>
      </w:r>
    </w:p>
    <w:p w14:paraId="14548D4F" w14:textId="77777777" w:rsidR="00BA230F" w:rsidRPr="002B2E50" w:rsidRDefault="00921F49" w:rsidP="00367213">
      <w:pPr>
        <w:pStyle w:val="Bodytext20"/>
        <w:spacing w:after="60" w:line="240" w:lineRule="auto"/>
        <w:ind w:left="630" w:firstLine="180"/>
        <w:rPr>
          <w:sz w:val="24"/>
          <w:szCs w:val="24"/>
        </w:rPr>
      </w:pPr>
      <w:r w:rsidRPr="002B2E50">
        <w:rPr>
          <w:rStyle w:val="Bodytext2105pt"/>
          <w:sz w:val="24"/>
          <w:szCs w:val="24"/>
        </w:rPr>
        <w:t xml:space="preserve">“(5) The Chief Justice shall cause a copy of Rules of Court made in pursuance of this section to be laid before the House of Assembly at a meeting of that House within 15 sitting days of that House after the date on which notice of the making of the Rules is published in the </w:t>
      </w:r>
      <w:r w:rsidRPr="002B2E50">
        <w:rPr>
          <w:rStyle w:val="Bodytext2105pt0"/>
          <w:sz w:val="24"/>
          <w:szCs w:val="24"/>
        </w:rPr>
        <w:t>Government Gazette.</w:t>
      </w:r>
    </w:p>
    <w:p w14:paraId="0ABDDB15" w14:textId="77777777" w:rsidR="00BA230F" w:rsidRPr="002B2E50" w:rsidRDefault="00921F49" w:rsidP="00367213">
      <w:pPr>
        <w:pStyle w:val="Bodytext20"/>
        <w:spacing w:after="60" w:line="240" w:lineRule="auto"/>
        <w:ind w:left="630" w:firstLine="180"/>
        <w:rPr>
          <w:sz w:val="24"/>
          <w:szCs w:val="24"/>
        </w:rPr>
      </w:pPr>
      <w:r w:rsidRPr="002B2E50">
        <w:rPr>
          <w:rStyle w:val="Bodytext2105pt"/>
          <w:sz w:val="24"/>
          <w:szCs w:val="24"/>
        </w:rPr>
        <w:t>“(6) The House of Assembly may, by resolution passed at the meeting at which any Rules of Court are laid before it, or at the next succeeding meeting, disallow the Rules or part of the Rules, and the Rules, or the part of the Rules, so disallowed shall thereupon cease to have effect.</w:t>
      </w:r>
    </w:p>
    <w:p w14:paraId="308A5DC4" w14:textId="77777777" w:rsidR="00BA230F" w:rsidRPr="002B2E50" w:rsidRDefault="00921F49" w:rsidP="00367213">
      <w:pPr>
        <w:pStyle w:val="Bodytext20"/>
        <w:spacing w:after="60" w:line="240" w:lineRule="auto"/>
        <w:ind w:left="630" w:firstLine="180"/>
        <w:rPr>
          <w:sz w:val="24"/>
          <w:szCs w:val="24"/>
        </w:rPr>
      </w:pPr>
      <w:r w:rsidRPr="002B2E50">
        <w:rPr>
          <w:rStyle w:val="Bodytext2105pt"/>
          <w:sz w:val="24"/>
          <w:szCs w:val="24"/>
        </w:rPr>
        <w:lastRenderedPageBreak/>
        <w:t xml:space="preserve">“(7) Notice of a disallowance under sub-section (6) shall be published in the </w:t>
      </w:r>
      <w:r w:rsidRPr="002B2E50">
        <w:rPr>
          <w:rStyle w:val="Bodytext2105pt0"/>
          <w:sz w:val="24"/>
          <w:szCs w:val="24"/>
        </w:rPr>
        <w:t>Government Gazette.</w:t>
      </w:r>
    </w:p>
    <w:p w14:paraId="473BF754" w14:textId="77777777" w:rsidR="00BA230F" w:rsidRPr="002B2E50" w:rsidRDefault="00921F49" w:rsidP="00367213">
      <w:pPr>
        <w:pStyle w:val="Bodytext20"/>
        <w:spacing w:after="60" w:line="240" w:lineRule="auto"/>
        <w:ind w:left="630" w:firstLine="180"/>
        <w:rPr>
          <w:sz w:val="24"/>
          <w:szCs w:val="24"/>
        </w:rPr>
      </w:pPr>
      <w:r w:rsidRPr="002B2E50">
        <w:rPr>
          <w:rStyle w:val="Bodytext2105pt"/>
          <w:sz w:val="24"/>
          <w:szCs w:val="24"/>
        </w:rPr>
        <w:t>“(8) The disallowance of any Rules of Court or of a part of any Rules of Court has, subject to sub-section (9), the same effect as a repeal of the Rules or of the part of the Rules.</w:t>
      </w:r>
    </w:p>
    <w:p w14:paraId="628C2429" w14:textId="56A855AD" w:rsidR="00BA230F" w:rsidRPr="002B2E50" w:rsidRDefault="00921F49" w:rsidP="002A4146">
      <w:pPr>
        <w:pStyle w:val="Bodytext20"/>
        <w:spacing w:line="240" w:lineRule="auto"/>
        <w:ind w:left="630" w:firstLine="180"/>
        <w:rPr>
          <w:sz w:val="24"/>
          <w:szCs w:val="24"/>
        </w:rPr>
      </w:pPr>
      <w:r w:rsidRPr="002B2E50">
        <w:rPr>
          <w:rStyle w:val="Bodytext2105pt"/>
          <w:sz w:val="24"/>
          <w:szCs w:val="24"/>
        </w:rPr>
        <w:t>“(9) If a disallowed Rule of Court or a disallowed part of a Rule of Court amended or repealed a Rule of Court in force immediately before the commencement of the disallowed Rule or part, the disallowance revives the previous Rule of Court on and from the date of the disallowance as if the disallowed Ru</w:t>
      </w:r>
      <w:r w:rsidR="00003217">
        <w:rPr>
          <w:rStyle w:val="Bodytext2105pt"/>
          <w:sz w:val="24"/>
          <w:szCs w:val="24"/>
        </w:rPr>
        <w:t>le or part had not been made.</w:t>
      </w:r>
      <w:r w:rsidR="00084929">
        <w:rPr>
          <w:rStyle w:val="Bodytext2105pt"/>
          <w:sz w:val="24"/>
          <w:szCs w:val="24"/>
        </w:rPr>
        <w:t>”</w:t>
      </w:r>
      <w:r w:rsidRPr="002B2E50">
        <w:rPr>
          <w:rStyle w:val="Bodytext2105pt"/>
          <w:sz w:val="24"/>
          <w:szCs w:val="24"/>
        </w:rPr>
        <w:t>.</w:t>
      </w:r>
    </w:p>
    <w:p w14:paraId="35542026" w14:textId="77777777" w:rsidR="00BA230F" w:rsidRPr="002A4146" w:rsidRDefault="00921F49" w:rsidP="002A4146">
      <w:pPr>
        <w:pStyle w:val="BodyText1"/>
        <w:spacing w:before="120" w:after="60" w:line="240" w:lineRule="auto"/>
        <w:ind w:firstLine="0"/>
        <w:jc w:val="both"/>
        <w:rPr>
          <w:b/>
          <w:sz w:val="20"/>
          <w:szCs w:val="20"/>
        </w:rPr>
      </w:pPr>
      <w:r w:rsidRPr="002A4146">
        <w:rPr>
          <w:rStyle w:val="Bodytext8pt"/>
          <w:b/>
          <w:sz w:val="20"/>
          <w:szCs w:val="20"/>
        </w:rPr>
        <w:t>Appeals to High Court.</w:t>
      </w:r>
    </w:p>
    <w:p w14:paraId="776210D1" w14:textId="77777777" w:rsidR="00BA230F" w:rsidRPr="002B2E50" w:rsidRDefault="002A4146" w:rsidP="002A4146">
      <w:pPr>
        <w:pStyle w:val="Bodytext20"/>
        <w:tabs>
          <w:tab w:val="left" w:pos="630"/>
        </w:tabs>
        <w:spacing w:line="240" w:lineRule="auto"/>
        <w:ind w:firstLine="270"/>
        <w:rPr>
          <w:sz w:val="24"/>
          <w:szCs w:val="24"/>
        </w:rPr>
      </w:pPr>
      <w:r w:rsidRPr="002A4146">
        <w:rPr>
          <w:rStyle w:val="Bodytext2105pt"/>
          <w:b/>
          <w:sz w:val="24"/>
          <w:szCs w:val="24"/>
        </w:rPr>
        <w:t>9.</w:t>
      </w:r>
      <w:r>
        <w:rPr>
          <w:rStyle w:val="Bodytext2105pt"/>
          <w:b/>
          <w:sz w:val="24"/>
          <w:szCs w:val="24"/>
        </w:rPr>
        <w:tab/>
      </w:r>
      <w:r w:rsidR="00921F49" w:rsidRPr="002B2E50">
        <w:rPr>
          <w:rStyle w:val="Bodytext2105pt"/>
          <w:sz w:val="24"/>
          <w:szCs w:val="24"/>
        </w:rPr>
        <w:t>Section 64 of the Principal Act is repealed.</w:t>
      </w:r>
    </w:p>
    <w:p w14:paraId="082C18EA" w14:textId="77777777" w:rsidR="002A4146" w:rsidRPr="002A4146" w:rsidRDefault="002A4146" w:rsidP="002A4146">
      <w:pPr>
        <w:pStyle w:val="BodyText1"/>
        <w:spacing w:before="120" w:after="60" w:line="240" w:lineRule="auto"/>
        <w:ind w:firstLine="0"/>
        <w:jc w:val="both"/>
        <w:rPr>
          <w:b/>
          <w:sz w:val="20"/>
          <w:szCs w:val="20"/>
        </w:rPr>
      </w:pPr>
      <w:r w:rsidRPr="002A4146">
        <w:rPr>
          <w:rStyle w:val="Bodytext8pt"/>
          <w:b/>
          <w:sz w:val="20"/>
          <w:szCs w:val="20"/>
        </w:rPr>
        <w:t xml:space="preserve">Grant of pardon, remission, </w:t>
      </w:r>
      <w:r w:rsidRPr="002A4146">
        <w:rPr>
          <w:rStyle w:val="BodytextMSReferenceSansSerif"/>
          <w:rFonts w:ascii="Times New Roman" w:hAnsi="Times New Roman" w:cs="Times New Roman"/>
          <w:b/>
          <w:sz w:val="20"/>
          <w:szCs w:val="20"/>
        </w:rPr>
        <w:t>&amp;c.</w:t>
      </w:r>
    </w:p>
    <w:p w14:paraId="1EC48D92" w14:textId="77777777" w:rsidR="00BA230F" w:rsidRPr="002B2E50" w:rsidRDefault="002A4146" w:rsidP="002A4146">
      <w:pPr>
        <w:pStyle w:val="Bodytext20"/>
        <w:tabs>
          <w:tab w:val="left" w:pos="630"/>
        </w:tabs>
        <w:spacing w:line="240" w:lineRule="auto"/>
        <w:ind w:firstLine="270"/>
        <w:rPr>
          <w:sz w:val="24"/>
          <w:szCs w:val="24"/>
        </w:rPr>
      </w:pPr>
      <w:r w:rsidRPr="002A4146">
        <w:rPr>
          <w:rStyle w:val="Bodytext2105pt"/>
          <w:b/>
          <w:sz w:val="24"/>
          <w:szCs w:val="24"/>
        </w:rPr>
        <w:t>10.</w:t>
      </w:r>
      <w:r>
        <w:rPr>
          <w:rStyle w:val="Bodytext2105pt"/>
          <w:b/>
          <w:sz w:val="24"/>
          <w:szCs w:val="24"/>
        </w:rPr>
        <w:tab/>
      </w:r>
      <w:r w:rsidR="00921F49" w:rsidRPr="002B2E50">
        <w:rPr>
          <w:rStyle w:val="Bodytext2105pt"/>
          <w:sz w:val="24"/>
          <w:szCs w:val="24"/>
        </w:rPr>
        <w:t>Section 73 of the Principal Act is amended by omitting from sub</w:t>
      </w:r>
      <w:r>
        <w:rPr>
          <w:rStyle w:val="Bodytext2105pt"/>
          <w:sz w:val="24"/>
          <w:szCs w:val="24"/>
        </w:rPr>
        <w:t>-</w:t>
      </w:r>
      <w:r w:rsidR="00921F49" w:rsidRPr="002B2E50">
        <w:rPr>
          <w:rStyle w:val="Bodytext2105pt"/>
          <w:sz w:val="24"/>
          <w:szCs w:val="24"/>
        </w:rPr>
        <w:t>section (2) the word “Governor-General” and substituting the words “High Commissioner”.</w:t>
      </w:r>
    </w:p>
    <w:p w14:paraId="7577D53B" w14:textId="77777777" w:rsidR="002A4146" w:rsidRPr="002A4146" w:rsidRDefault="002A4146" w:rsidP="00367213">
      <w:pPr>
        <w:pStyle w:val="Bodytext20"/>
        <w:spacing w:before="120" w:after="60" w:line="240" w:lineRule="auto"/>
        <w:rPr>
          <w:rStyle w:val="Bodytext2105pt"/>
          <w:b/>
          <w:sz w:val="20"/>
          <w:szCs w:val="20"/>
        </w:rPr>
      </w:pPr>
      <w:r w:rsidRPr="002A4146">
        <w:rPr>
          <w:rStyle w:val="Bodytext2105pt"/>
          <w:b/>
          <w:sz w:val="20"/>
          <w:szCs w:val="20"/>
        </w:rPr>
        <w:t>Transitional</w:t>
      </w:r>
    </w:p>
    <w:p w14:paraId="113C254F" w14:textId="77777777" w:rsidR="00BA230F" w:rsidRDefault="002A4146" w:rsidP="00367213">
      <w:pPr>
        <w:pStyle w:val="Bodytext20"/>
        <w:tabs>
          <w:tab w:val="left" w:pos="630"/>
        </w:tabs>
        <w:spacing w:after="60" w:line="240" w:lineRule="auto"/>
        <w:ind w:firstLine="274"/>
        <w:rPr>
          <w:rStyle w:val="Bodytext2105pt"/>
          <w:sz w:val="24"/>
          <w:szCs w:val="24"/>
        </w:rPr>
      </w:pPr>
      <w:r w:rsidRPr="002A4146">
        <w:rPr>
          <w:rStyle w:val="Bodytext2105pt"/>
          <w:b/>
          <w:sz w:val="24"/>
          <w:szCs w:val="24"/>
        </w:rPr>
        <w:t>11.</w:t>
      </w:r>
      <w:r>
        <w:rPr>
          <w:rStyle w:val="Bodytext2105pt"/>
          <w:b/>
          <w:sz w:val="24"/>
          <w:szCs w:val="24"/>
        </w:rPr>
        <w:t xml:space="preserve"> </w:t>
      </w:r>
      <w:r w:rsidR="00921F49" w:rsidRPr="002B2E50">
        <w:rPr>
          <w:rStyle w:val="Bodytext2105pt"/>
          <w:sz w:val="24"/>
          <w:szCs w:val="24"/>
        </w:rPr>
        <w:t>(1) The amendment made by section 3 does not have effect in relation to a proposed law that was passed by the House of Assembly, but not assented to by the Governor-General, before the commencement of that section.</w:t>
      </w:r>
    </w:p>
    <w:p w14:paraId="2650445D" w14:textId="17BB7077" w:rsidR="00367213" w:rsidRDefault="002A4146" w:rsidP="00084929">
      <w:pPr>
        <w:widowControl/>
        <w:autoSpaceDE w:val="0"/>
        <w:autoSpaceDN w:val="0"/>
        <w:adjustRightInd w:val="0"/>
        <w:ind w:firstLine="270"/>
        <w:jc w:val="both"/>
      </w:pPr>
      <w:r w:rsidRPr="002A4146">
        <w:rPr>
          <w:rFonts w:ascii="Times New Roman" w:hAnsi="Times New Roman" w:cs="Times New Roman"/>
          <w:color w:val="auto"/>
        </w:rPr>
        <w:t>(2) Where, immediately before the prescribed date, a person held</w:t>
      </w:r>
      <w:r>
        <w:rPr>
          <w:rFonts w:ascii="Times New Roman" w:hAnsi="Times New Roman" w:cs="Times New Roman"/>
          <w:color w:val="auto"/>
        </w:rPr>
        <w:t xml:space="preserve"> </w:t>
      </w:r>
      <w:r w:rsidRPr="002A4146">
        <w:rPr>
          <w:rFonts w:ascii="Times New Roman" w:hAnsi="Times New Roman" w:cs="Times New Roman"/>
          <w:color w:val="auto"/>
        </w:rPr>
        <w:t>office as a judge of the Supreme Court of Papua New Guinea under section</w:t>
      </w:r>
      <w:r>
        <w:rPr>
          <w:rFonts w:ascii="Times New Roman" w:hAnsi="Times New Roman" w:cs="Times New Roman"/>
          <w:color w:val="auto"/>
        </w:rPr>
        <w:t xml:space="preserve"> </w:t>
      </w:r>
      <w:r w:rsidRPr="002A4146">
        <w:rPr>
          <w:rFonts w:ascii="Times New Roman" w:hAnsi="Times New Roman" w:cs="Times New Roman"/>
          <w:color w:val="auto"/>
        </w:rPr>
        <w:t>59 of the Principal Act or as an acting judge of that Court under section</w:t>
      </w:r>
      <w:r>
        <w:rPr>
          <w:rFonts w:ascii="Times New Roman" w:hAnsi="Times New Roman" w:cs="Times New Roman"/>
          <w:color w:val="auto"/>
        </w:rPr>
        <w:t xml:space="preserve"> </w:t>
      </w:r>
      <w:r w:rsidRPr="002A4146">
        <w:rPr>
          <w:rFonts w:ascii="Times New Roman" w:hAnsi="Times New Roman" w:cs="Times New Roman"/>
          <w:color w:val="auto"/>
        </w:rPr>
        <w:t>60 of that Act, that person ceases, on that date, so to hold office but</w:t>
      </w:r>
      <w:r w:rsidR="00084929">
        <w:rPr>
          <w:rFonts w:ascii="Times New Roman" w:hAnsi="Times New Roman" w:cs="Times New Roman"/>
          <w:color w:val="auto"/>
        </w:rPr>
        <w:t xml:space="preserve"> </w:t>
      </w:r>
      <w:r w:rsidR="00921F49" w:rsidRPr="002B2E50">
        <w:rPr>
          <w:rStyle w:val="Bodytext2105pt"/>
          <w:rFonts w:eastAsia="Courier New"/>
          <w:sz w:val="24"/>
          <w:szCs w:val="24"/>
        </w:rPr>
        <w:t>is eligible for appointment as a judge of that Court under section 59 of the Principal Act as amended by this Act or as an acting judge of that Court under section 60 of that Act as so amended.</w:t>
      </w:r>
    </w:p>
    <w:p w14:paraId="705B63C5" w14:textId="77777777" w:rsidR="00BA230F" w:rsidRPr="002B2E50" w:rsidRDefault="00367213" w:rsidP="00367213">
      <w:pPr>
        <w:pStyle w:val="Bodytext20"/>
        <w:spacing w:after="60" w:line="240" w:lineRule="auto"/>
        <w:ind w:firstLine="274"/>
        <w:rPr>
          <w:sz w:val="24"/>
          <w:szCs w:val="24"/>
        </w:rPr>
      </w:pPr>
      <w:r>
        <w:rPr>
          <w:rStyle w:val="Bodytext2105pt"/>
          <w:sz w:val="24"/>
          <w:szCs w:val="24"/>
        </w:rPr>
        <w:t xml:space="preserve">(3) </w:t>
      </w:r>
      <w:r w:rsidR="00921F49" w:rsidRPr="002B2E50">
        <w:rPr>
          <w:rStyle w:val="Bodytext2105pt"/>
          <w:sz w:val="24"/>
          <w:szCs w:val="24"/>
        </w:rPr>
        <w:t xml:space="preserve">Subject to the Rules of Court of the Supreme Court of Papua New Guinea and to any direction or order given after the prescribed date by a judge of that Court with respect to matters of </w:t>
      </w:r>
      <w:r>
        <w:rPr>
          <w:rStyle w:val="Bodytext2105pt"/>
          <w:sz w:val="24"/>
          <w:szCs w:val="24"/>
        </w:rPr>
        <w:t>practice and pro</w:t>
      </w:r>
      <w:r w:rsidR="00921F49" w:rsidRPr="002B2E50">
        <w:rPr>
          <w:rStyle w:val="Bodytext2105pt"/>
          <w:sz w:val="24"/>
          <w:szCs w:val="24"/>
        </w:rPr>
        <w:t>cedure, any proceedings in that Court as constituted immediately before that date that were pending or uncompleted immediately before that date may be continued and completed on and after that date in that Court as so constituted.</w:t>
      </w:r>
    </w:p>
    <w:p w14:paraId="7D0F8169" w14:textId="77777777" w:rsidR="00BA230F" w:rsidRPr="002B2E50" w:rsidRDefault="00367213" w:rsidP="00367213">
      <w:pPr>
        <w:pStyle w:val="Bodytext20"/>
        <w:spacing w:after="60" w:line="240" w:lineRule="auto"/>
        <w:ind w:firstLine="274"/>
        <w:rPr>
          <w:sz w:val="24"/>
          <w:szCs w:val="24"/>
        </w:rPr>
      </w:pPr>
      <w:r>
        <w:rPr>
          <w:rStyle w:val="Bodytext2105pt"/>
          <w:sz w:val="24"/>
          <w:szCs w:val="24"/>
        </w:rPr>
        <w:t xml:space="preserve">(5) </w:t>
      </w:r>
      <w:r w:rsidR="00921F49" w:rsidRPr="002B2E50">
        <w:rPr>
          <w:rStyle w:val="Bodytext2105pt"/>
          <w:sz w:val="24"/>
          <w:szCs w:val="24"/>
        </w:rPr>
        <w:t>The amendments made by section 8 have no effect in relation to Rules of Court made before the prescribed date.</w:t>
      </w:r>
    </w:p>
    <w:p w14:paraId="56E49B4B" w14:textId="77777777" w:rsidR="00BA230F" w:rsidRPr="002B2E50" w:rsidRDefault="00367213" w:rsidP="00367213">
      <w:pPr>
        <w:pStyle w:val="Bodytext20"/>
        <w:spacing w:after="60" w:line="240" w:lineRule="auto"/>
        <w:ind w:firstLine="274"/>
        <w:rPr>
          <w:sz w:val="24"/>
          <w:szCs w:val="24"/>
        </w:rPr>
      </w:pPr>
      <w:r>
        <w:rPr>
          <w:rStyle w:val="Bodytext2105pt"/>
          <w:sz w:val="24"/>
          <w:szCs w:val="24"/>
        </w:rPr>
        <w:t xml:space="preserve">(6) </w:t>
      </w:r>
      <w:r w:rsidR="00921F49" w:rsidRPr="002B2E50">
        <w:rPr>
          <w:rStyle w:val="Bodytext2105pt"/>
          <w:sz w:val="24"/>
          <w:szCs w:val="24"/>
        </w:rPr>
        <w:t>Notwithstanding the repeal effected by section 9, section 64 of the Principal Act continues to have effect in relation to an appeal, or an application for leave to appeal, under that section that was pending in the High Court before the prescribed date and in relation to any appeal arising out of such an application for leave to appeal.</w:t>
      </w:r>
    </w:p>
    <w:p w14:paraId="1B2679B8" w14:textId="0FA1DF84" w:rsidR="00BA230F" w:rsidRPr="002B2E50" w:rsidRDefault="00367213" w:rsidP="00367213">
      <w:pPr>
        <w:pStyle w:val="Bodytext20"/>
        <w:spacing w:after="60" w:line="240" w:lineRule="auto"/>
        <w:ind w:firstLine="274"/>
        <w:rPr>
          <w:sz w:val="24"/>
          <w:szCs w:val="24"/>
        </w:rPr>
      </w:pPr>
      <w:r>
        <w:rPr>
          <w:rStyle w:val="Bodytext2105pt"/>
          <w:sz w:val="24"/>
          <w:szCs w:val="24"/>
        </w:rPr>
        <w:t xml:space="preserve">(6) </w:t>
      </w:r>
      <w:r w:rsidR="00921F49" w:rsidRPr="002B2E50">
        <w:rPr>
          <w:rStyle w:val="Bodytext2105pt"/>
          <w:sz w:val="24"/>
          <w:szCs w:val="24"/>
        </w:rPr>
        <w:t>A warrant given by the Governor-General under sub-section 73(2) of the Principal Act and in force immediately before the prescribed date continues in force on and after the date as if it had been given by the High Commissioner under that sub-section as amended by section 10 of this Act.</w:t>
      </w:r>
    </w:p>
    <w:p w14:paraId="2E1849C8" w14:textId="5008821A" w:rsidR="00BA230F" w:rsidRDefault="00367213" w:rsidP="00367213">
      <w:pPr>
        <w:pStyle w:val="Bodytext20"/>
        <w:spacing w:line="240" w:lineRule="auto"/>
        <w:ind w:firstLine="270"/>
        <w:rPr>
          <w:rStyle w:val="Bodytext2105pt"/>
          <w:sz w:val="24"/>
          <w:szCs w:val="24"/>
        </w:rPr>
      </w:pPr>
      <w:r>
        <w:rPr>
          <w:rStyle w:val="Bodytext2105pt"/>
          <w:sz w:val="24"/>
          <w:szCs w:val="24"/>
        </w:rPr>
        <w:t xml:space="preserve">(7) </w:t>
      </w:r>
      <w:r w:rsidR="00921F49" w:rsidRPr="002B2E50">
        <w:rPr>
          <w:rStyle w:val="Bodytext2105pt"/>
          <w:sz w:val="24"/>
          <w:szCs w:val="24"/>
        </w:rPr>
        <w:t>In this section, “prescribed date” means the date fixed under sub-section 2(2).</w:t>
      </w:r>
    </w:p>
    <w:p w14:paraId="74D35180" w14:textId="77777777" w:rsidR="00367213" w:rsidRPr="002B2E50" w:rsidRDefault="00367213" w:rsidP="00367213">
      <w:pPr>
        <w:pStyle w:val="Bodytext20"/>
        <w:pBdr>
          <w:bottom w:val="single" w:sz="12" w:space="1" w:color="auto"/>
        </w:pBdr>
        <w:spacing w:after="160" w:line="240" w:lineRule="auto"/>
        <w:rPr>
          <w:sz w:val="24"/>
          <w:szCs w:val="24"/>
        </w:rPr>
      </w:pPr>
    </w:p>
    <w:sectPr w:rsidR="00367213" w:rsidRPr="002B2E50" w:rsidSect="00C26EDF">
      <w:headerReference w:type="even" r:id="rId8"/>
      <w:headerReference w:type="default" r:id="rId9"/>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08D7FD" w15:done="0"/>
  <w15:commentEx w15:paraId="6B6BB5E2" w15:done="0"/>
  <w15:commentEx w15:paraId="59173A51" w15:done="0"/>
  <w15:commentEx w15:paraId="35D53920" w15:done="0"/>
  <w15:commentEx w15:paraId="61A63300" w15:done="0"/>
  <w15:commentEx w15:paraId="28371DD6" w15:done="0"/>
  <w15:commentEx w15:paraId="7F0996E8" w15:done="0"/>
  <w15:commentEx w15:paraId="122B27CE" w15:done="0"/>
  <w15:commentEx w15:paraId="7B61E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08D7FD" w16cid:durableId="1F4EFA02"/>
  <w16cid:commentId w16cid:paraId="6B6BB5E2" w16cid:durableId="1F4EFA1E"/>
  <w16cid:commentId w16cid:paraId="59173A51" w16cid:durableId="1F4EFA33"/>
  <w16cid:commentId w16cid:paraId="35D53920" w16cid:durableId="1F4EFA57"/>
  <w16cid:commentId w16cid:paraId="61A63300" w16cid:durableId="1F4EFAA6"/>
  <w16cid:commentId w16cid:paraId="28371DD6" w16cid:durableId="1F4EFABC"/>
  <w16cid:commentId w16cid:paraId="7F0996E8" w16cid:durableId="1F4EFB04"/>
  <w16cid:commentId w16cid:paraId="122B27CE" w16cid:durableId="1F4EFB43"/>
  <w16cid:commentId w16cid:paraId="7B61EC5A" w16cid:durableId="1F4EFB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B27DC" w14:textId="77777777" w:rsidR="00F91226" w:rsidRDefault="00F91226">
      <w:r>
        <w:separator/>
      </w:r>
    </w:p>
  </w:endnote>
  <w:endnote w:type="continuationSeparator" w:id="0">
    <w:p w14:paraId="5B22EA8A" w14:textId="77777777" w:rsidR="00F91226" w:rsidRDefault="00F9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DB312" w14:textId="77777777" w:rsidR="00F91226" w:rsidRDefault="00F91226">
      <w:r>
        <w:separator/>
      </w:r>
    </w:p>
  </w:footnote>
  <w:footnote w:type="continuationSeparator" w:id="0">
    <w:p w14:paraId="4AEB9C7F" w14:textId="77777777" w:rsidR="00F91226" w:rsidRDefault="00F9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EDD3" w14:textId="6EB42D81" w:rsidR="0070110E" w:rsidRPr="0070110E" w:rsidRDefault="0070110E">
    <w:pPr>
      <w:pStyle w:val="Header"/>
      <w:rPr>
        <w:rFonts w:ascii="Times New Roman" w:hAnsi="Times New Roman" w:cs="Times New Roman"/>
        <w:sz w:val="22"/>
        <w:szCs w:val="22"/>
        <w:lang w:val="en-IN"/>
      </w:rPr>
    </w:pPr>
    <w:r w:rsidRPr="0070110E">
      <w:rPr>
        <w:rFonts w:ascii="Times New Roman" w:hAnsi="Times New Roman" w:cs="Times New Roman"/>
        <w:sz w:val="22"/>
        <w:szCs w:val="22"/>
        <w:lang w:val="en-IN"/>
      </w:rPr>
      <w:t>1974</w:t>
    </w:r>
    <w:r>
      <w:rPr>
        <w:rFonts w:ascii="Times New Roman" w:hAnsi="Times New Roman" w:cs="Times New Roman"/>
        <w:sz w:val="22"/>
        <w:szCs w:val="22"/>
        <w:lang w:val="en-IN"/>
      </w:rPr>
      <w:tab/>
    </w:r>
    <w:r w:rsidRPr="0070110E">
      <w:rPr>
        <w:rFonts w:ascii="Times New Roman" w:hAnsi="Times New Roman" w:cs="Times New Roman"/>
        <w:i/>
        <w:sz w:val="22"/>
        <w:szCs w:val="22"/>
        <w:lang w:val="en-IN"/>
      </w:rPr>
      <w:t>Papua New Guinea (No.</w:t>
    </w:r>
    <w:r w:rsidR="00084929">
      <w:rPr>
        <w:rFonts w:ascii="Times New Roman" w:hAnsi="Times New Roman" w:cs="Times New Roman"/>
        <w:i/>
        <w:sz w:val="22"/>
        <w:szCs w:val="22"/>
        <w:lang w:val="en-IN"/>
      </w:rPr>
      <w:t xml:space="preserve"> </w:t>
    </w:r>
    <w:r w:rsidRPr="00084929">
      <w:rPr>
        <w:rFonts w:ascii="Times New Roman" w:hAnsi="Times New Roman" w:cs="Times New Roman"/>
        <w:sz w:val="22"/>
        <w:szCs w:val="22"/>
        <w:lang w:val="en-IN"/>
      </w:rPr>
      <w:t>2</w:t>
    </w:r>
    <w:r w:rsidRPr="0070110E">
      <w:rPr>
        <w:rFonts w:ascii="Times New Roman" w:hAnsi="Times New Roman" w:cs="Times New Roman"/>
        <w:i/>
        <w:sz w:val="22"/>
        <w:szCs w:val="22"/>
        <w:lang w:val="en-IN"/>
      </w:rPr>
      <w:t>)</w:t>
    </w:r>
    <w:r>
      <w:rPr>
        <w:rFonts w:ascii="Times New Roman" w:hAnsi="Times New Roman" w:cs="Times New Roman"/>
        <w:sz w:val="22"/>
        <w:szCs w:val="22"/>
        <w:lang w:val="en-IN"/>
      </w:rPr>
      <w:tab/>
    </w:r>
    <w:r w:rsidRPr="0070110E">
      <w:rPr>
        <w:rFonts w:ascii="Times New Roman" w:hAnsi="Times New Roman" w:cs="Times New Roman"/>
        <w:sz w:val="22"/>
        <w:szCs w:val="22"/>
        <w:lang w:val="en-IN"/>
      </w:rPr>
      <w:t>No.</w:t>
    </w:r>
    <w:r w:rsidR="00084929">
      <w:rPr>
        <w:rFonts w:ascii="Times New Roman" w:hAnsi="Times New Roman" w:cs="Times New Roman"/>
        <w:sz w:val="22"/>
        <w:szCs w:val="22"/>
        <w:lang w:val="en-IN"/>
      </w:rPr>
      <w:t xml:space="preserve"> </w:t>
    </w:r>
    <w:r w:rsidRPr="0070110E">
      <w:rPr>
        <w:rFonts w:ascii="Times New Roman" w:hAnsi="Times New Roman" w:cs="Times New Roman"/>
        <w:sz w:val="22"/>
        <w:szCs w:val="22"/>
        <w:lang w:val="en-IN"/>
      </w:rPr>
      <w:t>161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1A3B2" w14:textId="77777777" w:rsidR="0070110E" w:rsidRPr="0070110E" w:rsidRDefault="0070110E" w:rsidP="0070110E">
    <w:pPr>
      <w:pStyle w:val="Header"/>
      <w:tabs>
        <w:tab w:val="clear" w:pos="4513"/>
        <w:tab w:val="clear" w:pos="9026"/>
        <w:tab w:val="center" w:pos="5040"/>
        <w:tab w:val="right" w:pos="9720"/>
      </w:tabs>
      <w:rPr>
        <w:rFonts w:ascii="Times New Roman" w:hAnsi="Times New Roman" w:cs="Times New Roman"/>
        <w:sz w:val="22"/>
        <w:szCs w:val="22"/>
        <w:lang w:val="en-IN"/>
      </w:rPr>
    </w:pPr>
    <w:r w:rsidRPr="0070110E">
      <w:rPr>
        <w:rFonts w:ascii="Times New Roman" w:hAnsi="Times New Roman" w:cs="Times New Roman"/>
        <w:sz w:val="22"/>
        <w:szCs w:val="22"/>
        <w:lang w:val="en-IN"/>
      </w:rPr>
      <w:t xml:space="preserve">No. 161 </w:t>
    </w:r>
    <w:r w:rsidRPr="0070110E">
      <w:rPr>
        <w:rFonts w:ascii="Times New Roman" w:hAnsi="Times New Roman" w:cs="Times New Roman"/>
        <w:sz w:val="22"/>
        <w:szCs w:val="22"/>
        <w:lang w:val="en-IN"/>
      </w:rPr>
      <w:tab/>
    </w:r>
    <w:r w:rsidRPr="0070110E">
      <w:rPr>
        <w:rFonts w:ascii="Times New Roman" w:hAnsi="Times New Roman" w:cs="Times New Roman"/>
        <w:i/>
        <w:sz w:val="22"/>
        <w:szCs w:val="22"/>
        <w:lang w:val="en-IN"/>
      </w:rPr>
      <w:t>Papua New Guinea (No.2)</w:t>
    </w:r>
    <w:r w:rsidRPr="0070110E">
      <w:rPr>
        <w:rFonts w:ascii="Times New Roman" w:hAnsi="Times New Roman" w:cs="Times New Roman"/>
        <w:sz w:val="22"/>
        <w:szCs w:val="22"/>
        <w:lang w:val="en-IN"/>
      </w:rPr>
      <w:t xml:space="preserve"> </w:t>
    </w:r>
    <w:r w:rsidRPr="0070110E">
      <w:rPr>
        <w:rFonts w:ascii="Times New Roman" w:hAnsi="Times New Roman" w:cs="Times New Roman"/>
        <w:sz w:val="22"/>
        <w:szCs w:val="22"/>
        <w:lang w:val="en-IN"/>
      </w:rPr>
      <w:tab/>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7A33"/>
    <w:multiLevelType w:val="multilevel"/>
    <w:tmpl w:val="916C59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E637DE"/>
    <w:multiLevelType w:val="multilevel"/>
    <w:tmpl w:val="008E87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8934FA"/>
    <w:multiLevelType w:val="multilevel"/>
    <w:tmpl w:val="4DE601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E10488"/>
    <w:multiLevelType w:val="multilevel"/>
    <w:tmpl w:val="0C6AB5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087958"/>
    <w:multiLevelType w:val="multilevel"/>
    <w:tmpl w:val="DB26FC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EA4159"/>
    <w:multiLevelType w:val="multilevel"/>
    <w:tmpl w:val="6828604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025A98"/>
    <w:multiLevelType w:val="multilevel"/>
    <w:tmpl w:val="65EED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E41893"/>
    <w:multiLevelType w:val="multilevel"/>
    <w:tmpl w:val="FE523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A230F"/>
    <w:rsid w:val="00003217"/>
    <w:rsid w:val="00084929"/>
    <w:rsid w:val="002A4146"/>
    <w:rsid w:val="002B2E50"/>
    <w:rsid w:val="00367213"/>
    <w:rsid w:val="0070110E"/>
    <w:rsid w:val="007F7A47"/>
    <w:rsid w:val="00891ED7"/>
    <w:rsid w:val="00921F49"/>
    <w:rsid w:val="00BA230F"/>
    <w:rsid w:val="00C26EDF"/>
    <w:rsid w:val="00F91226"/>
    <w:rsid w:val="00FA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1"/>
      <w:szCs w:val="21"/>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MSReferenceSansSerif">
    <w:name w:val="Body text + MS Reference Sans Serif"/>
    <w:aliases w:val="6.5 pt"/>
    <w:basedOn w:val="Bodytext"/>
    <w:rPr>
      <w:rFonts w:ascii="MS Reference Sans Serif" w:eastAsia="MS Reference Sans Serif" w:hAnsi="MS Reference Sans Serif" w:cs="MS Reference Sans Serif"/>
      <w:b w:val="0"/>
      <w:bCs w:val="0"/>
      <w:i w:val="0"/>
      <w:iCs w:val="0"/>
      <w:smallCaps w:val="0"/>
      <w:strike w:val="0"/>
      <w:color w:val="000000"/>
      <w:spacing w:val="0"/>
      <w:w w:val="100"/>
      <w:position w:val="0"/>
      <w:sz w:val="13"/>
      <w:szCs w:val="13"/>
      <w:u w:val="none"/>
      <w:lang w:val="en-US"/>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z w:val="27"/>
      <w:szCs w:val="27"/>
      <w:u w:val="none"/>
    </w:rPr>
  </w:style>
  <w:style w:type="character" w:customStyle="1" w:styleId="Heading2">
    <w:name w:val="Heading #2_"/>
    <w:basedOn w:val="DefaultParagraphFont"/>
    <w:link w:val="Heading20"/>
    <w:rPr>
      <w:rFonts w:ascii="Trebuchet MS" w:eastAsia="Trebuchet MS" w:hAnsi="Trebuchet MS" w:cs="Trebuchet MS"/>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105pt0">
    <w:name w:val="Body text (2) + 10.5 pt"/>
    <w:aliases w:val="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8pt">
    <w:name w:val="Body text (2) + 8 pt"/>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paragraph" w:customStyle="1" w:styleId="Footnote30">
    <w:name w:val="Footnote (3)"/>
    <w:basedOn w:val="Normal"/>
    <w:link w:val="Footnote3"/>
    <w:pPr>
      <w:spacing w:line="235" w:lineRule="exact"/>
      <w:ind w:firstLine="320"/>
      <w:jc w:val="both"/>
    </w:pPr>
    <w:rPr>
      <w:rFonts w:ascii="Times New Roman" w:eastAsia="Times New Roman" w:hAnsi="Times New Roman" w:cs="Times New Roman"/>
      <w:sz w:val="21"/>
      <w:szCs w:val="21"/>
    </w:rPr>
  </w:style>
  <w:style w:type="paragraph" w:customStyle="1" w:styleId="BodyText1">
    <w:name w:val="Body Text1"/>
    <w:basedOn w:val="Normal"/>
    <w:link w:val="Bodytext"/>
    <w:pPr>
      <w:spacing w:line="0" w:lineRule="atLeast"/>
      <w:ind w:hanging="520"/>
      <w:jc w:val="center"/>
    </w:pPr>
    <w:rPr>
      <w:rFonts w:ascii="Times New Roman" w:eastAsia="Times New Roman" w:hAnsi="Times New Roman" w:cs="Times New Roman"/>
      <w:sz w:val="21"/>
      <w:szCs w:val="21"/>
    </w:rPr>
  </w:style>
  <w:style w:type="paragraph" w:customStyle="1" w:styleId="Heading10">
    <w:name w:val="Heading #1"/>
    <w:basedOn w:val="Normal"/>
    <w:link w:val="Heading1"/>
    <w:pPr>
      <w:spacing w:line="523" w:lineRule="exact"/>
      <w:jc w:val="center"/>
      <w:outlineLvl w:val="0"/>
    </w:pPr>
    <w:rPr>
      <w:rFonts w:ascii="Trebuchet MS" w:eastAsia="Trebuchet MS" w:hAnsi="Trebuchet MS" w:cs="Trebuchet MS"/>
      <w:b/>
      <w:bCs/>
      <w:sz w:val="27"/>
      <w:szCs w:val="27"/>
    </w:rPr>
  </w:style>
  <w:style w:type="paragraph" w:customStyle="1" w:styleId="Heading20">
    <w:name w:val="Heading #2"/>
    <w:basedOn w:val="Normal"/>
    <w:link w:val="Heading2"/>
    <w:pPr>
      <w:spacing w:line="0" w:lineRule="atLeast"/>
      <w:jc w:val="center"/>
      <w:outlineLvl w:val="1"/>
    </w:pPr>
    <w:rPr>
      <w:rFonts w:ascii="Trebuchet MS" w:eastAsia="Trebuchet MS" w:hAnsi="Trebuchet MS" w:cs="Trebuchet MS"/>
      <w:b/>
      <w:bCs/>
    </w:rPr>
  </w:style>
  <w:style w:type="paragraph" w:customStyle="1" w:styleId="Bodytext20">
    <w:name w:val="Body text (2)"/>
    <w:basedOn w:val="Normal"/>
    <w:link w:val="Bodytext2"/>
    <w:pPr>
      <w:spacing w:line="168" w:lineRule="exact"/>
      <w:jc w:val="both"/>
    </w:pPr>
    <w:rPr>
      <w:rFonts w:ascii="Times New Roman" w:eastAsia="Times New Roman" w:hAnsi="Times New Roman" w:cs="Times New Roman"/>
      <w:sz w:val="17"/>
      <w:szCs w:val="17"/>
    </w:rPr>
  </w:style>
  <w:style w:type="paragraph" w:customStyle="1" w:styleId="Bodytext30">
    <w:name w:val="Body text (3)"/>
    <w:basedOn w:val="Normal"/>
    <w:link w:val="Bodytext3"/>
    <w:pPr>
      <w:spacing w:line="0" w:lineRule="atLeast"/>
      <w:ind w:hanging="320"/>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0110E"/>
    <w:pPr>
      <w:tabs>
        <w:tab w:val="center" w:pos="4513"/>
        <w:tab w:val="right" w:pos="9026"/>
      </w:tabs>
    </w:pPr>
  </w:style>
  <w:style w:type="character" w:customStyle="1" w:styleId="HeaderChar">
    <w:name w:val="Header Char"/>
    <w:basedOn w:val="DefaultParagraphFont"/>
    <w:link w:val="Header"/>
    <w:uiPriority w:val="99"/>
    <w:rsid w:val="0070110E"/>
    <w:rPr>
      <w:color w:val="000000"/>
    </w:rPr>
  </w:style>
  <w:style w:type="paragraph" w:styleId="Footer">
    <w:name w:val="footer"/>
    <w:basedOn w:val="Normal"/>
    <w:link w:val="FooterChar"/>
    <w:uiPriority w:val="99"/>
    <w:unhideWhenUsed/>
    <w:rsid w:val="0070110E"/>
    <w:pPr>
      <w:tabs>
        <w:tab w:val="center" w:pos="4513"/>
        <w:tab w:val="right" w:pos="9026"/>
      </w:tabs>
    </w:pPr>
  </w:style>
  <w:style w:type="character" w:customStyle="1" w:styleId="FooterChar">
    <w:name w:val="Footer Char"/>
    <w:basedOn w:val="DefaultParagraphFont"/>
    <w:link w:val="Footer"/>
    <w:uiPriority w:val="99"/>
    <w:rsid w:val="0070110E"/>
    <w:rPr>
      <w:color w:val="000000"/>
    </w:rPr>
  </w:style>
  <w:style w:type="character" w:styleId="CommentReference">
    <w:name w:val="annotation reference"/>
    <w:basedOn w:val="DefaultParagraphFont"/>
    <w:uiPriority w:val="99"/>
    <w:semiHidden/>
    <w:unhideWhenUsed/>
    <w:rsid w:val="007F7A47"/>
    <w:rPr>
      <w:sz w:val="16"/>
      <w:szCs w:val="16"/>
    </w:rPr>
  </w:style>
  <w:style w:type="paragraph" w:styleId="CommentText">
    <w:name w:val="annotation text"/>
    <w:basedOn w:val="Normal"/>
    <w:link w:val="CommentTextChar"/>
    <w:uiPriority w:val="99"/>
    <w:semiHidden/>
    <w:unhideWhenUsed/>
    <w:rsid w:val="007F7A47"/>
    <w:rPr>
      <w:sz w:val="20"/>
      <w:szCs w:val="20"/>
    </w:rPr>
  </w:style>
  <w:style w:type="character" w:customStyle="1" w:styleId="CommentTextChar">
    <w:name w:val="Comment Text Char"/>
    <w:basedOn w:val="DefaultParagraphFont"/>
    <w:link w:val="CommentText"/>
    <w:uiPriority w:val="99"/>
    <w:semiHidden/>
    <w:rsid w:val="007F7A47"/>
    <w:rPr>
      <w:color w:val="000000"/>
      <w:sz w:val="20"/>
      <w:szCs w:val="20"/>
    </w:rPr>
  </w:style>
  <w:style w:type="paragraph" w:styleId="CommentSubject">
    <w:name w:val="annotation subject"/>
    <w:basedOn w:val="CommentText"/>
    <w:next w:val="CommentText"/>
    <w:link w:val="CommentSubjectChar"/>
    <w:uiPriority w:val="99"/>
    <w:semiHidden/>
    <w:unhideWhenUsed/>
    <w:rsid w:val="007F7A47"/>
    <w:rPr>
      <w:b/>
      <w:bCs/>
    </w:rPr>
  </w:style>
  <w:style w:type="character" w:customStyle="1" w:styleId="CommentSubjectChar">
    <w:name w:val="Comment Subject Char"/>
    <w:basedOn w:val="CommentTextChar"/>
    <w:link w:val="CommentSubject"/>
    <w:uiPriority w:val="99"/>
    <w:semiHidden/>
    <w:rsid w:val="007F7A47"/>
    <w:rPr>
      <w:b/>
      <w:bCs/>
      <w:color w:val="000000"/>
      <w:sz w:val="20"/>
      <w:szCs w:val="20"/>
    </w:rPr>
  </w:style>
  <w:style w:type="paragraph" w:styleId="BalloonText">
    <w:name w:val="Balloon Text"/>
    <w:basedOn w:val="Normal"/>
    <w:link w:val="BalloonTextChar"/>
    <w:uiPriority w:val="99"/>
    <w:semiHidden/>
    <w:unhideWhenUsed/>
    <w:rsid w:val="007F7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A47"/>
    <w:rPr>
      <w:rFonts w:ascii="Segoe UI" w:hAnsi="Segoe UI" w:cs="Segoe UI"/>
      <w:color w:val="000000"/>
      <w:sz w:val="18"/>
      <w:szCs w:val="18"/>
    </w:rPr>
  </w:style>
  <w:style w:type="paragraph" w:styleId="Revision">
    <w:name w:val="Revision"/>
    <w:hidden/>
    <w:uiPriority w:val="99"/>
    <w:semiHidden/>
    <w:rsid w:val="0008492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16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2018-09-20T19:08:00Z</dcterms:created>
  <dcterms:modified xsi:type="dcterms:W3CDTF">2019-07-05T01:10:00Z</dcterms:modified>
</cp:coreProperties>
</file>