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3D1D5" w14:textId="5673EFF4" w:rsidR="00AF7317" w:rsidRPr="004B3054" w:rsidRDefault="00795149" w:rsidP="004B3054">
      <w:pPr>
        <w:spacing w:after="160"/>
        <w:jc w:val="center"/>
        <w:rPr>
          <w:sz w:val="32"/>
          <w:szCs w:val="32"/>
        </w:rPr>
      </w:pPr>
      <w:bookmarkStart w:id="0" w:name="bookmark0"/>
      <w:r w:rsidRPr="004B3054">
        <w:rPr>
          <w:rStyle w:val="Heading1Arial"/>
          <w:rFonts w:ascii="Times New Roman" w:hAnsi="Times New Roman" w:cs="Times New Roman"/>
          <w:sz w:val="32"/>
          <w:szCs w:val="32"/>
        </w:rPr>
        <w:t>JUDGES</w:t>
      </w:r>
      <w:r w:rsidR="007B3DDF">
        <w:rPr>
          <w:rStyle w:val="Heading1Arial"/>
          <w:rFonts w:ascii="Times New Roman" w:hAnsi="Times New Roman" w:cs="Times New Roman"/>
          <w:sz w:val="32"/>
          <w:szCs w:val="32"/>
        </w:rPr>
        <w:t>’</w:t>
      </w:r>
      <w:r w:rsidRPr="004B3054">
        <w:rPr>
          <w:rStyle w:val="Heading1Arial"/>
          <w:rFonts w:ascii="Times New Roman" w:hAnsi="Times New Roman" w:cs="Times New Roman"/>
          <w:sz w:val="32"/>
          <w:szCs w:val="32"/>
        </w:rPr>
        <w:t xml:space="preserve"> PENSIONS ACT 1974</w:t>
      </w:r>
      <w:bookmarkEnd w:id="0"/>
    </w:p>
    <w:p w14:paraId="45D5C660" w14:textId="77777777" w:rsidR="00AF7317" w:rsidRPr="004B3054" w:rsidRDefault="00795149" w:rsidP="004B3054">
      <w:pPr>
        <w:spacing w:after="240"/>
        <w:jc w:val="center"/>
        <w:rPr>
          <w:sz w:val="28"/>
          <w:szCs w:val="28"/>
        </w:rPr>
      </w:pPr>
      <w:bookmarkStart w:id="1" w:name="bookmark1"/>
      <w:r w:rsidRPr="004B3054">
        <w:rPr>
          <w:rStyle w:val="Heading2Arial"/>
          <w:rFonts w:ascii="Times New Roman" w:hAnsi="Times New Roman" w:cs="Times New Roman"/>
          <w:sz w:val="28"/>
          <w:szCs w:val="28"/>
        </w:rPr>
        <w:t>No. 162 of 1974</w:t>
      </w:r>
      <w:bookmarkEnd w:id="1"/>
    </w:p>
    <w:p w14:paraId="35281D3A" w14:textId="0AA3D739" w:rsidR="00AF7317" w:rsidRPr="004B3054" w:rsidRDefault="00795149" w:rsidP="004B3054">
      <w:pPr>
        <w:pStyle w:val="BodyText1"/>
        <w:spacing w:after="240" w:line="240" w:lineRule="auto"/>
        <w:ind w:firstLine="0"/>
        <w:rPr>
          <w:sz w:val="24"/>
          <w:szCs w:val="24"/>
        </w:rPr>
      </w:pPr>
      <w:r w:rsidRPr="004B3054">
        <w:rPr>
          <w:rStyle w:val="Bodytext11pt"/>
          <w:sz w:val="24"/>
          <w:szCs w:val="24"/>
        </w:rPr>
        <w:t xml:space="preserve">An Act to amend the </w:t>
      </w:r>
      <w:r w:rsidRPr="004B3054">
        <w:rPr>
          <w:rStyle w:val="Bodytext11pt0"/>
          <w:sz w:val="24"/>
          <w:szCs w:val="24"/>
        </w:rPr>
        <w:t>Judges</w:t>
      </w:r>
      <w:r w:rsidR="007B3DDF">
        <w:rPr>
          <w:rStyle w:val="Bodytext11pt0"/>
          <w:sz w:val="24"/>
          <w:szCs w:val="24"/>
        </w:rPr>
        <w:t>’</w:t>
      </w:r>
      <w:r w:rsidRPr="004B3054">
        <w:rPr>
          <w:rStyle w:val="Bodytext11pt0"/>
          <w:sz w:val="24"/>
          <w:szCs w:val="24"/>
        </w:rPr>
        <w:t xml:space="preserve"> Pensions Act</w:t>
      </w:r>
      <w:r w:rsidR="004B3054">
        <w:rPr>
          <w:rStyle w:val="Bodytext11pt"/>
          <w:sz w:val="24"/>
          <w:szCs w:val="24"/>
        </w:rPr>
        <w:t xml:space="preserve"> 1968-1973 in relation to cer</w:t>
      </w:r>
      <w:r w:rsidRPr="004B3054">
        <w:rPr>
          <w:rStyle w:val="Bodytext11pt"/>
          <w:sz w:val="24"/>
          <w:szCs w:val="24"/>
        </w:rPr>
        <w:t>tain Persons who are or have been Judges of the Supreme Court of Papua New Guinea.</w:t>
      </w:r>
    </w:p>
    <w:p w14:paraId="5EF6176E" w14:textId="77777777" w:rsidR="00AF7317" w:rsidRPr="004B3054" w:rsidRDefault="00795149" w:rsidP="004B3054">
      <w:pPr>
        <w:pStyle w:val="BodyText1"/>
        <w:spacing w:after="120" w:line="240" w:lineRule="auto"/>
        <w:ind w:firstLine="274"/>
        <w:rPr>
          <w:sz w:val="24"/>
          <w:szCs w:val="24"/>
        </w:rPr>
      </w:pPr>
      <w:r w:rsidRPr="004B3054">
        <w:rPr>
          <w:rStyle w:val="Bodytext11pt"/>
          <w:sz w:val="24"/>
          <w:szCs w:val="24"/>
        </w:rPr>
        <w:t>BE IT ENACTED by the Queen, the Senate and the House of Representatives of Australia, as follows: —</w:t>
      </w:r>
    </w:p>
    <w:p w14:paraId="21EDBD3D" w14:textId="77777777" w:rsidR="00AF7317" w:rsidRPr="004B3054" w:rsidRDefault="00795149" w:rsidP="004B3054">
      <w:pPr>
        <w:pStyle w:val="Bodytext20"/>
        <w:spacing w:before="120" w:after="60" w:line="240" w:lineRule="auto"/>
        <w:rPr>
          <w:b/>
          <w:sz w:val="20"/>
          <w:szCs w:val="20"/>
        </w:rPr>
      </w:pPr>
      <w:r w:rsidRPr="004B3054">
        <w:rPr>
          <w:b/>
          <w:sz w:val="20"/>
          <w:szCs w:val="20"/>
        </w:rPr>
        <w:t>Short title and citation.</w:t>
      </w:r>
    </w:p>
    <w:p w14:paraId="3881A4AD" w14:textId="2B7F36A3" w:rsidR="00AF7317" w:rsidRPr="004B3054" w:rsidRDefault="004B3054" w:rsidP="004B3054">
      <w:pPr>
        <w:pStyle w:val="BodyText1"/>
        <w:spacing w:after="60" w:line="240" w:lineRule="auto"/>
        <w:ind w:firstLine="274"/>
        <w:rPr>
          <w:sz w:val="24"/>
          <w:szCs w:val="24"/>
        </w:rPr>
      </w:pPr>
      <w:r w:rsidRPr="004B3054">
        <w:rPr>
          <w:rStyle w:val="Bodytext11pt"/>
          <w:b/>
          <w:sz w:val="24"/>
          <w:szCs w:val="24"/>
        </w:rPr>
        <w:t>1.</w:t>
      </w:r>
      <w:r>
        <w:rPr>
          <w:rStyle w:val="Bodytext11pt"/>
          <w:b/>
          <w:sz w:val="24"/>
          <w:szCs w:val="24"/>
        </w:rPr>
        <w:t xml:space="preserve"> </w:t>
      </w:r>
      <w:r w:rsidR="00795149" w:rsidRPr="004B3054">
        <w:rPr>
          <w:rStyle w:val="Bodytext11pt"/>
          <w:sz w:val="24"/>
          <w:szCs w:val="24"/>
        </w:rPr>
        <w:t xml:space="preserve">(1) This Act may be cited as the </w:t>
      </w:r>
      <w:r w:rsidR="00795149" w:rsidRPr="004B3054">
        <w:rPr>
          <w:rStyle w:val="Bodytext11pt0"/>
          <w:sz w:val="24"/>
          <w:szCs w:val="24"/>
        </w:rPr>
        <w:t>Judges’ Pensions Act</w:t>
      </w:r>
      <w:r w:rsidR="00795149" w:rsidRPr="004B3054">
        <w:rPr>
          <w:rStyle w:val="Bodytext11pt"/>
          <w:sz w:val="24"/>
          <w:szCs w:val="24"/>
        </w:rPr>
        <w:t xml:space="preserve"> 1974.</w:t>
      </w:r>
    </w:p>
    <w:p w14:paraId="609760AE" w14:textId="4A5FC7AF" w:rsidR="00AF7317" w:rsidRPr="004B3054" w:rsidRDefault="004B3054" w:rsidP="004B3054">
      <w:pPr>
        <w:pStyle w:val="BodyText1"/>
        <w:spacing w:after="60" w:line="240" w:lineRule="auto"/>
        <w:ind w:firstLine="274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(2) </w:t>
      </w:r>
      <w:r w:rsidR="00795149" w:rsidRPr="004B3054">
        <w:rPr>
          <w:rStyle w:val="Bodytext11pt"/>
          <w:sz w:val="24"/>
          <w:szCs w:val="24"/>
        </w:rPr>
        <w:t xml:space="preserve">The </w:t>
      </w:r>
      <w:r w:rsidR="00795149" w:rsidRPr="004B3054">
        <w:rPr>
          <w:rStyle w:val="Bodytext11pt0"/>
          <w:sz w:val="24"/>
          <w:szCs w:val="24"/>
        </w:rPr>
        <w:t>Judges’ Pensions Act</w:t>
      </w:r>
      <w:r w:rsidR="00795149" w:rsidRPr="004B3054">
        <w:rPr>
          <w:rStyle w:val="Bodytext11pt"/>
          <w:sz w:val="24"/>
          <w:szCs w:val="24"/>
        </w:rPr>
        <w:t xml:space="preserve"> 1968-1973 is in this Act referred to as the Principal Act.</w:t>
      </w:r>
    </w:p>
    <w:p w14:paraId="2A64D944" w14:textId="77777777" w:rsidR="00AF7317" w:rsidRPr="004B3054" w:rsidRDefault="004B3054" w:rsidP="004B3054">
      <w:pPr>
        <w:pStyle w:val="BodyText1"/>
        <w:spacing w:after="60" w:line="240" w:lineRule="auto"/>
        <w:ind w:firstLine="274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(3) </w:t>
      </w:r>
      <w:r w:rsidR="00795149" w:rsidRPr="004B3054">
        <w:rPr>
          <w:rStyle w:val="Bodytext11pt"/>
          <w:sz w:val="24"/>
          <w:szCs w:val="24"/>
        </w:rPr>
        <w:t xml:space="preserve">The Principal Act, as amended by this Act, may be cited as the </w:t>
      </w:r>
      <w:r w:rsidR="00795149" w:rsidRPr="004B3054">
        <w:rPr>
          <w:rStyle w:val="Bodytext11pt0"/>
          <w:sz w:val="24"/>
          <w:szCs w:val="24"/>
        </w:rPr>
        <w:t>Judges’ Pensions Act</w:t>
      </w:r>
      <w:r w:rsidR="00795149" w:rsidRPr="004B3054">
        <w:rPr>
          <w:rStyle w:val="Bodytext11pt"/>
          <w:sz w:val="24"/>
          <w:szCs w:val="24"/>
        </w:rPr>
        <w:t xml:space="preserve"> 1968-1974.</w:t>
      </w:r>
    </w:p>
    <w:p w14:paraId="79EFC850" w14:textId="77777777" w:rsidR="004B3054" w:rsidRPr="004B3054" w:rsidRDefault="004B3054" w:rsidP="004B3054">
      <w:pPr>
        <w:pStyle w:val="Bodytext20"/>
        <w:spacing w:before="120" w:after="60" w:line="240" w:lineRule="auto"/>
        <w:rPr>
          <w:b/>
          <w:sz w:val="20"/>
          <w:szCs w:val="20"/>
        </w:rPr>
      </w:pPr>
      <w:r w:rsidRPr="004B3054">
        <w:rPr>
          <w:b/>
          <w:sz w:val="20"/>
          <w:szCs w:val="20"/>
        </w:rPr>
        <w:t>Commencement.</w:t>
      </w:r>
    </w:p>
    <w:p w14:paraId="7EE49141" w14:textId="574B4BF3" w:rsidR="00AF7317" w:rsidRPr="004B3054" w:rsidRDefault="004B3054" w:rsidP="004B3054">
      <w:pPr>
        <w:pStyle w:val="BodyText1"/>
        <w:spacing w:after="60" w:line="240" w:lineRule="auto"/>
        <w:ind w:firstLine="274"/>
        <w:rPr>
          <w:sz w:val="24"/>
          <w:szCs w:val="24"/>
        </w:rPr>
      </w:pPr>
      <w:r w:rsidRPr="004B3054">
        <w:rPr>
          <w:rStyle w:val="Bodytext11pt"/>
          <w:b/>
          <w:sz w:val="24"/>
          <w:szCs w:val="24"/>
        </w:rPr>
        <w:t>2.</w:t>
      </w:r>
      <w:r>
        <w:rPr>
          <w:rStyle w:val="Bodytext11pt"/>
          <w:b/>
          <w:sz w:val="24"/>
          <w:szCs w:val="24"/>
        </w:rPr>
        <w:t xml:space="preserve"> </w:t>
      </w:r>
      <w:r w:rsidR="00795149" w:rsidRPr="004B3054">
        <w:rPr>
          <w:rStyle w:val="Bodytext11pt"/>
          <w:sz w:val="24"/>
          <w:szCs w:val="24"/>
        </w:rPr>
        <w:t>(1) Sections 1, 2 and 5 shall come into operation on the day on which this Act receives the Royal Assent.</w:t>
      </w:r>
    </w:p>
    <w:p w14:paraId="21A575E8" w14:textId="56208308" w:rsidR="00AF7317" w:rsidRPr="004B3054" w:rsidRDefault="00795149" w:rsidP="004B3054">
      <w:pPr>
        <w:pStyle w:val="BodyText1"/>
        <w:spacing w:line="240" w:lineRule="auto"/>
        <w:ind w:firstLine="270"/>
        <w:rPr>
          <w:sz w:val="24"/>
          <w:szCs w:val="24"/>
        </w:rPr>
      </w:pPr>
      <w:r w:rsidRPr="004B3054">
        <w:rPr>
          <w:rStyle w:val="Bodytext11pt"/>
          <w:sz w:val="24"/>
          <w:szCs w:val="24"/>
        </w:rPr>
        <w:t xml:space="preserve">(2) </w:t>
      </w:r>
      <w:bookmarkStart w:id="2" w:name="_GoBack"/>
      <w:r w:rsidRPr="004B3054">
        <w:rPr>
          <w:rStyle w:val="Bodytext11pt"/>
          <w:sz w:val="24"/>
          <w:szCs w:val="24"/>
        </w:rPr>
        <w:t xml:space="preserve">The remaining provisions of this Act shall come into operation on the date fixed under sub-section 2(2) of the </w:t>
      </w:r>
      <w:r w:rsidRPr="004B3054">
        <w:rPr>
          <w:rStyle w:val="Bodytext11pt0"/>
          <w:sz w:val="24"/>
          <w:szCs w:val="24"/>
        </w:rPr>
        <w:t xml:space="preserve">Papua New Guinea Act </w:t>
      </w:r>
      <w:r w:rsidR="00CF10A5" w:rsidRPr="007B3DDF">
        <w:rPr>
          <w:rStyle w:val="Bodytext11pt0"/>
          <w:i w:val="0"/>
          <w:sz w:val="24"/>
          <w:szCs w:val="24"/>
        </w:rPr>
        <w:t>(</w:t>
      </w:r>
      <w:r w:rsidRPr="004B3054">
        <w:rPr>
          <w:rStyle w:val="Bodytext11pt0"/>
          <w:sz w:val="24"/>
          <w:szCs w:val="24"/>
        </w:rPr>
        <w:t xml:space="preserve">No. </w:t>
      </w:r>
      <w:r w:rsidRPr="007B3DDF">
        <w:rPr>
          <w:rStyle w:val="Bodytext11pt0"/>
          <w:i w:val="0"/>
          <w:sz w:val="24"/>
          <w:szCs w:val="24"/>
        </w:rPr>
        <w:t>2)</w:t>
      </w:r>
      <w:r w:rsidRPr="004B3054">
        <w:rPr>
          <w:rStyle w:val="Bodytext11pt"/>
          <w:sz w:val="24"/>
          <w:szCs w:val="24"/>
        </w:rPr>
        <w:t xml:space="preserve"> 1974.</w:t>
      </w:r>
      <w:bookmarkEnd w:id="2"/>
    </w:p>
    <w:p w14:paraId="63A91288" w14:textId="77777777" w:rsidR="004B3054" w:rsidRPr="004B3054" w:rsidRDefault="004B3054" w:rsidP="004B3054">
      <w:pPr>
        <w:pStyle w:val="Bodytext20"/>
        <w:spacing w:before="120" w:after="60" w:line="240" w:lineRule="auto"/>
        <w:rPr>
          <w:b/>
          <w:sz w:val="20"/>
          <w:szCs w:val="20"/>
        </w:rPr>
      </w:pPr>
      <w:r w:rsidRPr="004B3054">
        <w:rPr>
          <w:b/>
          <w:sz w:val="20"/>
          <w:szCs w:val="20"/>
        </w:rPr>
        <w:t>Interpretation.</w:t>
      </w:r>
    </w:p>
    <w:p w14:paraId="6838CFA8" w14:textId="77777777" w:rsidR="00AF7317" w:rsidRPr="004B3054" w:rsidRDefault="004B3054" w:rsidP="004B3054">
      <w:pPr>
        <w:pStyle w:val="BodyText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4B3054">
        <w:rPr>
          <w:rStyle w:val="Bodytext11pt"/>
          <w:b/>
          <w:sz w:val="24"/>
          <w:szCs w:val="24"/>
        </w:rPr>
        <w:t>3.</w:t>
      </w:r>
      <w:r>
        <w:rPr>
          <w:rStyle w:val="Bodytext11pt"/>
          <w:b/>
          <w:sz w:val="24"/>
          <w:szCs w:val="24"/>
        </w:rPr>
        <w:tab/>
      </w:r>
      <w:r w:rsidR="00795149" w:rsidRPr="004B3054">
        <w:rPr>
          <w:rStyle w:val="Bodytext11pt"/>
          <w:sz w:val="24"/>
          <w:szCs w:val="24"/>
        </w:rPr>
        <w:t>Section 4 of the Principal Act is amended—</w:t>
      </w:r>
    </w:p>
    <w:p w14:paraId="66836195" w14:textId="77777777" w:rsidR="00AF7317" w:rsidRPr="004B3054" w:rsidRDefault="004B3054" w:rsidP="00CF10A5">
      <w:pPr>
        <w:pStyle w:val="BodyText1"/>
        <w:spacing w:after="60" w:line="240" w:lineRule="auto"/>
        <w:ind w:left="634" w:hanging="360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(a) </w:t>
      </w:r>
      <w:r w:rsidR="00795149" w:rsidRPr="004B3054">
        <w:rPr>
          <w:rStyle w:val="Bodytext11pt"/>
          <w:sz w:val="24"/>
          <w:szCs w:val="24"/>
        </w:rPr>
        <w:t>by omitting from sub-section (1) the definition of “appropriate current judicial salary” and su</w:t>
      </w:r>
      <w:r w:rsidR="00CF10A5">
        <w:rPr>
          <w:rStyle w:val="Bodytext11pt"/>
          <w:sz w:val="24"/>
          <w:szCs w:val="24"/>
        </w:rPr>
        <w:t>bstituting the following defini</w:t>
      </w:r>
      <w:r w:rsidR="00795149" w:rsidRPr="004B3054">
        <w:rPr>
          <w:rStyle w:val="Bodytext11pt"/>
          <w:sz w:val="24"/>
          <w:szCs w:val="24"/>
        </w:rPr>
        <w:t>tion:—</w:t>
      </w:r>
    </w:p>
    <w:p w14:paraId="59436D24" w14:textId="384FA4CC" w:rsidR="00AF7317" w:rsidRPr="004B3054" w:rsidRDefault="00795149" w:rsidP="004B3054">
      <w:pPr>
        <w:pStyle w:val="BodyText1"/>
        <w:spacing w:line="240" w:lineRule="auto"/>
        <w:ind w:left="1350" w:hanging="540"/>
        <w:rPr>
          <w:sz w:val="24"/>
          <w:szCs w:val="24"/>
        </w:rPr>
      </w:pPr>
      <w:r w:rsidRPr="004B3054">
        <w:rPr>
          <w:rStyle w:val="Bodytext11pt"/>
          <w:sz w:val="24"/>
          <w:szCs w:val="24"/>
        </w:rPr>
        <w:t>“‘appropriate current judicial salary’, in relation to a Judge who has retired or died, means—</w:t>
      </w:r>
    </w:p>
    <w:p w14:paraId="0ABEDA05" w14:textId="77777777" w:rsidR="00AF7317" w:rsidRPr="004B3054" w:rsidRDefault="004B3054" w:rsidP="00CF10A5">
      <w:pPr>
        <w:pStyle w:val="BodyText1"/>
        <w:spacing w:after="60" w:line="240" w:lineRule="auto"/>
        <w:ind w:left="1887" w:hanging="317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(a) </w:t>
      </w:r>
      <w:r w:rsidR="00795149" w:rsidRPr="004B3054">
        <w:rPr>
          <w:rStyle w:val="Bodytext11pt"/>
          <w:sz w:val="24"/>
          <w:szCs w:val="24"/>
        </w:rPr>
        <w:t>in the case of a Judge other than a Judge referred to in paragraph (b), (c) or (d)—salary at the rate that would be payable to the Judge if he had not retired or died;</w:t>
      </w:r>
    </w:p>
    <w:p w14:paraId="56BEA06C" w14:textId="77777777" w:rsidR="00AF7317" w:rsidRPr="004B3054" w:rsidRDefault="004B3054" w:rsidP="00CF10A5">
      <w:pPr>
        <w:pStyle w:val="BodyText1"/>
        <w:spacing w:after="60" w:line="240" w:lineRule="auto"/>
        <w:ind w:left="1887" w:hanging="317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(b) </w:t>
      </w:r>
      <w:r w:rsidR="00795149" w:rsidRPr="004B3054">
        <w:rPr>
          <w:rStyle w:val="Bodytext11pt"/>
          <w:sz w:val="24"/>
          <w:szCs w:val="24"/>
        </w:rPr>
        <w:t>in the case of a Judge who was the Chief Judge of the Commonweal</w:t>
      </w:r>
      <w:r>
        <w:rPr>
          <w:rStyle w:val="Bodytext11pt"/>
          <w:sz w:val="24"/>
          <w:szCs w:val="24"/>
        </w:rPr>
        <w:t>th Court of Conciliation and Ar</w:t>
      </w:r>
      <w:r w:rsidR="00795149" w:rsidRPr="004B3054">
        <w:rPr>
          <w:rStyle w:val="Bodytext11pt"/>
          <w:sz w:val="24"/>
          <w:szCs w:val="24"/>
        </w:rPr>
        <w:t>bitration or the Chief Justice of the Supreme Court of Papua New Guinea—the salary for the time being payabl</w:t>
      </w:r>
      <w:r>
        <w:rPr>
          <w:rStyle w:val="Bodytext11pt"/>
          <w:sz w:val="24"/>
          <w:szCs w:val="24"/>
        </w:rPr>
        <w:t>e to the Chief Judge of the Aus</w:t>
      </w:r>
      <w:r w:rsidR="00795149" w:rsidRPr="004B3054">
        <w:rPr>
          <w:rStyle w:val="Bodytext11pt"/>
          <w:sz w:val="24"/>
          <w:szCs w:val="24"/>
        </w:rPr>
        <w:t>tralian Industrial Court;</w:t>
      </w:r>
    </w:p>
    <w:p w14:paraId="6379B0E2" w14:textId="7AF7718A" w:rsidR="00AF7317" w:rsidRPr="004B3054" w:rsidRDefault="004B3054" w:rsidP="007B3DDF">
      <w:pPr>
        <w:pStyle w:val="BodyText1"/>
        <w:spacing w:line="240" w:lineRule="auto"/>
        <w:ind w:left="1890" w:hanging="315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(c) </w:t>
      </w:r>
      <w:r w:rsidR="00795149" w:rsidRPr="004B3054">
        <w:rPr>
          <w:rStyle w:val="Bodytext11pt"/>
          <w:sz w:val="24"/>
          <w:szCs w:val="24"/>
        </w:rPr>
        <w:t>in the case of a Judge who was the Senior Puisne Judge of the Supreme Court of Papua New Guinea—salary at a rate equal to the mean of the</w:t>
      </w:r>
      <w:r w:rsidR="007B3DDF">
        <w:rPr>
          <w:rStyle w:val="Bodytext11pt"/>
          <w:sz w:val="24"/>
          <w:szCs w:val="24"/>
        </w:rPr>
        <w:t xml:space="preserve"> </w:t>
      </w:r>
      <w:r w:rsidR="00795149" w:rsidRPr="004B3054">
        <w:rPr>
          <w:rStyle w:val="Bodytext11pt"/>
          <w:sz w:val="24"/>
          <w:szCs w:val="24"/>
        </w:rPr>
        <w:t>rates of the salaries referred to in paragraphs (b) and (d); and</w:t>
      </w:r>
    </w:p>
    <w:p w14:paraId="4E83BF05" w14:textId="77777777" w:rsidR="00AF7317" w:rsidRPr="004B3054" w:rsidRDefault="00CF10A5" w:rsidP="00CF10A5">
      <w:pPr>
        <w:pStyle w:val="BodyText1"/>
        <w:spacing w:line="240" w:lineRule="auto"/>
        <w:ind w:left="1953" w:hanging="378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(d) </w:t>
      </w:r>
      <w:r w:rsidR="00795149" w:rsidRPr="004B3054">
        <w:rPr>
          <w:rStyle w:val="Bodytext11pt"/>
          <w:sz w:val="24"/>
          <w:szCs w:val="24"/>
        </w:rPr>
        <w:t>in the case of a Judge who was a Judge, other than the Chief Judge, of the Commonwealth Court of Conciliation and Arbitration or was a Judge, other than the Chief Justice or the Senior Puisne Judge, of the Supreme Court of Papua New Guinea—th</w:t>
      </w:r>
      <w:r>
        <w:rPr>
          <w:rStyle w:val="Bodytext11pt"/>
          <w:sz w:val="24"/>
          <w:szCs w:val="24"/>
        </w:rPr>
        <w:t>e salary for the time being pay</w:t>
      </w:r>
      <w:r w:rsidR="00795149" w:rsidRPr="004B3054">
        <w:rPr>
          <w:rStyle w:val="Bodytext11pt"/>
          <w:sz w:val="24"/>
          <w:szCs w:val="24"/>
        </w:rPr>
        <w:t>able to a Judge, other than the Chief Judge, of the Australian Industrial Court;</w:t>
      </w:r>
    </w:p>
    <w:p w14:paraId="2F43F264" w14:textId="77777777" w:rsidR="00AF7317" w:rsidRPr="004B3054" w:rsidRDefault="00CF10A5" w:rsidP="00CF10A5">
      <w:pPr>
        <w:pStyle w:val="BodyText1"/>
        <w:spacing w:after="60" w:line="240" w:lineRule="auto"/>
        <w:ind w:left="634" w:hanging="360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(b) </w:t>
      </w:r>
      <w:r w:rsidR="00795149" w:rsidRPr="004B3054">
        <w:rPr>
          <w:rStyle w:val="Bodytext11pt"/>
          <w:sz w:val="24"/>
          <w:szCs w:val="24"/>
        </w:rPr>
        <w:t>by omitting from sub-section (1) the definition of “Judge” and substituting the following definitions:—</w:t>
      </w:r>
    </w:p>
    <w:p w14:paraId="5CB6BC6B" w14:textId="02642643" w:rsidR="00AF7317" w:rsidRPr="004B3054" w:rsidRDefault="00795149" w:rsidP="00CF10A5">
      <w:pPr>
        <w:pStyle w:val="BodyText1"/>
        <w:spacing w:line="240" w:lineRule="auto"/>
        <w:ind w:left="1350" w:hanging="540"/>
        <w:rPr>
          <w:sz w:val="24"/>
          <w:szCs w:val="24"/>
        </w:rPr>
      </w:pPr>
      <w:r w:rsidRPr="004B3054">
        <w:rPr>
          <w:rStyle w:val="Bodytext11pt"/>
          <w:sz w:val="24"/>
          <w:szCs w:val="24"/>
        </w:rPr>
        <w:t>“‘Judge’</w:t>
      </w:r>
      <w:r w:rsidR="00CF10A5">
        <w:rPr>
          <w:rStyle w:val="Bodytext11pt"/>
          <w:sz w:val="24"/>
          <w:szCs w:val="24"/>
        </w:rPr>
        <w:t xml:space="preserve"> </w:t>
      </w:r>
      <w:r w:rsidRPr="004B3054">
        <w:rPr>
          <w:rStyle w:val="Bodytext11pt"/>
          <w:sz w:val="24"/>
          <w:szCs w:val="24"/>
        </w:rPr>
        <w:t>means—</w:t>
      </w:r>
    </w:p>
    <w:p w14:paraId="696749C2" w14:textId="3AC3BE31" w:rsidR="00AF7317" w:rsidRPr="004B3054" w:rsidRDefault="00CF10A5" w:rsidP="00CF10A5">
      <w:pPr>
        <w:pStyle w:val="BodyText1"/>
        <w:spacing w:line="240" w:lineRule="auto"/>
        <w:ind w:left="1953" w:hanging="378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(a) </w:t>
      </w:r>
      <w:r w:rsidR="00795149" w:rsidRPr="004B3054">
        <w:rPr>
          <w:rStyle w:val="Bodytext11pt"/>
          <w:sz w:val="24"/>
          <w:szCs w:val="24"/>
        </w:rPr>
        <w:t>a Justice or Judge of a federal court or of the Supreme Court of an internal Territory;</w:t>
      </w:r>
    </w:p>
    <w:p w14:paraId="3A857F1A" w14:textId="77777777" w:rsidR="00AF7317" w:rsidRPr="004B3054" w:rsidRDefault="00CF10A5" w:rsidP="00CF10A5">
      <w:pPr>
        <w:pStyle w:val="BodyText1"/>
        <w:spacing w:line="240" w:lineRule="auto"/>
        <w:ind w:left="1953" w:hanging="378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(b) </w:t>
      </w:r>
      <w:r w:rsidR="00795149" w:rsidRPr="004B3054">
        <w:rPr>
          <w:rStyle w:val="Bodytext11pt"/>
          <w:sz w:val="24"/>
          <w:szCs w:val="24"/>
        </w:rPr>
        <w:t>a person who, by virtue of an Act, has the same status as a Justice or Judge of a court referred to in paragraph (a); or</w:t>
      </w:r>
    </w:p>
    <w:p w14:paraId="2E69EA4E" w14:textId="77777777" w:rsidR="00AF7317" w:rsidRPr="004B3054" w:rsidRDefault="00CF10A5" w:rsidP="00CF10A5">
      <w:pPr>
        <w:pStyle w:val="BodyText1"/>
        <w:spacing w:line="240" w:lineRule="auto"/>
        <w:ind w:left="1953" w:hanging="378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(c) </w:t>
      </w:r>
      <w:r w:rsidR="00795149" w:rsidRPr="004B3054">
        <w:rPr>
          <w:rStyle w:val="Bodytext11pt"/>
          <w:sz w:val="24"/>
          <w:szCs w:val="24"/>
        </w:rPr>
        <w:t>a Papua New Guinea Judge;</w:t>
      </w:r>
    </w:p>
    <w:p w14:paraId="304E6E5B" w14:textId="0EB8025B" w:rsidR="00AF7317" w:rsidRPr="004B3054" w:rsidRDefault="00795149" w:rsidP="00CF10A5">
      <w:pPr>
        <w:pStyle w:val="BodyText1"/>
        <w:spacing w:line="240" w:lineRule="auto"/>
        <w:ind w:left="1350" w:hanging="540"/>
        <w:rPr>
          <w:sz w:val="24"/>
          <w:szCs w:val="24"/>
        </w:rPr>
      </w:pPr>
      <w:r w:rsidRPr="004B3054">
        <w:rPr>
          <w:rStyle w:val="Bodytext11pt"/>
          <w:sz w:val="24"/>
          <w:szCs w:val="24"/>
        </w:rPr>
        <w:t>‘Papua New Guinea Judge’ means a Judge of the Supreme Court of Papua New Guinea who was first appointed as such a Judge before 1 December 1973;”; and</w:t>
      </w:r>
    </w:p>
    <w:p w14:paraId="4BEC5F7E" w14:textId="3C9DD9C4" w:rsidR="00AF7317" w:rsidRPr="004B3054" w:rsidRDefault="00CF10A5" w:rsidP="00CF10A5">
      <w:pPr>
        <w:pStyle w:val="BodyText1"/>
        <w:spacing w:after="60" w:line="240" w:lineRule="auto"/>
        <w:ind w:left="634" w:hanging="360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(c) </w:t>
      </w:r>
      <w:r w:rsidR="00795149" w:rsidRPr="004B3054">
        <w:rPr>
          <w:rStyle w:val="Bodytext11pt"/>
          <w:sz w:val="24"/>
          <w:szCs w:val="24"/>
        </w:rPr>
        <w:t>by adding at the end of sub-section (1) the following definition: —</w:t>
      </w:r>
    </w:p>
    <w:p w14:paraId="461834B9" w14:textId="7B245A01" w:rsidR="00AF7317" w:rsidRPr="004B3054" w:rsidRDefault="007B3DDF" w:rsidP="00CF10A5">
      <w:pPr>
        <w:pStyle w:val="BodyText1"/>
        <w:spacing w:line="240" w:lineRule="auto"/>
        <w:ind w:left="1296" w:hanging="486"/>
        <w:rPr>
          <w:sz w:val="24"/>
          <w:szCs w:val="24"/>
        </w:rPr>
      </w:pPr>
      <w:r>
        <w:rPr>
          <w:rStyle w:val="Bodytext11pt"/>
          <w:sz w:val="24"/>
          <w:szCs w:val="24"/>
        </w:rPr>
        <w:t>“</w:t>
      </w:r>
      <w:r w:rsidR="00795149" w:rsidRPr="004B3054">
        <w:rPr>
          <w:rStyle w:val="Bodytext11pt"/>
          <w:sz w:val="24"/>
          <w:szCs w:val="24"/>
        </w:rPr>
        <w:t>‘Supreme Court of Papua New Guinea’ includes a court having, after the attainment by Papua New Guinea of the status of an independent sovereign state, unlimited jurisdiction in civil or criminal matters in that state.</w:t>
      </w:r>
    </w:p>
    <w:p w14:paraId="45022B91" w14:textId="77777777" w:rsidR="007B3DDF" w:rsidRDefault="007B3DD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9AB6FC8" w14:textId="443F21D8" w:rsidR="00AF7317" w:rsidRPr="00CF10A5" w:rsidRDefault="00795149" w:rsidP="00CF10A5">
      <w:pPr>
        <w:pStyle w:val="Bodytext20"/>
        <w:spacing w:before="120" w:after="60" w:line="240" w:lineRule="auto"/>
        <w:rPr>
          <w:b/>
          <w:sz w:val="20"/>
          <w:szCs w:val="20"/>
        </w:rPr>
      </w:pPr>
      <w:r w:rsidRPr="00CF10A5">
        <w:rPr>
          <w:b/>
          <w:sz w:val="20"/>
          <w:szCs w:val="20"/>
        </w:rPr>
        <w:lastRenderedPageBreak/>
        <w:t>Pensions of Judges.</w:t>
      </w:r>
    </w:p>
    <w:p w14:paraId="30EC0594" w14:textId="771AF51D" w:rsidR="00AF7317" w:rsidRPr="004B3054" w:rsidRDefault="00CF10A5" w:rsidP="00CF10A5">
      <w:pPr>
        <w:pStyle w:val="BodyText1"/>
        <w:spacing w:line="240" w:lineRule="auto"/>
        <w:ind w:firstLine="270"/>
        <w:rPr>
          <w:sz w:val="24"/>
          <w:szCs w:val="24"/>
        </w:rPr>
      </w:pPr>
      <w:r w:rsidRPr="00CF10A5">
        <w:rPr>
          <w:rStyle w:val="Bodytext11pt"/>
          <w:b/>
          <w:sz w:val="24"/>
          <w:szCs w:val="24"/>
        </w:rPr>
        <w:t>4.</w:t>
      </w:r>
      <w:r w:rsidR="007B3DDF">
        <w:rPr>
          <w:rStyle w:val="Bodytext11pt"/>
          <w:b/>
          <w:sz w:val="24"/>
          <w:szCs w:val="24"/>
        </w:rPr>
        <w:t xml:space="preserve"> </w:t>
      </w:r>
      <w:r w:rsidR="00795149" w:rsidRPr="004B3054">
        <w:rPr>
          <w:rStyle w:val="Bodytext11pt"/>
          <w:sz w:val="24"/>
          <w:szCs w:val="24"/>
        </w:rPr>
        <w:t>Section 6 of the Principal Act is amended—</w:t>
      </w:r>
    </w:p>
    <w:p w14:paraId="699EC1E6" w14:textId="77777777" w:rsidR="00AF7317" w:rsidRPr="004B3054" w:rsidRDefault="00CF10A5" w:rsidP="00CF10A5">
      <w:pPr>
        <w:pStyle w:val="BodyText1"/>
        <w:spacing w:after="60" w:line="240" w:lineRule="auto"/>
        <w:ind w:left="634" w:hanging="360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(a) </w:t>
      </w:r>
      <w:r w:rsidR="00795149" w:rsidRPr="004B3054">
        <w:rPr>
          <w:rStyle w:val="Bodytext11pt"/>
          <w:sz w:val="24"/>
          <w:szCs w:val="24"/>
        </w:rPr>
        <w:t>by omitting sub-section (1) and substituting the following sub</w:t>
      </w:r>
      <w:r>
        <w:rPr>
          <w:rStyle w:val="Bodytext11pt"/>
          <w:sz w:val="24"/>
          <w:szCs w:val="24"/>
        </w:rPr>
        <w:t>-</w:t>
      </w:r>
      <w:r w:rsidR="00795149" w:rsidRPr="004B3054">
        <w:rPr>
          <w:rStyle w:val="Bodytext11pt"/>
          <w:sz w:val="24"/>
          <w:szCs w:val="24"/>
        </w:rPr>
        <w:t>section:—</w:t>
      </w:r>
    </w:p>
    <w:p w14:paraId="0A818B2B" w14:textId="3C2AF6D0" w:rsidR="00AF7317" w:rsidRPr="004B3054" w:rsidRDefault="00795149" w:rsidP="00CF10A5">
      <w:pPr>
        <w:pStyle w:val="BodyText1"/>
        <w:spacing w:line="240" w:lineRule="auto"/>
        <w:ind w:left="1296" w:hanging="486"/>
        <w:rPr>
          <w:sz w:val="24"/>
          <w:szCs w:val="24"/>
        </w:rPr>
      </w:pPr>
      <w:r w:rsidRPr="004B3054">
        <w:rPr>
          <w:rStyle w:val="Bodytext11pt"/>
          <w:sz w:val="24"/>
          <w:szCs w:val="24"/>
        </w:rPr>
        <w:t xml:space="preserve">“(1) </w:t>
      </w:r>
      <w:r w:rsidRPr="00CF10A5">
        <w:rPr>
          <w:rStyle w:val="Bodytext11pt0"/>
          <w:i w:val="0"/>
          <w:sz w:val="24"/>
          <w:szCs w:val="24"/>
        </w:rPr>
        <w:t>Where</w:t>
      </w:r>
      <w:r w:rsidR="007B3DDF" w:rsidRPr="004B3054">
        <w:rPr>
          <w:rStyle w:val="Bodytext11pt"/>
          <w:sz w:val="24"/>
          <w:szCs w:val="24"/>
        </w:rPr>
        <w:t>—</w:t>
      </w:r>
    </w:p>
    <w:p w14:paraId="26C4B8B4" w14:textId="77777777" w:rsidR="00AF7317" w:rsidRPr="004B3054" w:rsidRDefault="00CF10A5" w:rsidP="00CF10A5">
      <w:pPr>
        <w:pStyle w:val="BodyText1"/>
        <w:spacing w:after="60" w:line="240" w:lineRule="auto"/>
        <w:ind w:left="1958" w:hanging="1051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(a) </w:t>
      </w:r>
      <w:r w:rsidR="00795149" w:rsidRPr="004B3054">
        <w:rPr>
          <w:rStyle w:val="Bodytext11pt"/>
          <w:sz w:val="24"/>
          <w:szCs w:val="24"/>
        </w:rPr>
        <w:t>a Judge, other than a Papua New Guinea Judge, who has attained the age of 60 years; or</w:t>
      </w:r>
    </w:p>
    <w:p w14:paraId="63EEA130" w14:textId="77777777" w:rsidR="00AF7317" w:rsidRPr="004B3054" w:rsidRDefault="00CF10A5" w:rsidP="00CF10A5">
      <w:pPr>
        <w:pStyle w:val="BodyText1"/>
        <w:spacing w:after="60" w:line="240" w:lineRule="auto"/>
        <w:ind w:left="1958" w:hanging="1051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(b) </w:t>
      </w:r>
      <w:r w:rsidR="00795149" w:rsidRPr="004B3054">
        <w:rPr>
          <w:rStyle w:val="Bodytext11pt"/>
          <w:sz w:val="24"/>
          <w:szCs w:val="24"/>
        </w:rPr>
        <w:t>a Papua New Guinea Judge who has attained the age of 55 years,</w:t>
      </w:r>
    </w:p>
    <w:p w14:paraId="54AA996F" w14:textId="77777777" w:rsidR="00AF7317" w:rsidRPr="004B3054" w:rsidRDefault="00795149" w:rsidP="00CF10A5">
      <w:pPr>
        <w:pStyle w:val="BodyText1"/>
        <w:spacing w:after="60" w:line="240" w:lineRule="auto"/>
        <w:ind w:left="576" w:firstLine="0"/>
        <w:rPr>
          <w:sz w:val="24"/>
          <w:szCs w:val="24"/>
        </w:rPr>
      </w:pPr>
      <w:r w:rsidRPr="004B3054">
        <w:rPr>
          <w:rStyle w:val="Bodytext11pt"/>
          <w:sz w:val="24"/>
          <w:szCs w:val="24"/>
        </w:rPr>
        <w:t>retires after serving as a Judge for not less than 10 years, he is entitled to a pension at a rate e</w:t>
      </w:r>
      <w:r w:rsidR="00CF10A5">
        <w:rPr>
          <w:rStyle w:val="Bodytext11pt"/>
          <w:sz w:val="24"/>
          <w:szCs w:val="24"/>
        </w:rPr>
        <w:t>qual to 60 per centum of the ap</w:t>
      </w:r>
      <w:r w:rsidRPr="004B3054">
        <w:rPr>
          <w:rStyle w:val="Bodytext11pt"/>
          <w:sz w:val="24"/>
          <w:szCs w:val="24"/>
        </w:rPr>
        <w:t>propriate current judicial salary.”; and</w:t>
      </w:r>
    </w:p>
    <w:p w14:paraId="2FCD1FDA" w14:textId="77777777" w:rsidR="00AF7317" w:rsidRPr="004B3054" w:rsidRDefault="00CF10A5" w:rsidP="00CF10A5">
      <w:pPr>
        <w:pStyle w:val="BodyText1"/>
        <w:spacing w:after="60" w:line="240" w:lineRule="auto"/>
        <w:ind w:left="634" w:hanging="360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(b) </w:t>
      </w:r>
      <w:r w:rsidR="00795149" w:rsidRPr="004B3054">
        <w:rPr>
          <w:rStyle w:val="Bodytext11pt"/>
          <w:sz w:val="24"/>
          <w:szCs w:val="24"/>
        </w:rPr>
        <w:t>by inserting after sub-section (2) the following sub-sections:—</w:t>
      </w:r>
    </w:p>
    <w:p w14:paraId="51C21B6B" w14:textId="0561881C" w:rsidR="00CF10A5" w:rsidRPr="007B3DDF" w:rsidRDefault="00795149" w:rsidP="007B3DDF">
      <w:pPr>
        <w:pStyle w:val="BodyText1"/>
        <w:spacing w:line="240" w:lineRule="auto"/>
        <w:ind w:left="1440" w:hanging="630"/>
        <w:rPr>
          <w:rStyle w:val="Bodytext11pt"/>
          <w:sz w:val="24"/>
          <w:szCs w:val="24"/>
        </w:rPr>
      </w:pPr>
      <w:r w:rsidRPr="004B3054">
        <w:rPr>
          <w:rStyle w:val="Bodytext11pt"/>
          <w:sz w:val="24"/>
          <w:szCs w:val="24"/>
        </w:rPr>
        <w:t>“(2</w:t>
      </w:r>
      <w:r w:rsidR="007B3DDF">
        <w:rPr>
          <w:rStyle w:val="Bodytext11pt"/>
          <w:smallCaps/>
          <w:sz w:val="24"/>
          <w:szCs w:val="24"/>
        </w:rPr>
        <w:t>a</w:t>
      </w:r>
      <w:r w:rsidRPr="004B3054">
        <w:rPr>
          <w:rStyle w:val="Bodytext11pt"/>
          <w:sz w:val="24"/>
          <w:szCs w:val="24"/>
        </w:rPr>
        <w:t>) Where a Papua New Guinea Judge, other than a Judge to whom sub-section (1) or (2) applies, retires and is not re-appointed as a Judge of the Supreme Court of Papua New Guinea, he is entitled to a pension—</w:t>
      </w:r>
    </w:p>
    <w:p w14:paraId="1EA2C93D" w14:textId="77777777" w:rsidR="00AF7317" w:rsidRPr="004B3054" w:rsidRDefault="00CF10A5" w:rsidP="000A3682">
      <w:pPr>
        <w:pStyle w:val="BodyText1"/>
        <w:spacing w:line="240" w:lineRule="auto"/>
        <w:ind w:left="1170" w:hanging="360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(a) </w:t>
      </w:r>
      <w:r w:rsidR="00795149" w:rsidRPr="004B3054">
        <w:rPr>
          <w:rStyle w:val="Bodytext11pt"/>
          <w:sz w:val="24"/>
          <w:szCs w:val="24"/>
        </w:rPr>
        <w:t>if the Attorney-General certifies that he is satisfied that his services as such a Judge were no longer required—at the rate specified in sub-section (1); and</w:t>
      </w:r>
    </w:p>
    <w:p w14:paraId="660EFC2E" w14:textId="77777777" w:rsidR="00AF7317" w:rsidRPr="004B3054" w:rsidRDefault="00CF10A5" w:rsidP="000A3682">
      <w:pPr>
        <w:pStyle w:val="BodyText1"/>
        <w:spacing w:after="60" w:line="240" w:lineRule="auto"/>
        <w:ind w:left="1166" w:hanging="360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(b) </w:t>
      </w:r>
      <w:r w:rsidR="00795149" w:rsidRPr="004B3054">
        <w:rPr>
          <w:rStyle w:val="Bodytext11pt"/>
          <w:sz w:val="24"/>
          <w:szCs w:val="24"/>
        </w:rPr>
        <w:t>in any other case—at the prescribed rate.</w:t>
      </w:r>
    </w:p>
    <w:p w14:paraId="67ED5470" w14:textId="371442A3" w:rsidR="00AF7317" w:rsidRPr="004B3054" w:rsidRDefault="00795149" w:rsidP="000A3682">
      <w:pPr>
        <w:pStyle w:val="BodyText1"/>
        <w:spacing w:after="60" w:line="240" w:lineRule="auto"/>
        <w:ind w:left="634" w:firstLine="187"/>
        <w:rPr>
          <w:sz w:val="24"/>
          <w:szCs w:val="24"/>
        </w:rPr>
      </w:pPr>
      <w:r w:rsidRPr="004B3054">
        <w:rPr>
          <w:rStyle w:val="Bodytext10pt"/>
          <w:spacing w:val="0"/>
          <w:sz w:val="24"/>
          <w:szCs w:val="24"/>
        </w:rPr>
        <w:t>“(2</w:t>
      </w:r>
      <w:r w:rsidR="007B3DDF">
        <w:rPr>
          <w:rStyle w:val="Bodytext10pt"/>
          <w:smallCaps/>
          <w:spacing w:val="0"/>
          <w:sz w:val="24"/>
          <w:szCs w:val="24"/>
        </w:rPr>
        <w:t>b</w:t>
      </w:r>
      <w:r w:rsidRPr="004B3054">
        <w:rPr>
          <w:rStyle w:val="Bodytext10pt"/>
          <w:spacing w:val="0"/>
          <w:sz w:val="24"/>
          <w:szCs w:val="24"/>
        </w:rPr>
        <w:t xml:space="preserve">) </w:t>
      </w:r>
      <w:r w:rsidRPr="004B3054">
        <w:rPr>
          <w:rStyle w:val="Bodytext11pt"/>
          <w:sz w:val="24"/>
          <w:szCs w:val="24"/>
        </w:rPr>
        <w:t xml:space="preserve">Notwithstanding paragraph (b) of sub-section </w:t>
      </w:r>
      <w:r w:rsidRPr="004B3054">
        <w:rPr>
          <w:rStyle w:val="Bodytext10pt0"/>
          <w:spacing w:val="0"/>
          <w:sz w:val="24"/>
          <w:szCs w:val="24"/>
        </w:rPr>
        <w:t xml:space="preserve">(2a), </w:t>
      </w:r>
      <w:r w:rsidRPr="004B3054">
        <w:rPr>
          <w:rStyle w:val="Bodytext11pt"/>
          <w:sz w:val="24"/>
          <w:szCs w:val="24"/>
        </w:rPr>
        <w:t xml:space="preserve">where the Governor-General determines that, by reason of special circumstances, a retired Judge who would, but for this sub-section, be entitled under sub-section </w:t>
      </w:r>
      <w:r w:rsidRPr="004B3054">
        <w:rPr>
          <w:rStyle w:val="Bodytext10pt"/>
          <w:spacing w:val="0"/>
          <w:sz w:val="24"/>
          <w:szCs w:val="24"/>
        </w:rPr>
        <w:t>(2</w:t>
      </w:r>
      <w:r w:rsidR="007B3DDF">
        <w:rPr>
          <w:rStyle w:val="Bodytext10pt"/>
          <w:smallCaps/>
          <w:spacing w:val="0"/>
          <w:sz w:val="24"/>
          <w:szCs w:val="24"/>
        </w:rPr>
        <w:t>a</w:t>
      </w:r>
      <w:r w:rsidRPr="004B3054">
        <w:rPr>
          <w:rStyle w:val="Bodytext10pt"/>
          <w:spacing w:val="0"/>
          <w:sz w:val="24"/>
          <w:szCs w:val="24"/>
        </w:rPr>
        <w:t xml:space="preserve">) </w:t>
      </w:r>
      <w:r w:rsidRPr="004B3054">
        <w:rPr>
          <w:rStyle w:val="Bodytext11pt"/>
          <w:sz w:val="24"/>
          <w:szCs w:val="24"/>
        </w:rPr>
        <w:t>to a pension at the prescribed rate should receive a pension at the rate specified in sub-section (1), the retired Judge is entitled to receive a pension at the rate so specified.</w:t>
      </w:r>
    </w:p>
    <w:p w14:paraId="16CD43D4" w14:textId="64B1F178" w:rsidR="00E23A52" w:rsidRPr="004B3054" w:rsidRDefault="00795149" w:rsidP="00E23A52">
      <w:pPr>
        <w:pStyle w:val="BodyText1"/>
        <w:spacing w:line="240" w:lineRule="auto"/>
        <w:ind w:left="630" w:firstLine="180"/>
        <w:rPr>
          <w:sz w:val="24"/>
          <w:szCs w:val="24"/>
        </w:rPr>
      </w:pPr>
      <w:r w:rsidRPr="004B3054">
        <w:rPr>
          <w:rStyle w:val="Bodytext10pt"/>
          <w:spacing w:val="0"/>
          <w:sz w:val="24"/>
          <w:szCs w:val="24"/>
        </w:rPr>
        <w:t>“(2</w:t>
      </w:r>
      <w:r w:rsidR="007B3DDF">
        <w:rPr>
          <w:rStyle w:val="Bodytext10pt"/>
          <w:smallCaps/>
          <w:spacing w:val="0"/>
          <w:sz w:val="24"/>
          <w:szCs w:val="24"/>
        </w:rPr>
        <w:t>c</w:t>
      </w:r>
      <w:r w:rsidRPr="004B3054">
        <w:rPr>
          <w:rStyle w:val="Bodytext10pt"/>
          <w:spacing w:val="0"/>
          <w:sz w:val="24"/>
          <w:szCs w:val="24"/>
        </w:rPr>
        <w:t xml:space="preserve">) </w:t>
      </w:r>
      <w:r w:rsidRPr="004B3054">
        <w:rPr>
          <w:rStyle w:val="Bodytext11pt"/>
          <w:sz w:val="24"/>
          <w:szCs w:val="24"/>
        </w:rPr>
        <w:t xml:space="preserve">For the purposes of sub-sections </w:t>
      </w:r>
      <w:r w:rsidRPr="004B3054">
        <w:rPr>
          <w:rStyle w:val="Bodytext10pt0"/>
          <w:spacing w:val="0"/>
          <w:sz w:val="24"/>
          <w:szCs w:val="24"/>
        </w:rPr>
        <w:t xml:space="preserve">(2a) </w:t>
      </w:r>
      <w:r w:rsidRPr="004B3054">
        <w:rPr>
          <w:rStyle w:val="Bodytext11pt"/>
          <w:sz w:val="24"/>
          <w:szCs w:val="24"/>
        </w:rPr>
        <w:t xml:space="preserve">and </w:t>
      </w:r>
      <w:r w:rsidRPr="004B3054">
        <w:rPr>
          <w:rStyle w:val="Bodytext10pt0"/>
          <w:spacing w:val="0"/>
          <w:sz w:val="24"/>
          <w:szCs w:val="24"/>
        </w:rPr>
        <w:t xml:space="preserve">(2b), </w:t>
      </w:r>
      <w:r w:rsidRPr="004B3054">
        <w:rPr>
          <w:rStyle w:val="Bodytext11pt"/>
          <w:sz w:val="24"/>
          <w:szCs w:val="24"/>
        </w:rPr>
        <w:t>the prescribed rate, in relation to a Judge, is the rate ascertained in accordance with the formula—</w:t>
      </w:r>
    </w:p>
    <w:p w14:paraId="5BAFC826" w14:textId="50266100" w:rsidR="00AF7317" w:rsidRPr="00E23A52" w:rsidRDefault="002A01F5" w:rsidP="000A368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ab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</m:oMath>
      </m:oMathPara>
    </w:p>
    <w:p w14:paraId="019E3320" w14:textId="77777777" w:rsidR="00AF7317" w:rsidRPr="004B3054" w:rsidRDefault="00795149" w:rsidP="000A3682">
      <w:pPr>
        <w:pStyle w:val="BodyText1"/>
        <w:spacing w:line="240" w:lineRule="auto"/>
        <w:ind w:left="630" w:firstLine="180"/>
        <w:rPr>
          <w:sz w:val="24"/>
          <w:szCs w:val="24"/>
        </w:rPr>
      </w:pPr>
      <w:r w:rsidRPr="004B3054">
        <w:rPr>
          <w:rStyle w:val="Bodytext11pt"/>
          <w:sz w:val="24"/>
          <w:szCs w:val="24"/>
        </w:rPr>
        <w:t>where—</w:t>
      </w:r>
    </w:p>
    <w:p w14:paraId="2D1BF385" w14:textId="77777777" w:rsidR="000A3682" w:rsidRDefault="00795149" w:rsidP="000A3682">
      <w:pPr>
        <w:pStyle w:val="BodyText1"/>
        <w:spacing w:line="240" w:lineRule="auto"/>
        <w:ind w:firstLine="1170"/>
        <w:rPr>
          <w:rStyle w:val="Bodytext11pt"/>
          <w:sz w:val="24"/>
          <w:szCs w:val="24"/>
        </w:rPr>
      </w:pPr>
      <w:r w:rsidRPr="004B3054">
        <w:rPr>
          <w:rStyle w:val="Bodytext11pt"/>
          <w:sz w:val="24"/>
          <w:szCs w:val="24"/>
        </w:rPr>
        <w:t>a is 60 per centum of the appropriat</w:t>
      </w:r>
      <w:r w:rsidR="000A3682">
        <w:rPr>
          <w:rStyle w:val="Bodytext11pt"/>
          <w:sz w:val="24"/>
          <w:szCs w:val="24"/>
        </w:rPr>
        <w:t>e current judicial salary; and</w:t>
      </w:r>
    </w:p>
    <w:p w14:paraId="245A0531" w14:textId="77777777" w:rsidR="00AF7317" w:rsidRPr="004B3054" w:rsidRDefault="00795149" w:rsidP="000A3682">
      <w:pPr>
        <w:pStyle w:val="BodyText1"/>
        <w:spacing w:line="240" w:lineRule="auto"/>
        <w:ind w:firstLine="1170"/>
        <w:rPr>
          <w:sz w:val="24"/>
          <w:szCs w:val="24"/>
        </w:rPr>
      </w:pPr>
      <w:r w:rsidRPr="004B3054">
        <w:rPr>
          <w:rStyle w:val="Bodytext11pt"/>
          <w:sz w:val="24"/>
          <w:szCs w:val="24"/>
        </w:rPr>
        <w:t>b is—</w:t>
      </w:r>
    </w:p>
    <w:p w14:paraId="2C85FFE8" w14:textId="77777777" w:rsidR="00AF7317" w:rsidRPr="004B3054" w:rsidRDefault="000A3682" w:rsidP="000A3682">
      <w:pPr>
        <w:pStyle w:val="BodyText1"/>
        <w:spacing w:after="60" w:line="240" w:lineRule="auto"/>
        <w:ind w:left="1800" w:hanging="274"/>
        <w:rPr>
          <w:sz w:val="24"/>
          <w:szCs w:val="24"/>
        </w:rPr>
      </w:pPr>
      <w:r>
        <w:rPr>
          <w:rStyle w:val="Bodytext11pt"/>
          <w:sz w:val="24"/>
          <w:szCs w:val="24"/>
        </w:rPr>
        <w:t>(</w:t>
      </w:r>
      <w:proofErr w:type="spellStart"/>
      <w:r>
        <w:rPr>
          <w:rStyle w:val="Bodytext11pt"/>
          <w:sz w:val="24"/>
          <w:szCs w:val="24"/>
        </w:rPr>
        <w:t>i</w:t>
      </w:r>
      <w:proofErr w:type="spellEnd"/>
      <w:r>
        <w:rPr>
          <w:rStyle w:val="Bodytext11pt"/>
          <w:sz w:val="24"/>
          <w:szCs w:val="24"/>
        </w:rPr>
        <w:t xml:space="preserve">) </w:t>
      </w:r>
      <w:r w:rsidR="00795149" w:rsidRPr="004B3054">
        <w:rPr>
          <w:rStyle w:val="Bodytext11pt"/>
          <w:sz w:val="24"/>
          <w:szCs w:val="24"/>
        </w:rPr>
        <w:t>the sum of the total number of years (including a fraction of a year), of his service as a Judge and the total number of years (including a fraction of a year), that the Attorney-General certifies to be the period, or aggregate of the periods, (if any) of leave in respect of that service due to the Judge immediately before his retirement; or</w:t>
      </w:r>
    </w:p>
    <w:p w14:paraId="2BB733F9" w14:textId="77777777" w:rsidR="000A3682" w:rsidRDefault="000A3682" w:rsidP="000A3682">
      <w:pPr>
        <w:pStyle w:val="BodyText1"/>
        <w:spacing w:after="60" w:line="240" w:lineRule="auto"/>
        <w:ind w:firstLine="1440"/>
        <w:rPr>
          <w:rStyle w:val="Bodytext10pt1"/>
          <w:sz w:val="24"/>
          <w:szCs w:val="24"/>
        </w:rPr>
      </w:pPr>
      <w:r>
        <w:rPr>
          <w:rStyle w:val="Bodytext10pt1"/>
          <w:sz w:val="24"/>
          <w:szCs w:val="24"/>
        </w:rPr>
        <w:t xml:space="preserve">(ii) </w:t>
      </w:r>
      <w:r w:rsidR="00795149" w:rsidRPr="004B3054">
        <w:rPr>
          <w:rStyle w:val="Bodytext10pt1"/>
          <w:sz w:val="24"/>
          <w:szCs w:val="24"/>
        </w:rPr>
        <w:t>10,</w:t>
      </w:r>
    </w:p>
    <w:p w14:paraId="2E519AA2" w14:textId="77777777" w:rsidR="00AF7317" w:rsidRPr="004B3054" w:rsidRDefault="000A3682" w:rsidP="000A3682">
      <w:pPr>
        <w:pStyle w:val="BodyText1"/>
        <w:spacing w:line="240" w:lineRule="auto"/>
        <w:ind w:firstLine="1350"/>
        <w:rPr>
          <w:sz w:val="24"/>
          <w:szCs w:val="24"/>
        </w:rPr>
      </w:pPr>
      <w:r>
        <w:rPr>
          <w:rStyle w:val="Bodytext11pt"/>
          <w:sz w:val="24"/>
          <w:szCs w:val="24"/>
        </w:rPr>
        <w:t>whichever is the less.</w:t>
      </w:r>
      <w:r w:rsidR="00795149" w:rsidRPr="004B3054">
        <w:rPr>
          <w:rStyle w:val="Bodytext11pt"/>
          <w:sz w:val="24"/>
          <w:szCs w:val="24"/>
        </w:rPr>
        <w:t>”.</w:t>
      </w:r>
    </w:p>
    <w:p w14:paraId="0BA5F968" w14:textId="77777777" w:rsidR="00AF7317" w:rsidRPr="000A3682" w:rsidRDefault="00795149" w:rsidP="000A3682">
      <w:pPr>
        <w:pStyle w:val="Bodytext20"/>
        <w:spacing w:before="120" w:after="60" w:line="240" w:lineRule="auto"/>
        <w:rPr>
          <w:b/>
          <w:sz w:val="20"/>
          <w:szCs w:val="20"/>
        </w:rPr>
      </w:pPr>
      <w:r w:rsidRPr="000A3682">
        <w:rPr>
          <w:b/>
          <w:sz w:val="20"/>
          <w:szCs w:val="20"/>
        </w:rPr>
        <w:t>Adjustment by reason of other pensions.</w:t>
      </w:r>
    </w:p>
    <w:p w14:paraId="795DBD9E" w14:textId="77777777" w:rsidR="00AF7317" w:rsidRPr="004B3054" w:rsidRDefault="000A3682" w:rsidP="00602DAB">
      <w:pPr>
        <w:pStyle w:val="BodyText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0A3682">
        <w:rPr>
          <w:rStyle w:val="Bodytext11pt"/>
          <w:b/>
          <w:sz w:val="24"/>
          <w:szCs w:val="24"/>
        </w:rPr>
        <w:t>5.</w:t>
      </w:r>
      <w:r w:rsidR="00602DAB">
        <w:rPr>
          <w:rStyle w:val="Bodytext11pt"/>
          <w:b/>
          <w:sz w:val="24"/>
          <w:szCs w:val="24"/>
        </w:rPr>
        <w:tab/>
      </w:r>
      <w:r w:rsidR="00795149" w:rsidRPr="004B3054">
        <w:rPr>
          <w:rStyle w:val="Bodytext11pt"/>
          <w:sz w:val="24"/>
          <w:szCs w:val="24"/>
        </w:rPr>
        <w:t>Section 16 of the Principal Act is amended—</w:t>
      </w:r>
    </w:p>
    <w:p w14:paraId="1C404CC0" w14:textId="77777777" w:rsidR="00AF7317" w:rsidRPr="004B3054" w:rsidRDefault="000A3682" w:rsidP="00602DAB">
      <w:pPr>
        <w:pStyle w:val="BodyText1"/>
        <w:spacing w:after="60" w:line="240" w:lineRule="auto"/>
        <w:ind w:firstLine="274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(a) </w:t>
      </w:r>
      <w:r w:rsidR="00795149" w:rsidRPr="004B3054">
        <w:rPr>
          <w:rStyle w:val="Bodytext11pt"/>
          <w:sz w:val="24"/>
          <w:szCs w:val="24"/>
        </w:rPr>
        <w:t>by omitting sub-section (1) and substituting the following sub</w:t>
      </w:r>
      <w:r>
        <w:rPr>
          <w:rStyle w:val="Bodytext11pt"/>
          <w:sz w:val="24"/>
          <w:szCs w:val="24"/>
        </w:rPr>
        <w:t>-</w:t>
      </w:r>
      <w:r w:rsidR="00795149" w:rsidRPr="004B3054">
        <w:rPr>
          <w:rStyle w:val="Bodytext11pt"/>
          <w:sz w:val="24"/>
          <w:szCs w:val="24"/>
        </w:rPr>
        <w:t>section:—</w:t>
      </w:r>
    </w:p>
    <w:p w14:paraId="69CD24A9" w14:textId="4D700376" w:rsidR="00AF7317" w:rsidRPr="004B3054" w:rsidRDefault="00795149" w:rsidP="00602DAB">
      <w:pPr>
        <w:pStyle w:val="BodyText1"/>
        <w:spacing w:after="60" w:line="240" w:lineRule="auto"/>
        <w:ind w:firstLine="810"/>
        <w:rPr>
          <w:sz w:val="24"/>
          <w:szCs w:val="24"/>
        </w:rPr>
      </w:pPr>
      <w:r w:rsidRPr="004B3054">
        <w:rPr>
          <w:rStyle w:val="Bodytext11pt"/>
          <w:sz w:val="24"/>
          <w:szCs w:val="24"/>
        </w:rPr>
        <w:t>“(1) Where</w:t>
      </w:r>
      <w:r w:rsidR="007B3DDF" w:rsidRPr="004B3054">
        <w:rPr>
          <w:rStyle w:val="Bodytext11pt"/>
          <w:sz w:val="24"/>
          <w:szCs w:val="24"/>
        </w:rPr>
        <w:t>—</w:t>
      </w:r>
    </w:p>
    <w:p w14:paraId="7E044919" w14:textId="77777777" w:rsidR="00AF7317" w:rsidRPr="004B3054" w:rsidRDefault="000A3682" w:rsidP="00602DAB">
      <w:pPr>
        <w:pStyle w:val="BodyText1"/>
        <w:spacing w:after="60" w:line="240" w:lineRule="auto"/>
        <w:ind w:firstLine="810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(a) </w:t>
      </w:r>
      <w:r w:rsidR="00795149" w:rsidRPr="004B3054">
        <w:rPr>
          <w:rStyle w:val="Bodytext11pt"/>
          <w:sz w:val="24"/>
          <w:szCs w:val="24"/>
        </w:rPr>
        <w:t>a pension is payable unde</w:t>
      </w:r>
      <w:r>
        <w:rPr>
          <w:rStyle w:val="Bodytext11pt"/>
          <w:sz w:val="24"/>
          <w:szCs w:val="24"/>
        </w:rPr>
        <w:t>r this Act by reason of the ser</w:t>
      </w:r>
      <w:r w:rsidR="00795149" w:rsidRPr="004B3054">
        <w:rPr>
          <w:rStyle w:val="Bodytext11pt"/>
          <w:sz w:val="24"/>
          <w:szCs w:val="24"/>
        </w:rPr>
        <w:t>vice of a person as a Judge; and</w:t>
      </w:r>
    </w:p>
    <w:p w14:paraId="05753EE5" w14:textId="77777777" w:rsidR="00AF7317" w:rsidRPr="004B3054" w:rsidRDefault="000A3682" w:rsidP="00602DAB">
      <w:pPr>
        <w:pStyle w:val="BodyText1"/>
        <w:spacing w:after="60" w:line="240" w:lineRule="auto"/>
        <w:ind w:left="1170" w:hanging="360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(b) </w:t>
      </w:r>
      <w:r w:rsidR="00795149" w:rsidRPr="004B3054">
        <w:rPr>
          <w:rStyle w:val="Bodytext11pt"/>
          <w:sz w:val="24"/>
          <w:szCs w:val="24"/>
        </w:rPr>
        <w:t>a pension is or becomes payable otherwise than under this Act in respect of prior judicial service of that person,</w:t>
      </w:r>
    </w:p>
    <w:p w14:paraId="7DFA7F93" w14:textId="77777777" w:rsidR="00AF7317" w:rsidRPr="004B3054" w:rsidRDefault="00795149" w:rsidP="00602DAB">
      <w:pPr>
        <w:pStyle w:val="BodyText1"/>
        <w:spacing w:line="240" w:lineRule="auto"/>
        <w:ind w:left="594" w:firstLine="0"/>
        <w:rPr>
          <w:sz w:val="24"/>
          <w:szCs w:val="24"/>
        </w:rPr>
      </w:pPr>
      <w:r w:rsidRPr="004B3054">
        <w:rPr>
          <w:rStyle w:val="Bodytext11pt"/>
          <w:sz w:val="24"/>
          <w:szCs w:val="24"/>
        </w:rPr>
        <w:t>the amount of the pension that would, but for this sub-section, be payable under this Act in respect of any period shall be reduced by the amount of the pension in respect of the prior ju</w:t>
      </w:r>
      <w:r w:rsidRPr="004B3054">
        <w:rPr>
          <w:rStyle w:val="Bodytext11pt"/>
          <w:sz w:val="24"/>
          <w:szCs w:val="24"/>
        </w:rPr>
        <w:softHyphen/>
        <w:t>dicial service that is payable in respect of that period. ”;</w:t>
      </w:r>
    </w:p>
    <w:p w14:paraId="43CB7478" w14:textId="782F1A66" w:rsidR="000A3682" w:rsidRPr="007B3DDF" w:rsidRDefault="00602DAB" w:rsidP="007B3DDF">
      <w:pPr>
        <w:pStyle w:val="BodyText1"/>
        <w:spacing w:line="240" w:lineRule="auto"/>
        <w:ind w:left="630" w:hanging="360"/>
        <w:rPr>
          <w:rStyle w:val="Bodytext11pt"/>
          <w:sz w:val="24"/>
          <w:szCs w:val="24"/>
        </w:rPr>
      </w:pPr>
      <w:r>
        <w:rPr>
          <w:rStyle w:val="Bodytext11pt"/>
          <w:sz w:val="24"/>
          <w:szCs w:val="24"/>
        </w:rPr>
        <w:t xml:space="preserve">(b) </w:t>
      </w:r>
      <w:r w:rsidR="00795149" w:rsidRPr="004B3054">
        <w:rPr>
          <w:rStyle w:val="Bodytext11pt"/>
          <w:sz w:val="24"/>
          <w:szCs w:val="24"/>
        </w:rPr>
        <w:t>by omitting from sub-section (3) the words “this section” and substituting the words “sub-section (1) ”; and</w:t>
      </w:r>
    </w:p>
    <w:p w14:paraId="6F3FEAAB" w14:textId="3481F87C" w:rsidR="00AF7317" w:rsidRPr="004B3054" w:rsidRDefault="00602DAB" w:rsidP="00602DAB">
      <w:pPr>
        <w:pStyle w:val="BodyText1"/>
        <w:spacing w:line="240" w:lineRule="auto"/>
        <w:ind w:left="630" w:hanging="360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(c) </w:t>
      </w:r>
      <w:r w:rsidR="00795149" w:rsidRPr="004B3054">
        <w:rPr>
          <w:rStyle w:val="Bodytext11pt"/>
          <w:sz w:val="24"/>
          <w:szCs w:val="24"/>
        </w:rPr>
        <w:t>by omitting from sub-section (3) the words “the Commonwealth” and substituting the word “Australia</w:t>
      </w:r>
      <w:r w:rsidR="007B3DDF">
        <w:rPr>
          <w:rStyle w:val="Bodytext11pt"/>
          <w:sz w:val="24"/>
          <w:szCs w:val="24"/>
        </w:rPr>
        <w:t>”.</w:t>
      </w:r>
    </w:p>
    <w:p w14:paraId="021AA27A" w14:textId="78DA7E7E" w:rsidR="00AF7317" w:rsidRPr="00602DAB" w:rsidRDefault="007B3DDF" w:rsidP="00602DAB">
      <w:pPr>
        <w:pStyle w:val="Bodytext20"/>
        <w:spacing w:before="120" w:after="6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Application of</w:t>
      </w:r>
      <w:r w:rsidR="00795149" w:rsidRPr="00602DAB">
        <w:rPr>
          <w:b/>
          <w:sz w:val="20"/>
          <w:szCs w:val="20"/>
        </w:rPr>
        <w:t xml:space="preserve"> Act to and in respect of certain former Judges.</w:t>
      </w:r>
    </w:p>
    <w:p w14:paraId="52D7DBA4" w14:textId="77777777" w:rsidR="00AF7317" w:rsidRPr="004B3054" w:rsidRDefault="00602DAB" w:rsidP="00602DAB">
      <w:pPr>
        <w:pStyle w:val="BodyText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602DAB">
        <w:rPr>
          <w:rStyle w:val="Bodytext11pt"/>
          <w:b/>
          <w:sz w:val="24"/>
          <w:szCs w:val="24"/>
        </w:rPr>
        <w:t>6.</w:t>
      </w:r>
      <w:r>
        <w:rPr>
          <w:rStyle w:val="Bodytext11pt"/>
          <w:b/>
          <w:sz w:val="24"/>
          <w:szCs w:val="24"/>
        </w:rPr>
        <w:tab/>
      </w:r>
      <w:r w:rsidR="00795149" w:rsidRPr="004B3054">
        <w:rPr>
          <w:rStyle w:val="Bodytext11pt"/>
          <w:sz w:val="24"/>
          <w:szCs w:val="24"/>
        </w:rPr>
        <w:t>Section 18 of the Principal Act is amended—</w:t>
      </w:r>
    </w:p>
    <w:p w14:paraId="3E11FAB2" w14:textId="77777777" w:rsidR="00AF7317" w:rsidRPr="004B3054" w:rsidRDefault="00602DAB" w:rsidP="00602DAB">
      <w:pPr>
        <w:pStyle w:val="BodyText1"/>
        <w:spacing w:after="60" w:line="240" w:lineRule="auto"/>
        <w:ind w:left="634" w:hanging="360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(a) </w:t>
      </w:r>
      <w:r w:rsidR="00795149" w:rsidRPr="004B3054">
        <w:rPr>
          <w:rStyle w:val="Bodytext11pt"/>
          <w:sz w:val="24"/>
          <w:szCs w:val="24"/>
        </w:rPr>
        <w:t>by inserting after the word “</w:t>
      </w:r>
      <w:r>
        <w:rPr>
          <w:rStyle w:val="Bodytext11pt"/>
          <w:sz w:val="24"/>
          <w:szCs w:val="24"/>
        </w:rPr>
        <w:t>Judges” (first and second occur</w:t>
      </w:r>
      <w:r w:rsidR="00795149" w:rsidRPr="004B3054">
        <w:rPr>
          <w:rStyle w:val="Bodytext11pt"/>
          <w:sz w:val="24"/>
          <w:szCs w:val="24"/>
        </w:rPr>
        <w:t>ring) the words other than Papua New Guinea Judges,”; and</w:t>
      </w:r>
    </w:p>
    <w:p w14:paraId="52CB6085" w14:textId="77777777" w:rsidR="00AF7317" w:rsidRPr="004B3054" w:rsidRDefault="00602DAB" w:rsidP="00602DAB">
      <w:pPr>
        <w:pStyle w:val="BodyText1"/>
        <w:spacing w:after="60" w:line="240" w:lineRule="auto"/>
        <w:ind w:left="634" w:hanging="360"/>
        <w:rPr>
          <w:sz w:val="24"/>
          <w:szCs w:val="24"/>
        </w:rPr>
      </w:pPr>
      <w:r>
        <w:rPr>
          <w:rStyle w:val="Bodytext11pt"/>
          <w:sz w:val="24"/>
          <w:szCs w:val="24"/>
        </w:rPr>
        <w:t xml:space="preserve">(b) </w:t>
      </w:r>
      <w:r w:rsidR="00795149" w:rsidRPr="004B3054">
        <w:rPr>
          <w:rStyle w:val="Bodytext11pt"/>
          <w:sz w:val="24"/>
          <w:szCs w:val="24"/>
        </w:rPr>
        <w:t>by adding at the end thereof the following sub-section:—</w:t>
      </w:r>
    </w:p>
    <w:p w14:paraId="5F42B0B2" w14:textId="77777777" w:rsidR="00AF7317" w:rsidRDefault="00795149" w:rsidP="00602DAB">
      <w:pPr>
        <w:pStyle w:val="BodyText1"/>
        <w:spacing w:line="240" w:lineRule="auto"/>
        <w:ind w:left="630" w:firstLine="180"/>
        <w:rPr>
          <w:rStyle w:val="Bodytext11pt"/>
          <w:sz w:val="24"/>
          <w:szCs w:val="24"/>
        </w:rPr>
      </w:pPr>
      <w:r w:rsidRPr="004B3054">
        <w:rPr>
          <w:rStyle w:val="Bodytext11pt"/>
          <w:sz w:val="24"/>
          <w:szCs w:val="24"/>
        </w:rPr>
        <w:lastRenderedPageBreak/>
        <w:t xml:space="preserve">“(2) This Act applies to and in respect of Papua New Guinea Judges who retired or died at </w:t>
      </w:r>
      <w:r w:rsidR="00602DAB">
        <w:rPr>
          <w:rStyle w:val="Bodytext11pt"/>
          <w:sz w:val="24"/>
          <w:szCs w:val="24"/>
        </w:rPr>
        <w:t>any time before the date of com</w:t>
      </w:r>
      <w:r w:rsidRPr="004B3054">
        <w:rPr>
          <w:rStyle w:val="Bodytext11pt"/>
          <w:sz w:val="24"/>
          <w:szCs w:val="24"/>
        </w:rPr>
        <w:t>mencement of this sub-section in like manner as it applies to and in respect of Papua New Guinea Judges who retire or die on or after that date.”.</w:t>
      </w:r>
    </w:p>
    <w:p w14:paraId="1C818976" w14:textId="77777777" w:rsidR="00602DAB" w:rsidRPr="004B3054" w:rsidRDefault="00602DAB" w:rsidP="00602DAB">
      <w:pPr>
        <w:pStyle w:val="BodyText1"/>
        <w:pBdr>
          <w:bottom w:val="single" w:sz="12" w:space="1" w:color="auto"/>
        </w:pBdr>
        <w:spacing w:after="160" w:line="240" w:lineRule="auto"/>
        <w:ind w:firstLine="0"/>
        <w:rPr>
          <w:sz w:val="24"/>
          <w:szCs w:val="24"/>
        </w:rPr>
      </w:pPr>
    </w:p>
    <w:sectPr w:rsidR="00602DAB" w:rsidRPr="004B3054" w:rsidSect="00FE06F7">
      <w:headerReference w:type="even" r:id="rId8"/>
      <w:headerReference w:type="default" r:id="rId9"/>
      <w:type w:val="continuous"/>
      <w:pgSz w:w="11909" w:h="18000"/>
      <w:pgMar w:top="1080" w:right="1080" w:bottom="1080" w:left="1080" w:header="720" w:footer="72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201B84" w15:done="0"/>
  <w15:commentEx w15:paraId="4B8127A1" w15:done="0"/>
  <w15:commentEx w15:paraId="43BB3613" w15:done="0"/>
  <w15:commentEx w15:paraId="4ED5757E" w15:done="0"/>
  <w15:commentEx w15:paraId="544F7233" w15:done="0"/>
  <w15:commentEx w15:paraId="48F428F4" w15:done="0"/>
  <w15:commentEx w15:paraId="40627ED0" w15:done="0"/>
  <w15:commentEx w15:paraId="6B6804D1" w15:done="0"/>
  <w15:commentEx w15:paraId="43261C48" w15:done="0"/>
  <w15:commentEx w15:paraId="7938C9D5" w15:done="0"/>
  <w15:commentEx w15:paraId="2571AC5D" w15:done="0"/>
  <w15:commentEx w15:paraId="4AC022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201B84" w16cid:durableId="1F4EFB82"/>
  <w16cid:commentId w16cid:paraId="4B8127A1" w16cid:durableId="1F4EFB94"/>
  <w16cid:commentId w16cid:paraId="43BB3613" w16cid:durableId="1F4EFBC6"/>
  <w16cid:commentId w16cid:paraId="4ED5757E" w16cid:durableId="1F4EFBB5"/>
  <w16cid:commentId w16cid:paraId="544F7233" w16cid:durableId="1F4EFBBF"/>
  <w16cid:commentId w16cid:paraId="48F428F4" w16cid:durableId="1F4EFC07"/>
  <w16cid:commentId w16cid:paraId="40627ED0" w16cid:durableId="1F4EFC3D"/>
  <w16cid:commentId w16cid:paraId="6B6804D1" w16cid:durableId="1F4EFC57"/>
  <w16cid:commentId w16cid:paraId="43261C48" w16cid:durableId="1F4EFC64"/>
  <w16cid:commentId w16cid:paraId="7938C9D5" w16cid:durableId="1F4EFC6D"/>
  <w16cid:commentId w16cid:paraId="2571AC5D" w16cid:durableId="1F4EFC78"/>
  <w16cid:commentId w16cid:paraId="4AC02279" w16cid:durableId="1F4EFC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047BB" w14:textId="77777777" w:rsidR="00A1147F" w:rsidRDefault="00A1147F">
      <w:r>
        <w:separator/>
      </w:r>
    </w:p>
  </w:endnote>
  <w:endnote w:type="continuationSeparator" w:id="0">
    <w:p w14:paraId="715D1943" w14:textId="77777777" w:rsidR="00A1147F" w:rsidRDefault="00A1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0D4C4" w14:textId="77777777" w:rsidR="00A1147F" w:rsidRDefault="00A1147F"/>
  </w:footnote>
  <w:footnote w:type="continuationSeparator" w:id="0">
    <w:p w14:paraId="618FEFBB" w14:textId="77777777" w:rsidR="00A1147F" w:rsidRDefault="00A114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FA986" w14:textId="0A3360A0" w:rsidR="009C4DD4" w:rsidRPr="009C4DD4" w:rsidRDefault="009C4DD4" w:rsidP="009C4DD4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 w:rsidRPr="009C4DD4">
      <w:rPr>
        <w:rFonts w:ascii="Times New Roman" w:hAnsi="Times New Roman" w:cs="Times New Roman"/>
        <w:sz w:val="22"/>
        <w:szCs w:val="22"/>
        <w:lang w:val="en-IN"/>
      </w:rPr>
      <w:t>No.</w:t>
    </w:r>
    <w:r w:rsidR="007B3DDF">
      <w:rPr>
        <w:rFonts w:ascii="Times New Roman" w:hAnsi="Times New Roman" w:cs="Times New Roman"/>
        <w:sz w:val="22"/>
        <w:szCs w:val="22"/>
        <w:lang w:val="en-IN"/>
      </w:rPr>
      <w:t xml:space="preserve"> </w:t>
    </w:r>
    <w:r w:rsidRPr="009C4DD4">
      <w:rPr>
        <w:rFonts w:ascii="Times New Roman" w:hAnsi="Times New Roman" w:cs="Times New Roman"/>
        <w:sz w:val="22"/>
        <w:szCs w:val="22"/>
        <w:lang w:val="en-IN"/>
      </w:rPr>
      <w:t>162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9C4DD4">
      <w:rPr>
        <w:rFonts w:ascii="Times New Roman" w:hAnsi="Times New Roman" w:cs="Times New Roman"/>
        <w:i/>
        <w:sz w:val="22"/>
        <w:szCs w:val="22"/>
        <w:lang w:val="en-IN"/>
      </w:rPr>
      <w:t>Judges’ Pensions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9C4DD4">
      <w:rPr>
        <w:rFonts w:ascii="Times New Roman" w:hAnsi="Times New Roman" w:cs="Times New Roman"/>
        <w:sz w:val="22"/>
        <w:szCs w:val="22"/>
        <w:lang w:val="en-IN"/>
      </w:rPr>
      <w:t>1974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95E23" w14:textId="325D0F6F" w:rsidR="009C4DD4" w:rsidRPr="009C4DD4" w:rsidRDefault="007B3DDF" w:rsidP="009C4DD4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>
      <w:rPr>
        <w:rFonts w:ascii="Times New Roman" w:hAnsi="Times New Roman" w:cs="Times New Roman"/>
        <w:sz w:val="22"/>
        <w:szCs w:val="22"/>
        <w:lang w:val="en-IN"/>
      </w:rPr>
      <w:t>1974</w:t>
    </w:r>
    <w:r w:rsidR="009C4DD4">
      <w:rPr>
        <w:rFonts w:ascii="Times New Roman" w:hAnsi="Times New Roman" w:cs="Times New Roman"/>
        <w:sz w:val="22"/>
        <w:szCs w:val="22"/>
        <w:lang w:val="en-IN"/>
      </w:rPr>
      <w:tab/>
    </w:r>
    <w:r w:rsidR="009C4DD4" w:rsidRPr="009C4DD4">
      <w:rPr>
        <w:rFonts w:ascii="Times New Roman" w:hAnsi="Times New Roman" w:cs="Times New Roman"/>
        <w:i/>
        <w:sz w:val="22"/>
        <w:szCs w:val="22"/>
        <w:lang w:val="en-IN"/>
      </w:rPr>
      <w:t>Judges’</w:t>
    </w:r>
    <w:r w:rsidR="00FE06F7">
      <w:rPr>
        <w:rFonts w:ascii="Times New Roman" w:hAnsi="Times New Roman" w:cs="Times New Roman"/>
        <w:i/>
        <w:sz w:val="22"/>
        <w:szCs w:val="22"/>
        <w:lang w:val="en-IN"/>
      </w:rPr>
      <w:t xml:space="preserve"> </w:t>
    </w:r>
    <w:r w:rsidR="009C4DD4" w:rsidRPr="009C4DD4">
      <w:rPr>
        <w:rFonts w:ascii="Times New Roman" w:hAnsi="Times New Roman" w:cs="Times New Roman"/>
        <w:i/>
        <w:sz w:val="22"/>
        <w:szCs w:val="22"/>
        <w:lang w:val="en-IN"/>
      </w:rPr>
      <w:t>Pensions</w:t>
    </w:r>
    <w:r w:rsidR="009C4DD4">
      <w:rPr>
        <w:rFonts w:ascii="Times New Roman" w:hAnsi="Times New Roman" w:cs="Times New Roman"/>
        <w:sz w:val="22"/>
        <w:szCs w:val="22"/>
        <w:lang w:val="en-IN"/>
      </w:rPr>
      <w:tab/>
    </w:r>
    <w:r w:rsidR="009C4DD4" w:rsidRPr="009C4DD4">
      <w:rPr>
        <w:rFonts w:ascii="Times New Roman" w:hAnsi="Times New Roman" w:cs="Times New Roman"/>
        <w:sz w:val="22"/>
        <w:szCs w:val="22"/>
        <w:lang w:val="en-IN"/>
      </w:rPr>
      <w:t>No.</w:t>
    </w:r>
    <w:r>
      <w:rPr>
        <w:rFonts w:ascii="Times New Roman" w:hAnsi="Times New Roman" w:cs="Times New Roman"/>
        <w:sz w:val="22"/>
        <w:szCs w:val="22"/>
        <w:lang w:val="en-IN"/>
      </w:rPr>
      <w:t xml:space="preserve"> </w:t>
    </w:r>
    <w:r w:rsidR="009C4DD4" w:rsidRPr="009C4DD4">
      <w:rPr>
        <w:rFonts w:ascii="Times New Roman" w:hAnsi="Times New Roman" w:cs="Times New Roman"/>
        <w:sz w:val="22"/>
        <w:szCs w:val="22"/>
        <w:lang w:val="en-IN"/>
      </w:rPr>
      <w:t>162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BCB"/>
    <w:multiLevelType w:val="multilevel"/>
    <w:tmpl w:val="3948D1AC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03A00"/>
    <w:multiLevelType w:val="multilevel"/>
    <w:tmpl w:val="AE2C82A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05A12"/>
    <w:multiLevelType w:val="multilevel"/>
    <w:tmpl w:val="6FA48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B125C"/>
    <w:multiLevelType w:val="multilevel"/>
    <w:tmpl w:val="06A418B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13BED"/>
    <w:multiLevelType w:val="multilevel"/>
    <w:tmpl w:val="89B452B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C05AE2"/>
    <w:multiLevelType w:val="multilevel"/>
    <w:tmpl w:val="93E07C6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AD3E97"/>
    <w:multiLevelType w:val="multilevel"/>
    <w:tmpl w:val="AFE0D5F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AF502E"/>
    <w:multiLevelType w:val="multilevel"/>
    <w:tmpl w:val="83745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5946F7"/>
    <w:multiLevelType w:val="multilevel"/>
    <w:tmpl w:val="4854529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892FBE"/>
    <w:multiLevelType w:val="multilevel"/>
    <w:tmpl w:val="80909CC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E25BA3"/>
    <w:multiLevelType w:val="multilevel"/>
    <w:tmpl w:val="98C0624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E62AD"/>
    <w:multiLevelType w:val="multilevel"/>
    <w:tmpl w:val="A63A799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2807C9"/>
    <w:multiLevelType w:val="multilevel"/>
    <w:tmpl w:val="93F2203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3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7317"/>
    <w:rsid w:val="000A3682"/>
    <w:rsid w:val="001A2250"/>
    <w:rsid w:val="002A01F5"/>
    <w:rsid w:val="004B3054"/>
    <w:rsid w:val="00602DAB"/>
    <w:rsid w:val="00795149"/>
    <w:rsid w:val="007B3DDF"/>
    <w:rsid w:val="009C4DD4"/>
    <w:rsid w:val="00A1147F"/>
    <w:rsid w:val="00AF7317"/>
    <w:rsid w:val="00CF10A5"/>
    <w:rsid w:val="00E23A52"/>
    <w:rsid w:val="00ED06DD"/>
    <w:rsid w:val="00F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2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Arial">
    <w:name w:val="Heading #1 + Arial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Arial">
    <w:name w:val="Heading #2 + Arial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pt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1pt0">
    <w:name w:val="Body text + 11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0pt">
    <w:name w:val="Body text + 10 pt"/>
    <w:aliases w:val="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/>
    </w:rPr>
  </w:style>
  <w:style w:type="character" w:customStyle="1" w:styleId="Bodytext10pt0">
    <w:name w:val="Body text + 10 pt"/>
    <w:aliases w:val="Small Caps,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en-US"/>
    </w:rPr>
  </w:style>
  <w:style w:type="character" w:customStyle="1" w:styleId="Bodytext10pt1">
    <w:name w:val="Body text + 1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customStyle="1" w:styleId="Bodytext20">
    <w:name w:val="Body text (2)"/>
    <w:basedOn w:val="Normal"/>
    <w:link w:val="Bodytext2"/>
    <w:pPr>
      <w:spacing w:line="16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pacing w:line="0" w:lineRule="atLeast"/>
      <w:ind w:hanging="520"/>
      <w:outlineLvl w:val="0"/>
    </w:pPr>
    <w:rPr>
      <w:rFonts w:ascii="Trebuchet MS" w:eastAsia="Trebuchet MS" w:hAnsi="Trebuchet MS" w:cs="Trebuchet MS"/>
      <w:b/>
      <w:bCs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Trebuchet MS" w:eastAsia="Trebuchet MS" w:hAnsi="Trebuchet MS" w:cs="Trebuchet MS"/>
      <w:b/>
      <w:bCs/>
      <w:sz w:val="27"/>
      <w:szCs w:val="27"/>
    </w:rPr>
  </w:style>
  <w:style w:type="paragraph" w:customStyle="1" w:styleId="BodyText1">
    <w:name w:val="Body Text1"/>
    <w:basedOn w:val="Normal"/>
    <w:link w:val="Bodytext"/>
    <w:pPr>
      <w:spacing w:line="24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60">
    <w:name w:val="Body text (6)"/>
    <w:basedOn w:val="Normal"/>
    <w:link w:val="Bodytext6"/>
    <w:pPr>
      <w:spacing w:line="0" w:lineRule="atLeas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line="0" w:lineRule="atLeast"/>
      <w:ind w:hanging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D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4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DD4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E23A5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D0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6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6D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6DD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DD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7B3DDF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2018-09-20T19:14:00Z</dcterms:created>
  <dcterms:modified xsi:type="dcterms:W3CDTF">2019-07-05T01:10:00Z</dcterms:modified>
</cp:coreProperties>
</file>