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55094" w14:textId="77777777" w:rsidR="005118CE" w:rsidRPr="0014007E" w:rsidRDefault="00865315" w:rsidP="0014007E">
      <w:pPr>
        <w:spacing w:after="160"/>
        <w:jc w:val="center"/>
        <w:rPr>
          <w:rFonts w:ascii="Times New Roman" w:hAnsi="Times New Roman" w:cs="Times New Roman"/>
          <w:b/>
          <w:sz w:val="32"/>
          <w:szCs w:val="32"/>
        </w:rPr>
      </w:pPr>
      <w:bookmarkStart w:id="0" w:name="bookmark0"/>
      <w:r w:rsidRPr="0014007E">
        <w:rPr>
          <w:rFonts w:ascii="Times New Roman" w:hAnsi="Times New Roman" w:cs="Times New Roman"/>
          <w:b/>
          <w:sz w:val="32"/>
          <w:szCs w:val="32"/>
        </w:rPr>
        <w:t>PARLIAMENT ACT 1974</w:t>
      </w:r>
      <w:bookmarkEnd w:id="0"/>
    </w:p>
    <w:p w14:paraId="6F610A1D" w14:textId="77777777" w:rsidR="005118CE" w:rsidRPr="0014007E" w:rsidRDefault="00865315" w:rsidP="0014007E">
      <w:pPr>
        <w:spacing w:after="240"/>
        <w:jc w:val="center"/>
        <w:rPr>
          <w:rFonts w:ascii="Times New Roman" w:hAnsi="Times New Roman" w:cs="Times New Roman"/>
          <w:b/>
          <w:sz w:val="28"/>
          <w:szCs w:val="28"/>
        </w:rPr>
      </w:pPr>
      <w:bookmarkStart w:id="1" w:name="bookmark1"/>
      <w:r w:rsidRPr="0014007E">
        <w:rPr>
          <w:rFonts w:ascii="Times New Roman" w:hAnsi="Times New Roman" w:cs="Times New Roman"/>
          <w:b/>
          <w:sz w:val="28"/>
          <w:szCs w:val="28"/>
        </w:rPr>
        <w:t>No. 165 of 1974</w:t>
      </w:r>
      <w:bookmarkEnd w:id="1"/>
    </w:p>
    <w:p w14:paraId="78CDFE42" w14:textId="77777777" w:rsidR="005118CE" w:rsidRPr="0014007E" w:rsidRDefault="00865315" w:rsidP="0014007E">
      <w:pPr>
        <w:pStyle w:val="BodyText1"/>
        <w:spacing w:after="240" w:line="240" w:lineRule="auto"/>
        <w:rPr>
          <w:sz w:val="24"/>
          <w:szCs w:val="24"/>
        </w:rPr>
      </w:pPr>
      <w:r w:rsidRPr="0014007E">
        <w:rPr>
          <w:sz w:val="24"/>
          <w:szCs w:val="24"/>
        </w:rPr>
        <w:t>An Act to determine the site of the New and Permanent Parliament House, and for other purposes.</w:t>
      </w:r>
    </w:p>
    <w:p w14:paraId="11A01068" w14:textId="77777777" w:rsidR="005118CE" w:rsidRPr="0014007E" w:rsidRDefault="00865315" w:rsidP="0014007E">
      <w:pPr>
        <w:pStyle w:val="BodyText1"/>
        <w:spacing w:line="240" w:lineRule="auto"/>
        <w:ind w:firstLine="270"/>
        <w:rPr>
          <w:sz w:val="24"/>
          <w:szCs w:val="24"/>
        </w:rPr>
      </w:pPr>
      <w:r w:rsidRPr="0014007E">
        <w:rPr>
          <w:sz w:val="24"/>
          <w:szCs w:val="24"/>
        </w:rPr>
        <w:t>BE IT ENACTED by the Queen, the Senate and the House of Representatives of Australia, as follows: —</w:t>
      </w:r>
    </w:p>
    <w:p w14:paraId="44A224F2" w14:textId="77777777" w:rsidR="005118CE" w:rsidRPr="0014007E" w:rsidRDefault="00865315" w:rsidP="0014007E">
      <w:pPr>
        <w:pStyle w:val="Bodytext20"/>
        <w:spacing w:before="120" w:after="60" w:line="240" w:lineRule="auto"/>
        <w:jc w:val="both"/>
        <w:rPr>
          <w:b/>
          <w:sz w:val="20"/>
          <w:szCs w:val="20"/>
        </w:rPr>
      </w:pPr>
      <w:r w:rsidRPr="0014007E">
        <w:rPr>
          <w:b/>
          <w:sz w:val="20"/>
          <w:szCs w:val="20"/>
        </w:rPr>
        <w:t>Short title.</w:t>
      </w:r>
    </w:p>
    <w:p w14:paraId="1B70367A" w14:textId="2ACA1AE8" w:rsidR="005118CE" w:rsidRPr="0014007E" w:rsidRDefault="0014007E" w:rsidP="0014007E">
      <w:pPr>
        <w:pStyle w:val="BodyText1"/>
        <w:tabs>
          <w:tab w:val="left" w:pos="630"/>
        </w:tabs>
        <w:spacing w:line="240" w:lineRule="auto"/>
        <w:ind w:firstLine="270"/>
        <w:rPr>
          <w:sz w:val="24"/>
          <w:szCs w:val="24"/>
        </w:rPr>
      </w:pPr>
      <w:r w:rsidRPr="0014007E">
        <w:rPr>
          <w:b/>
          <w:sz w:val="24"/>
          <w:szCs w:val="24"/>
        </w:rPr>
        <w:t>1.</w:t>
      </w:r>
      <w:r>
        <w:rPr>
          <w:b/>
          <w:sz w:val="24"/>
          <w:szCs w:val="24"/>
        </w:rPr>
        <w:tab/>
      </w:r>
      <w:r w:rsidR="00865315" w:rsidRPr="0014007E">
        <w:rPr>
          <w:sz w:val="24"/>
          <w:szCs w:val="24"/>
        </w:rPr>
        <w:t xml:space="preserve">This Act may be cited as the </w:t>
      </w:r>
      <w:r w:rsidR="00865315" w:rsidRPr="0014007E">
        <w:rPr>
          <w:rStyle w:val="BodytextItalic"/>
          <w:sz w:val="24"/>
          <w:szCs w:val="24"/>
        </w:rPr>
        <w:t>Parliament Act</w:t>
      </w:r>
      <w:r w:rsidR="00865315" w:rsidRPr="0014007E">
        <w:rPr>
          <w:sz w:val="24"/>
          <w:szCs w:val="24"/>
        </w:rPr>
        <w:t xml:space="preserve"> 1974.</w:t>
      </w:r>
    </w:p>
    <w:p w14:paraId="3AE6A2A3" w14:textId="77777777" w:rsidR="0014007E" w:rsidRPr="0014007E" w:rsidRDefault="0014007E" w:rsidP="0014007E">
      <w:pPr>
        <w:pStyle w:val="Bodytext20"/>
        <w:spacing w:before="120" w:after="60" w:line="240" w:lineRule="auto"/>
        <w:jc w:val="both"/>
        <w:rPr>
          <w:b/>
          <w:sz w:val="20"/>
          <w:szCs w:val="20"/>
        </w:rPr>
      </w:pPr>
      <w:r w:rsidRPr="0014007E">
        <w:rPr>
          <w:b/>
          <w:sz w:val="20"/>
          <w:szCs w:val="20"/>
        </w:rPr>
        <w:t>Commencement.</w:t>
      </w:r>
    </w:p>
    <w:p w14:paraId="3CFA2985" w14:textId="77777777" w:rsidR="005118CE" w:rsidRPr="0014007E" w:rsidRDefault="0014007E" w:rsidP="0014007E">
      <w:pPr>
        <w:pStyle w:val="BodyText1"/>
        <w:tabs>
          <w:tab w:val="left" w:pos="630"/>
        </w:tabs>
        <w:spacing w:line="240" w:lineRule="auto"/>
        <w:ind w:firstLine="270"/>
        <w:rPr>
          <w:sz w:val="24"/>
          <w:szCs w:val="24"/>
        </w:rPr>
      </w:pPr>
      <w:r w:rsidRPr="0014007E">
        <w:rPr>
          <w:b/>
          <w:sz w:val="24"/>
          <w:szCs w:val="24"/>
        </w:rPr>
        <w:t>2.</w:t>
      </w:r>
      <w:r>
        <w:rPr>
          <w:b/>
          <w:sz w:val="24"/>
          <w:szCs w:val="24"/>
        </w:rPr>
        <w:tab/>
      </w:r>
      <w:r w:rsidR="00865315" w:rsidRPr="0014007E">
        <w:rPr>
          <w:sz w:val="24"/>
          <w:szCs w:val="24"/>
        </w:rPr>
        <w:t>This Act shall come into operation on the day on which it receives the Royal Assent.</w:t>
      </w:r>
      <w:r w:rsidR="00865315" w:rsidRPr="0014007E">
        <w:rPr>
          <w:sz w:val="24"/>
          <w:szCs w:val="24"/>
          <w:vertAlign w:val="superscript"/>
        </w:rPr>
        <w:t>1</w:t>
      </w:r>
    </w:p>
    <w:p w14:paraId="6417B924" w14:textId="77777777" w:rsidR="0014007E" w:rsidRPr="0014007E" w:rsidRDefault="0014007E" w:rsidP="0014007E">
      <w:pPr>
        <w:pStyle w:val="Bodytext20"/>
        <w:spacing w:before="120" w:after="60" w:line="240" w:lineRule="auto"/>
        <w:jc w:val="both"/>
        <w:rPr>
          <w:b/>
          <w:sz w:val="20"/>
          <w:szCs w:val="20"/>
        </w:rPr>
      </w:pPr>
      <w:r w:rsidRPr="0014007E">
        <w:rPr>
          <w:b/>
          <w:sz w:val="20"/>
          <w:szCs w:val="20"/>
        </w:rPr>
        <w:t>Definition.</w:t>
      </w:r>
    </w:p>
    <w:p w14:paraId="7D269482" w14:textId="77777777" w:rsidR="005118CE" w:rsidRPr="0014007E" w:rsidRDefault="0014007E" w:rsidP="0014007E">
      <w:pPr>
        <w:pStyle w:val="BodyText1"/>
        <w:tabs>
          <w:tab w:val="left" w:pos="630"/>
        </w:tabs>
        <w:spacing w:line="240" w:lineRule="auto"/>
        <w:ind w:firstLine="270"/>
        <w:rPr>
          <w:sz w:val="24"/>
          <w:szCs w:val="24"/>
        </w:rPr>
      </w:pPr>
      <w:r w:rsidRPr="0014007E">
        <w:rPr>
          <w:b/>
          <w:sz w:val="24"/>
          <w:szCs w:val="24"/>
        </w:rPr>
        <w:t>3.</w:t>
      </w:r>
      <w:r>
        <w:rPr>
          <w:b/>
          <w:sz w:val="24"/>
          <w:szCs w:val="24"/>
        </w:rPr>
        <w:tab/>
      </w:r>
      <w:r w:rsidR="00865315" w:rsidRPr="0014007E">
        <w:rPr>
          <w:sz w:val="24"/>
          <w:szCs w:val="24"/>
        </w:rPr>
        <w:t>In this Act “Parliamentary zone” means the area of land bounded by the lines commencing at a point wh</w:t>
      </w:r>
      <w:r>
        <w:rPr>
          <w:sz w:val="24"/>
          <w:szCs w:val="24"/>
        </w:rPr>
        <w:t>ere Commonwealth Av</w:t>
      </w:r>
      <w:r w:rsidR="00865315" w:rsidRPr="0014007E">
        <w:rPr>
          <w:sz w:val="24"/>
          <w:szCs w:val="24"/>
        </w:rPr>
        <w:t xml:space="preserve">enue intersects State Circle marked A, </w:t>
      </w:r>
      <w:r>
        <w:rPr>
          <w:sz w:val="24"/>
          <w:szCs w:val="24"/>
        </w:rPr>
        <w:t>and thence in a northerly direc</w:t>
      </w:r>
      <w:r w:rsidR="00865315" w:rsidRPr="0014007E">
        <w:rPr>
          <w:sz w:val="24"/>
          <w:szCs w:val="24"/>
        </w:rPr>
        <w:t>tion along Commonwealth Avenue to Lake Burley Griffin at a point marked B, and thence extending in an easterly direction along the shore of Lake Burley Griffin to a point where Kings Avenue intersects with the said Lake shore marked C, and thence in a south-westerly direction along Kings Avenue to State Circle at a point marked D, and thence in a straight line, being an extension of Kings Avenue, to its intersection with Capital Circle and thence clockwise around Capital Circle to a point where it intersects with a straight line extending Commonwealth Avenue from the point marked A and thence alon</w:t>
      </w:r>
      <w:r w:rsidR="0025298F">
        <w:rPr>
          <w:sz w:val="24"/>
          <w:szCs w:val="24"/>
        </w:rPr>
        <w:t>g that line to the point of com</w:t>
      </w:r>
      <w:r w:rsidR="00865315" w:rsidRPr="0014007E">
        <w:rPr>
          <w:sz w:val="24"/>
          <w:szCs w:val="24"/>
        </w:rPr>
        <w:t>mencement, being the area delineated by hatching on the plan set out in the Schedule.</w:t>
      </w:r>
    </w:p>
    <w:p w14:paraId="4C1C37C9" w14:textId="77777777" w:rsidR="005118CE" w:rsidRPr="0014007E" w:rsidRDefault="00865315" w:rsidP="0014007E">
      <w:pPr>
        <w:pStyle w:val="Bodytext20"/>
        <w:spacing w:before="120" w:after="60" w:line="240" w:lineRule="auto"/>
        <w:jc w:val="both"/>
        <w:rPr>
          <w:b/>
          <w:sz w:val="20"/>
          <w:szCs w:val="20"/>
        </w:rPr>
      </w:pPr>
      <w:r w:rsidRPr="0014007E">
        <w:rPr>
          <w:b/>
          <w:sz w:val="20"/>
          <w:szCs w:val="20"/>
        </w:rPr>
        <w:t>Site of new Parliament House.</w:t>
      </w:r>
    </w:p>
    <w:p w14:paraId="7194FDE5" w14:textId="77777777" w:rsidR="005118CE" w:rsidRPr="0014007E" w:rsidRDefault="0014007E" w:rsidP="0014007E">
      <w:pPr>
        <w:pStyle w:val="BodyText1"/>
        <w:tabs>
          <w:tab w:val="left" w:pos="630"/>
        </w:tabs>
        <w:spacing w:line="240" w:lineRule="auto"/>
        <w:ind w:firstLine="270"/>
        <w:rPr>
          <w:sz w:val="24"/>
          <w:szCs w:val="24"/>
        </w:rPr>
      </w:pPr>
      <w:r w:rsidRPr="0014007E">
        <w:rPr>
          <w:b/>
          <w:sz w:val="24"/>
          <w:szCs w:val="24"/>
        </w:rPr>
        <w:t>4.</w:t>
      </w:r>
      <w:r>
        <w:rPr>
          <w:b/>
          <w:sz w:val="24"/>
          <w:szCs w:val="24"/>
        </w:rPr>
        <w:tab/>
      </w:r>
      <w:r w:rsidR="00865315" w:rsidRPr="0014007E">
        <w:rPr>
          <w:sz w:val="24"/>
          <w:szCs w:val="24"/>
        </w:rPr>
        <w:t>The new and permanent Parl</w:t>
      </w:r>
      <w:r>
        <w:rPr>
          <w:sz w:val="24"/>
          <w:szCs w:val="24"/>
        </w:rPr>
        <w:t>iament House proposed to be con</w:t>
      </w:r>
      <w:r w:rsidR="00865315" w:rsidRPr="0014007E">
        <w:rPr>
          <w:sz w:val="24"/>
          <w:szCs w:val="24"/>
        </w:rPr>
        <w:t>structed after the commencement of this Act shall be constructed upon the site on Capital Hill marked “Site of Parliament House” on the plan set out in the Schedule.</w:t>
      </w:r>
    </w:p>
    <w:p w14:paraId="7BDD3F43" w14:textId="77777777" w:rsidR="0014007E" w:rsidRPr="0014007E" w:rsidRDefault="0014007E" w:rsidP="0014007E">
      <w:pPr>
        <w:pStyle w:val="Bodytext20"/>
        <w:spacing w:before="120" w:after="60" w:line="240" w:lineRule="auto"/>
        <w:jc w:val="both"/>
        <w:rPr>
          <w:b/>
          <w:sz w:val="20"/>
          <w:szCs w:val="20"/>
        </w:rPr>
      </w:pPr>
      <w:r w:rsidRPr="0014007E">
        <w:rPr>
          <w:b/>
          <w:sz w:val="20"/>
          <w:szCs w:val="20"/>
        </w:rPr>
        <w:t>Parliamentary control of erection of buildings or other work within Parliamentary zone.</w:t>
      </w:r>
    </w:p>
    <w:p w14:paraId="71D0DDF4" w14:textId="77777777" w:rsidR="005118CE" w:rsidRPr="0014007E" w:rsidRDefault="0014007E" w:rsidP="0014007E">
      <w:pPr>
        <w:pStyle w:val="BodyText1"/>
        <w:tabs>
          <w:tab w:val="left" w:pos="630"/>
        </w:tabs>
        <w:spacing w:after="60" w:line="240" w:lineRule="auto"/>
        <w:ind w:firstLine="274"/>
        <w:rPr>
          <w:sz w:val="24"/>
          <w:szCs w:val="24"/>
        </w:rPr>
      </w:pPr>
      <w:r w:rsidRPr="0014007E">
        <w:rPr>
          <w:b/>
          <w:sz w:val="24"/>
          <w:szCs w:val="24"/>
        </w:rPr>
        <w:t>5.</w:t>
      </w:r>
      <w:r>
        <w:rPr>
          <w:b/>
          <w:sz w:val="24"/>
          <w:szCs w:val="24"/>
        </w:rPr>
        <w:t xml:space="preserve"> </w:t>
      </w:r>
      <w:r w:rsidR="00865315" w:rsidRPr="0014007E">
        <w:rPr>
          <w:sz w:val="24"/>
          <w:szCs w:val="24"/>
        </w:rPr>
        <w:t>(1) No building or other work is to be erected on land within the Parliamentary zone unless the Minister has caused a proposal for the erection of the building or work to be la</w:t>
      </w:r>
      <w:r>
        <w:rPr>
          <w:sz w:val="24"/>
          <w:szCs w:val="24"/>
        </w:rPr>
        <w:t>id before each House of the Par</w:t>
      </w:r>
      <w:r w:rsidR="00865315" w:rsidRPr="0014007E">
        <w:rPr>
          <w:sz w:val="24"/>
          <w:szCs w:val="24"/>
        </w:rPr>
        <w:t>liament and the proposal has been approved by resolution of each House of Parliament.</w:t>
      </w:r>
    </w:p>
    <w:p w14:paraId="74DFDA24" w14:textId="77777777" w:rsidR="005118CE" w:rsidRPr="0014007E" w:rsidRDefault="0014007E" w:rsidP="0014007E">
      <w:pPr>
        <w:pStyle w:val="BodyText1"/>
        <w:spacing w:after="60" w:line="240" w:lineRule="auto"/>
        <w:ind w:firstLine="274"/>
        <w:rPr>
          <w:sz w:val="24"/>
          <w:szCs w:val="24"/>
        </w:rPr>
      </w:pPr>
      <w:r>
        <w:rPr>
          <w:sz w:val="24"/>
          <w:szCs w:val="24"/>
        </w:rPr>
        <w:t xml:space="preserve">(2) </w:t>
      </w:r>
      <w:r w:rsidR="00865315" w:rsidRPr="0014007E">
        <w:rPr>
          <w:sz w:val="24"/>
          <w:szCs w:val="24"/>
        </w:rPr>
        <w:t>Sub-section (1) does not prevent the carrying out of work by way of maintenance or repair of buildings or works situated on land within the Parliamentary zone, or by way of internal alterations to those buildings or works.</w:t>
      </w:r>
    </w:p>
    <w:p w14:paraId="4AC084B3" w14:textId="77777777" w:rsidR="0014007E" w:rsidRDefault="0014007E" w:rsidP="0014007E">
      <w:pPr>
        <w:pStyle w:val="BodyText1"/>
        <w:spacing w:line="240" w:lineRule="auto"/>
        <w:ind w:firstLine="270"/>
        <w:rPr>
          <w:sz w:val="24"/>
          <w:szCs w:val="24"/>
        </w:rPr>
      </w:pPr>
      <w:r>
        <w:rPr>
          <w:sz w:val="24"/>
          <w:szCs w:val="24"/>
        </w:rPr>
        <w:t xml:space="preserve">(3) </w:t>
      </w:r>
      <w:r w:rsidR="00865315" w:rsidRPr="0014007E">
        <w:rPr>
          <w:sz w:val="24"/>
          <w:szCs w:val="24"/>
        </w:rPr>
        <w:t>Sub-section (1) does not apply to buildings and works which have reached the documentation stage by 1 December 1974.</w:t>
      </w:r>
    </w:p>
    <w:p w14:paraId="56AF96FA" w14:textId="5F507429" w:rsidR="00A5556F" w:rsidRDefault="00A5556F">
      <w:r>
        <w:br w:type="page"/>
      </w:r>
    </w:p>
    <w:p w14:paraId="2C8541C1" w14:textId="77777777" w:rsidR="0014007E" w:rsidRDefault="0014007E">
      <w:pPr>
        <w:rPr>
          <w:rFonts w:ascii="Times New Roman" w:eastAsia="Times New Roman" w:hAnsi="Times New Roman" w:cs="Times New Roman"/>
        </w:rPr>
      </w:pPr>
    </w:p>
    <w:p w14:paraId="293FC765" w14:textId="77777777" w:rsidR="00D56D59" w:rsidRDefault="00D56D59" w:rsidP="0014007E">
      <w:pPr>
        <w:pStyle w:val="BodyText1"/>
        <w:tabs>
          <w:tab w:val="left" w:pos="5940"/>
        </w:tabs>
        <w:spacing w:line="240" w:lineRule="auto"/>
        <w:ind w:firstLine="3240"/>
        <w:jc w:val="center"/>
        <w:rPr>
          <w:b/>
          <w:bCs/>
          <w:color w:val="auto"/>
          <w:sz w:val="28"/>
          <w:szCs w:val="28"/>
        </w:rPr>
      </w:pPr>
    </w:p>
    <w:p w14:paraId="0ED1279D" w14:textId="77777777" w:rsidR="005118CE" w:rsidRPr="0014007E" w:rsidRDefault="0014007E" w:rsidP="0014007E">
      <w:pPr>
        <w:pStyle w:val="BodyText1"/>
        <w:tabs>
          <w:tab w:val="left" w:pos="5940"/>
        </w:tabs>
        <w:spacing w:line="240" w:lineRule="auto"/>
        <w:ind w:firstLine="3240"/>
        <w:jc w:val="center"/>
        <w:rPr>
          <w:sz w:val="24"/>
          <w:szCs w:val="24"/>
        </w:rPr>
      </w:pPr>
      <w:r w:rsidRPr="0014007E">
        <w:rPr>
          <w:b/>
          <w:bCs/>
          <w:color w:val="auto"/>
          <w:sz w:val="28"/>
          <w:szCs w:val="28"/>
        </w:rPr>
        <w:t>SCHED</w:t>
      </w:r>
      <w:bookmarkStart w:id="2" w:name="_GoBack"/>
      <w:bookmarkEnd w:id="2"/>
      <w:r w:rsidRPr="0014007E">
        <w:rPr>
          <w:b/>
          <w:bCs/>
          <w:color w:val="auto"/>
          <w:sz w:val="28"/>
          <w:szCs w:val="28"/>
        </w:rPr>
        <w:t>ULE</w:t>
      </w:r>
      <w:r w:rsidRPr="0014007E">
        <w:rPr>
          <w:b/>
          <w:bCs/>
          <w:color w:val="auto"/>
          <w:sz w:val="28"/>
          <w:szCs w:val="28"/>
        </w:rPr>
        <w:tab/>
      </w:r>
      <w:r w:rsidRPr="0014007E">
        <w:rPr>
          <w:color w:val="auto"/>
          <w:sz w:val="24"/>
          <w:szCs w:val="24"/>
        </w:rPr>
        <w:t>Sections</w:t>
      </w:r>
      <w:r w:rsidR="00A41F17">
        <w:rPr>
          <w:color w:val="auto"/>
          <w:sz w:val="24"/>
          <w:szCs w:val="24"/>
        </w:rPr>
        <w:t xml:space="preserve"> </w:t>
      </w:r>
      <w:r w:rsidRPr="00A41F17">
        <w:rPr>
          <w:bCs/>
          <w:color w:val="auto"/>
          <w:sz w:val="24"/>
          <w:szCs w:val="24"/>
        </w:rPr>
        <w:t>3</w:t>
      </w:r>
      <w:r w:rsidR="00D56D59" w:rsidRPr="00A41F17">
        <w:rPr>
          <w:bCs/>
          <w:color w:val="auto"/>
          <w:sz w:val="24"/>
          <w:szCs w:val="24"/>
        </w:rPr>
        <w:t xml:space="preserve"> </w:t>
      </w:r>
      <w:r w:rsidRPr="0014007E">
        <w:rPr>
          <w:color w:val="auto"/>
          <w:sz w:val="24"/>
          <w:szCs w:val="24"/>
        </w:rPr>
        <w:t>and</w:t>
      </w:r>
      <w:r w:rsidR="00A41F17">
        <w:rPr>
          <w:color w:val="auto"/>
          <w:sz w:val="24"/>
          <w:szCs w:val="24"/>
        </w:rPr>
        <w:t xml:space="preserve"> </w:t>
      </w:r>
      <w:r w:rsidRPr="0014007E">
        <w:rPr>
          <w:color w:val="auto"/>
          <w:sz w:val="24"/>
          <w:szCs w:val="24"/>
        </w:rPr>
        <w:t>4</w:t>
      </w:r>
      <w:r w:rsidRPr="0014007E">
        <w:rPr>
          <w:sz w:val="24"/>
          <w:szCs w:val="24"/>
        </w:rPr>
        <w:t xml:space="preserve"> </w:t>
      </w:r>
      <w:r w:rsidR="00865315" w:rsidRPr="0014007E">
        <w:rPr>
          <w:sz w:val="24"/>
          <w:szCs w:val="24"/>
        </w:rPr>
        <w:fldChar w:fldCharType="begin"/>
      </w:r>
      <w:r w:rsidR="00865315" w:rsidRPr="0014007E">
        <w:rPr>
          <w:sz w:val="24"/>
          <w:szCs w:val="24"/>
        </w:rPr>
        <w:instrText xml:space="preserve"> INCLUDEPICTURE  "E:\\OCR 3\\Working File\\media\\image1.png" \* MERGEFORMATINET </w:instrText>
      </w:r>
      <w:r w:rsidR="00865315" w:rsidRPr="0014007E">
        <w:rPr>
          <w:sz w:val="24"/>
          <w:szCs w:val="24"/>
        </w:rPr>
        <w:fldChar w:fldCharType="separate"/>
      </w:r>
      <w:r w:rsidR="002F779B">
        <w:rPr>
          <w:sz w:val="24"/>
          <w:szCs w:val="24"/>
        </w:rPr>
        <w:fldChar w:fldCharType="begin"/>
      </w:r>
      <w:r w:rsidR="002F779B">
        <w:rPr>
          <w:sz w:val="24"/>
          <w:szCs w:val="24"/>
        </w:rPr>
        <w:instrText xml:space="preserve"> INCLUDEPICTURE  "\\\\viren\\OCR_Third Batch\\Stage 3 Formatted Words\\media\\image1.png" \* MERGEFORMATINET </w:instrText>
      </w:r>
      <w:r w:rsidR="002F779B">
        <w:rPr>
          <w:sz w:val="24"/>
          <w:szCs w:val="24"/>
        </w:rPr>
        <w:fldChar w:fldCharType="separate"/>
      </w:r>
      <w:r w:rsidR="006E63DD">
        <w:rPr>
          <w:sz w:val="24"/>
          <w:szCs w:val="24"/>
        </w:rPr>
        <w:fldChar w:fldCharType="begin"/>
      </w:r>
      <w:r w:rsidR="006E63DD">
        <w:rPr>
          <w:sz w:val="24"/>
          <w:szCs w:val="24"/>
        </w:rPr>
        <w:instrText xml:space="preserve"> INCLUDEPICTURE  "D:\\venus\\March\\12-Mar\\Venus\\media\\image1.png" \* MERGEFORMATINET </w:instrText>
      </w:r>
      <w:r w:rsidR="006E63DD">
        <w:rPr>
          <w:sz w:val="24"/>
          <w:szCs w:val="24"/>
        </w:rPr>
        <w:fldChar w:fldCharType="separate"/>
      </w:r>
      <w:r w:rsidR="00A41F17">
        <w:rPr>
          <w:sz w:val="24"/>
          <w:szCs w:val="24"/>
        </w:rPr>
        <w:fldChar w:fldCharType="begin"/>
      </w:r>
      <w:r w:rsidR="00A41F17">
        <w:rPr>
          <w:sz w:val="24"/>
          <w:szCs w:val="24"/>
        </w:rPr>
        <w:instrText xml:space="preserve"> INCLUDEPICTURE  "Z:\\OPC\\Project New Dawn_Regulations\\QA\\Acts\\media\\image1.png" \* MERGEFORMATINET </w:instrText>
      </w:r>
      <w:r w:rsidR="00A41F17">
        <w:rPr>
          <w:sz w:val="24"/>
          <w:szCs w:val="24"/>
        </w:rPr>
        <w:fldChar w:fldCharType="separate"/>
      </w:r>
      <w:r w:rsidR="006751CB">
        <w:rPr>
          <w:sz w:val="24"/>
          <w:szCs w:val="24"/>
        </w:rPr>
        <w:fldChar w:fldCharType="begin"/>
      </w:r>
      <w:r w:rsidR="006751CB">
        <w:rPr>
          <w:sz w:val="24"/>
          <w:szCs w:val="24"/>
        </w:rPr>
        <w:instrText xml:space="preserve"> INCLUDEPICTURE  "C:\\Users\\David\\Desktop\\JOBS\\O01_OPC Canberra\\OPC Proofreaing_Sep 2018-June 2019\\media\\image1.png" \* MERGEFORMATINET </w:instrText>
      </w:r>
      <w:r w:rsidR="006751CB">
        <w:rPr>
          <w:sz w:val="24"/>
          <w:szCs w:val="24"/>
        </w:rPr>
        <w:fldChar w:fldCharType="separate"/>
      </w:r>
      <w:r w:rsidR="00EB14B8">
        <w:rPr>
          <w:sz w:val="24"/>
          <w:szCs w:val="24"/>
        </w:rPr>
        <w:fldChar w:fldCharType="begin"/>
      </w:r>
      <w:r w:rsidR="00EB14B8">
        <w:rPr>
          <w:sz w:val="24"/>
          <w:szCs w:val="24"/>
        </w:rPr>
        <w:instrText xml:space="preserve"> </w:instrText>
      </w:r>
      <w:r w:rsidR="00EB14B8">
        <w:rPr>
          <w:sz w:val="24"/>
          <w:szCs w:val="24"/>
        </w:rPr>
        <w:instrText>INCLUDEPICTURE  "C:\\Users\\harperm\\Desktop\\Working folder\\media\\image1.png" \* MERGEFORMATINET</w:instrText>
      </w:r>
      <w:r w:rsidR="00EB14B8">
        <w:rPr>
          <w:sz w:val="24"/>
          <w:szCs w:val="24"/>
        </w:rPr>
        <w:instrText xml:space="preserve"> </w:instrText>
      </w:r>
      <w:r w:rsidR="00EB14B8">
        <w:rPr>
          <w:sz w:val="24"/>
          <w:szCs w:val="24"/>
        </w:rPr>
        <w:fldChar w:fldCharType="separate"/>
      </w:r>
      <w:r w:rsidR="00A5556F">
        <w:rPr>
          <w:sz w:val="24"/>
          <w:szCs w:val="24"/>
        </w:rPr>
        <w:pict w14:anchorId="78406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15pt;height:535.3pt">
            <v:imagedata r:id="rId8" r:href="rId9"/>
          </v:shape>
        </w:pict>
      </w:r>
      <w:r w:rsidR="00EB14B8">
        <w:rPr>
          <w:sz w:val="24"/>
          <w:szCs w:val="24"/>
        </w:rPr>
        <w:fldChar w:fldCharType="end"/>
      </w:r>
      <w:r w:rsidR="006751CB">
        <w:rPr>
          <w:sz w:val="24"/>
          <w:szCs w:val="24"/>
        </w:rPr>
        <w:fldChar w:fldCharType="end"/>
      </w:r>
      <w:r w:rsidR="00A41F17">
        <w:rPr>
          <w:sz w:val="24"/>
          <w:szCs w:val="24"/>
        </w:rPr>
        <w:fldChar w:fldCharType="end"/>
      </w:r>
      <w:r w:rsidR="006E63DD">
        <w:rPr>
          <w:sz w:val="24"/>
          <w:szCs w:val="24"/>
        </w:rPr>
        <w:fldChar w:fldCharType="end"/>
      </w:r>
      <w:r w:rsidR="002F779B">
        <w:rPr>
          <w:sz w:val="24"/>
          <w:szCs w:val="24"/>
        </w:rPr>
        <w:fldChar w:fldCharType="end"/>
      </w:r>
      <w:r w:rsidR="00865315" w:rsidRPr="0014007E">
        <w:rPr>
          <w:sz w:val="24"/>
          <w:szCs w:val="24"/>
        </w:rPr>
        <w:fldChar w:fldCharType="end"/>
      </w:r>
    </w:p>
    <w:sectPr w:rsidR="005118CE" w:rsidRPr="0014007E" w:rsidSect="002D6846">
      <w:headerReference w:type="default" r:id="rId10"/>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ED4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ED4DFC" w16cid:durableId="1F4F02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88CD8" w14:textId="77777777" w:rsidR="006751CB" w:rsidRDefault="006751CB">
      <w:r>
        <w:separator/>
      </w:r>
    </w:p>
  </w:endnote>
  <w:endnote w:type="continuationSeparator" w:id="0">
    <w:p w14:paraId="130A34E9" w14:textId="77777777" w:rsidR="006751CB" w:rsidRDefault="0067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4DF74" w14:textId="77777777" w:rsidR="006751CB" w:rsidRDefault="006751CB"/>
  </w:footnote>
  <w:footnote w:type="continuationSeparator" w:id="0">
    <w:p w14:paraId="4738CA53" w14:textId="77777777" w:rsidR="006751CB" w:rsidRDefault="006751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6A9ED" w14:textId="7E4224B5" w:rsidR="002F779B" w:rsidRPr="002F779B" w:rsidRDefault="00A5556F" w:rsidP="002F779B">
    <w:pPr>
      <w:pStyle w:val="Header"/>
      <w:tabs>
        <w:tab w:val="clear" w:pos="4513"/>
        <w:tab w:val="clear" w:pos="9026"/>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No. 165</w:t>
    </w:r>
    <w:r w:rsidR="002F779B">
      <w:rPr>
        <w:rFonts w:ascii="Times New Roman" w:hAnsi="Times New Roman" w:cs="Times New Roman"/>
        <w:sz w:val="22"/>
        <w:szCs w:val="22"/>
        <w:lang w:val="en-IN"/>
      </w:rPr>
      <w:tab/>
    </w:r>
    <w:r w:rsidR="002F779B" w:rsidRPr="002F779B">
      <w:rPr>
        <w:rFonts w:ascii="Times New Roman" w:hAnsi="Times New Roman" w:cs="Times New Roman"/>
        <w:i/>
        <w:sz w:val="22"/>
        <w:szCs w:val="22"/>
        <w:lang w:val="en-IN"/>
      </w:rPr>
      <w:t>Parliament</w:t>
    </w:r>
    <w:r w:rsidR="002F779B">
      <w:rPr>
        <w:rFonts w:ascii="Times New Roman" w:hAnsi="Times New Roman" w:cs="Times New Roman"/>
        <w:sz w:val="22"/>
        <w:szCs w:val="22"/>
        <w:lang w:val="en-IN"/>
      </w:rPr>
      <w:tab/>
    </w:r>
    <w:r w:rsidR="002F779B" w:rsidRPr="002F779B">
      <w:rPr>
        <w:rFonts w:ascii="Times New Roman" w:hAnsi="Times New Roman" w:cs="Times New Roman"/>
        <w:sz w:val="22"/>
        <w:szCs w:val="22"/>
        <w:lang w:val="en-IN"/>
      </w:rPr>
      <w:t>1974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8B8"/>
    <w:multiLevelType w:val="multilevel"/>
    <w:tmpl w:val="69043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B108EC"/>
    <w:multiLevelType w:val="multilevel"/>
    <w:tmpl w:val="DCAE77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4D6DED"/>
    <w:multiLevelType w:val="multilevel"/>
    <w:tmpl w:val="F96E9CBA"/>
    <w:lvl w:ilvl="0">
      <w:start w:val="4"/>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856648"/>
    <w:multiLevelType w:val="multilevel"/>
    <w:tmpl w:val="6E6E0E1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118CE"/>
    <w:rsid w:val="0014007E"/>
    <w:rsid w:val="0025298F"/>
    <w:rsid w:val="002D6846"/>
    <w:rsid w:val="002F779B"/>
    <w:rsid w:val="005118CE"/>
    <w:rsid w:val="006751CB"/>
    <w:rsid w:val="006E63DD"/>
    <w:rsid w:val="00865315"/>
    <w:rsid w:val="00A41F17"/>
    <w:rsid w:val="00A5556F"/>
    <w:rsid w:val="00B43FB5"/>
    <w:rsid w:val="00D56D59"/>
    <w:rsid w:val="00EB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49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Arial" w:eastAsia="Arial" w:hAnsi="Arial" w:cs="Arial"/>
      <w:b/>
      <w:bCs/>
      <w:i w:val="0"/>
      <w:iCs w:val="0"/>
      <w:smallCaps w:val="0"/>
      <w:strike w:val="0"/>
      <w:spacing w:val="10"/>
      <w:sz w:val="27"/>
      <w:szCs w:val="27"/>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3"/>
      <w:szCs w:val="23"/>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Arial">
    <w:name w:val="Body text + Arial"/>
    <w:aliases w:val="11.5 pt,Bold"/>
    <w:basedOn w:val="Bodytext"/>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paragraph" w:customStyle="1" w:styleId="Bodytext20">
    <w:name w:val="Body text (2)"/>
    <w:basedOn w:val="Normal"/>
    <w:link w:val="Bodytext2"/>
    <w:pPr>
      <w:spacing w:line="0" w:lineRule="atLeast"/>
    </w:pPr>
    <w:rPr>
      <w:rFonts w:ascii="Times New Roman" w:eastAsia="Times New Roman" w:hAnsi="Times New Roman" w:cs="Times New Roman"/>
      <w:sz w:val="16"/>
      <w:szCs w:val="16"/>
    </w:rPr>
  </w:style>
  <w:style w:type="paragraph" w:customStyle="1" w:styleId="Heading10">
    <w:name w:val="Heading #1"/>
    <w:basedOn w:val="Normal"/>
    <w:link w:val="Heading1"/>
    <w:pPr>
      <w:spacing w:line="0" w:lineRule="atLeast"/>
      <w:outlineLvl w:val="0"/>
    </w:pPr>
    <w:rPr>
      <w:rFonts w:ascii="Arial" w:eastAsia="Arial" w:hAnsi="Arial" w:cs="Arial"/>
      <w:b/>
      <w:bCs/>
      <w:spacing w:val="10"/>
      <w:sz w:val="27"/>
      <w:szCs w:val="27"/>
    </w:rPr>
  </w:style>
  <w:style w:type="paragraph" w:customStyle="1" w:styleId="Heading20">
    <w:name w:val="Heading #2"/>
    <w:basedOn w:val="Normal"/>
    <w:link w:val="Heading2"/>
    <w:pPr>
      <w:spacing w:line="0" w:lineRule="atLeast"/>
      <w:outlineLvl w:val="1"/>
    </w:pPr>
    <w:rPr>
      <w:rFonts w:ascii="Arial" w:eastAsia="Arial" w:hAnsi="Arial" w:cs="Arial"/>
      <w:b/>
      <w:bCs/>
      <w:sz w:val="23"/>
      <w:szCs w:val="23"/>
    </w:rPr>
  </w:style>
  <w:style w:type="paragraph" w:customStyle="1" w:styleId="BodyText1">
    <w:name w:val="Body Text1"/>
    <w:basedOn w:val="Normal"/>
    <w:link w:val="Bodytext"/>
    <w:pPr>
      <w:spacing w:line="240" w:lineRule="exact"/>
      <w:jc w:val="both"/>
    </w:pPr>
    <w:rPr>
      <w:rFonts w:ascii="Times New Roman" w:eastAsia="Times New Roman" w:hAnsi="Times New Roman" w:cs="Times New Roman"/>
      <w:sz w:val="21"/>
      <w:szCs w:val="21"/>
    </w:rPr>
  </w:style>
  <w:style w:type="paragraph" w:customStyle="1" w:styleId="Bodytext30">
    <w:name w:val="Body text (3)"/>
    <w:basedOn w:val="Normal"/>
    <w:link w:val="Bodytext3"/>
    <w:pPr>
      <w:spacing w:line="0" w:lineRule="atLeast"/>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2F779B"/>
    <w:pPr>
      <w:tabs>
        <w:tab w:val="center" w:pos="4513"/>
        <w:tab w:val="right" w:pos="9026"/>
      </w:tabs>
    </w:pPr>
  </w:style>
  <w:style w:type="character" w:customStyle="1" w:styleId="HeaderChar">
    <w:name w:val="Header Char"/>
    <w:basedOn w:val="DefaultParagraphFont"/>
    <w:link w:val="Header"/>
    <w:uiPriority w:val="99"/>
    <w:rsid w:val="002F779B"/>
    <w:rPr>
      <w:color w:val="000000"/>
    </w:rPr>
  </w:style>
  <w:style w:type="paragraph" w:styleId="Footer">
    <w:name w:val="footer"/>
    <w:basedOn w:val="Normal"/>
    <w:link w:val="FooterChar"/>
    <w:uiPriority w:val="99"/>
    <w:unhideWhenUsed/>
    <w:rsid w:val="002F779B"/>
    <w:pPr>
      <w:tabs>
        <w:tab w:val="center" w:pos="4513"/>
        <w:tab w:val="right" w:pos="9026"/>
      </w:tabs>
    </w:pPr>
  </w:style>
  <w:style w:type="character" w:customStyle="1" w:styleId="FooterChar">
    <w:name w:val="Footer Char"/>
    <w:basedOn w:val="DefaultParagraphFont"/>
    <w:link w:val="Footer"/>
    <w:uiPriority w:val="99"/>
    <w:rsid w:val="002F779B"/>
    <w:rPr>
      <w:color w:val="000000"/>
    </w:rPr>
  </w:style>
  <w:style w:type="character" w:styleId="CommentReference">
    <w:name w:val="annotation reference"/>
    <w:basedOn w:val="DefaultParagraphFont"/>
    <w:uiPriority w:val="99"/>
    <w:semiHidden/>
    <w:unhideWhenUsed/>
    <w:rsid w:val="00B43FB5"/>
    <w:rPr>
      <w:sz w:val="16"/>
      <w:szCs w:val="16"/>
    </w:rPr>
  </w:style>
  <w:style w:type="paragraph" w:styleId="CommentText">
    <w:name w:val="annotation text"/>
    <w:basedOn w:val="Normal"/>
    <w:link w:val="CommentTextChar"/>
    <w:uiPriority w:val="99"/>
    <w:semiHidden/>
    <w:unhideWhenUsed/>
    <w:rsid w:val="00B43FB5"/>
    <w:rPr>
      <w:sz w:val="20"/>
      <w:szCs w:val="20"/>
    </w:rPr>
  </w:style>
  <w:style w:type="character" w:customStyle="1" w:styleId="CommentTextChar">
    <w:name w:val="Comment Text Char"/>
    <w:basedOn w:val="DefaultParagraphFont"/>
    <w:link w:val="CommentText"/>
    <w:uiPriority w:val="99"/>
    <w:semiHidden/>
    <w:rsid w:val="00B43FB5"/>
    <w:rPr>
      <w:color w:val="000000"/>
      <w:sz w:val="20"/>
      <w:szCs w:val="20"/>
    </w:rPr>
  </w:style>
  <w:style w:type="paragraph" w:styleId="CommentSubject">
    <w:name w:val="annotation subject"/>
    <w:basedOn w:val="CommentText"/>
    <w:next w:val="CommentText"/>
    <w:link w:val="CommentSubjectChar"/>
    <w:uiPriority w:val="99"/>
    <w:semiHidden/>
    <w:unhideWhenUsed/>
    <w:rsid w:val="00B43FB5"/>
    <w:rPr>
      <w:b/>
      <w:bCs/>
    </w:rPr>
  </w:style>
  <w:style w:type="character" w:customStyle="1" w:styleId="CommentSubjectChar">
    <w:name w:val="Comment Subject Char"/>
    <w:basedOn w:val="CommentTextChar"/>
    <w:link w:val="CommentSubject"/>
    <w:uiPriority w:val="99"/>
    <w:semiHidden/>
    <w:rsid w:val="00B43FB5"/>
    <w:rPr>
      <w:b/>
      <w:bCs/>
      <w:color w:val="000000"/>
      <w:sz w:val="20"/>
      <w:szCs w:val="20"/>
    </w:rPr>
  </w:style>
  <w:style w:type="paragraph" w:styleId="BalloonText">
    <w:name w:val="Balloon Text"/>
    <w:basedOn w:val="Normal"/>
    <w:link w:val="BalloonTextChar"/>
    <w:uiPriority w:val="99"/>
    <w:semiHidden/>
    <w:unhideWhenUsed/>
    <w:rsid w:val="00B43F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B5"/>
    <w:rPr>
      <w:rFonts w:ascii="Segoe UI" w:hAnsi="Segoe UI" w:cs="Segoe UI"/>
      <w:color w:val="000000"/>
      <w:sz w:val="18"/>
      <w:szCs w:val="18"/>
    </w:rPr>
  </w:style>
  <w:style w:type="paragraph" w:styleId="Revision">
    <w:name w:val="Revision"/>
    <w:hidden/>
    <w:uiPriority w:val="99"/>
    <w:semiHidden/>
    <w:rsid w:val="00A5556F"/>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2018-09-20T19:40:00Z</dcterms:created>
  <dcterms:modified xsi:type="dcterms:W3CDTF">2019-07-05T01:10:00Z</dcterms:modified>
</cp:coreProperties>
</file>