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3BF1B" w14:textId="77777777" w:rsidR="00F45C62" w:rsidRPr="00105769" w:rsidRDefault="00BF6D5F" w:rsidP="00105769">
      <w:pPr>
        <w:pStyle w:val="Bodytext20"/>
        <w:spacing w:line="240" w:lineRule="auto"/>
        <w:ind w:firstLine="0"/>
        <w:jc w:val="center"/>
        <w:rPr>
          <w:rFonts w:ascii="Times New Roman" w:hAnsi="Times New Roman" w:cs="Times New Roman"/>
          <w:sz w:val="32"/>
          <w:szCs w:val="24"/>
        </w:rPr>
      </w:pPr>
      <w:r w:rsidRPr="00105769">
        <w:rPr>
          <w:rFonts w:ascii="Times New Roman" w:hAnsi="Times New Roman" w:cs="Times New Roman"/>
          <w:sz w:val="32"/>
          <w:szCs w:val="24"/>
        </w:rPr>
        <w:t>REMUNERATION AND ALLOWANCES ACT</w:t>
      </w:r>
    </w:p>
    <w:p w14:paraId="4E9743B4" w14:textId="77777777" w:rsidR="00F45C62" w:rsidRPr="00105769" w:rsidRDefault="00BF6D5F" w:rsidP="00105769">
      <w:pPr>
        <w:pStyle w:val="Bodytext30"/>
        <w:spacing w:after="160" w:line="240" w:lineRule="auto"/>
        <w:jc w:val="center"/>
        <w:rPr>
          <w:rFonts w:ascii="Times New Roman" w:hAnsi="Times New Roman" w:cs="Times New Roman"/>
          <w:spacing w:val="0"/>
          <w:sz w:val="32"/>
          <w:szCs w:val="24"/>
        </w:rPr>
      </w:pPr>
      <w:r w:rsidRPr="00105769">
        <w:rPr>
          <w:rFonts w:ascii="Times New Roman" w:hAnsi="Times New Roman" w:cs="Times New Roman"/>
          <w:spacing w:val="0"/>
          <w:sz w:val="32"/>
          <w:szCs w:val="24"/>
        </w:rPr>
        <w:t>1975</w:t>
      </w:r>
    </w:p>
    <w:p w14:paraId="1C0D2284" w14:textId="77777777" w:rsidR="00F45C62" w:rsidRDefault="00BF6D5F" w:rsidP="00105769">
      <w:pPr>
        <w:jc w:val="center"/>
        <w:rPr>
          <w:rFonts w:ascii="Times New Roman" w:hAnsi="Times New Roman" w:cs="Times New Roman"/>
          <w:b/>
          <w:sz w:val="32"/>
        </w:rPr>
      </w:pPr>
      <w:bookmarkStart w:id="0" w:name="bookmark0"/>
      <w:r w:rsidRPr="00105769">
        <w:rPr>
          <w:rFonts w:ascii="Times New Roman" w:hAnsi="Times New Roman" w:cs="Times New Roman"/>
          <w:b/>
          <w:sz w:val="32"/>
        </w:rPr>
        <w:t>No. 8 of 1975</w:t>
      </w:r>
      <w:bookmarkEnd w:id="0"/>
    </w:p>
    <w:p w14:paraId="5F08A975" w14:textId="77777777" w:rsidR="00105769" w:rsidRPr="00105769" w:rsidRDefault="00105769" w:rsidP="00105769">
      <w:pPr>
        <w:jc w:val="center"/>
        <w:rPr>
          <w:rFonts w:ascii="Times New Roman" w:hAnsi="Times New Roman" w:cs="Times New Roman"/>
          <w:b/>
          <w:sz w:val="32"/>
        </w:rPr>
      </w:pPr>
    </w:p>
    <w:p w14:paraId="6A59E1DE" w14:textId="77777777" w:rsidR="00F45C62" w:rsidRDefault="00BF6D5F" w:rsidP="00105769">
      <w:pPr>
        <w:pStyle w:val="BodyText1"/>
        <w:spacing w:line="240" w:lineRule="auto"/>
        <w:ind w:firstLine="0"/>
        <w:jc w:val="both"/>
        <w:rPr>
          <w:rStyle w:val="Bodytext11pt"/>
          <w:sz w:val="24"/>
          <w:szCs w:val="24"/>
        </w:rPr>
      </w:pPr>
      <w:r w:rsidRPr="00105769">
        <w:rPr>
          <w:rStyle w:val="Bodytext11pt"/>
          <w:sz w:val="24"/>
          <w:szCs w:val="24"/>
        </w:rPr>
        <w:t>An Act relating to the Remuneration and Allowances payable to the Holders of certain judicial and other Offices.</w:t>
      </w:r>
    </w:p>
    <w:p w14:paraId="0E847644" w14:textId="77777777" w:rsidR="00105769" w:rsidRPr="00105769" w:rsidRDefault="00105769" w:rsidP="00105769">
      <w:pPr>
        <w:pStyle w:val="BodyText1"/>
        <w:spacing w:line="240" w:lineRule="auto"/>
        <w:ind w:firstLine="0"/>
        <w:jc w:val="both"/>
        <w:rPr>
          <w:sz w:val="24"/>
          <w:szCs w:val="24"/>
        </w:rPr>
      </w:pPr>
    </w:p>
    <w:p w14:paraId="0AB9C81A" w14:textId="77777777" w:rsidR="00F45C62" w:rsidRPr="00105769" w:rsidRDefault="00BF6D5F" w:rsidP="00105769">
      <w:pPr>
        <w:pStyle w:val="BodyText1"/>
        <w:spacing w:line="240" w:lineRule="auto"/>
        <w:ind w:firstLine="270"/>
        <w:jc w:val="both"/>
        <w:rPr>
          <w:sz w:val="24"/>
          <w:szCs w:val="24"/>
        </w:rPr>
      </w:pPr>
      <w:r w:rsidRPr="00105769">
        <w:rPr>
          <w:rStyle w:val="Bodytext11pt"/>
          <w:sz w:val="24"/>
          <w:szCs w:val="24"/>
        </w:rPr>
        <w:t>BE IT ENACTED by the Queen, the Senate and the House of Representatives of Australia, as follows:—</w:t>
      </w:r>
    </w:p>
    <w:p w14:paraId="143E462B" w14:textId="77777777" w:rsidR="00F45C62" w:rsidRPr="00105769" w:rsidRDefault="00BF6D5F" w:rsidP="00105769">
      <w:pPr>
        <w:pStyle w:val="Bodytext60"/>
        <w:spacing w:before="120" w:after="60" w:line="240" w:lineRule="auto"/>
        <w:rPr>
          <w:b/>
          <w:sz w:val="20"/>
          <w:szCs w:val="24"/>
        </w:rPr>
      </w:pPr>
      <w:r w:rsidRPr="00105769">
        <w:rPr>
          <w:b/>
          <w:sz w:val="20"/>
          <w:szCs w:val="24"/>
        </w:rPr>
        <w:t>Short title and citation.</w:t>
      </w:r>
    </w:p>
    <w:p w14:paraId="3416A65B" w14:textId="7D6E7D60" w:rsidR="00F45C62" w:rsidRPr="00105769" w:rsidRDefault="00105769" w:rsidP="00105769">
      <w:pPr>
        <w:pStyle w:val="BodyText1"/>
        <w:spacing w:after="160" w:line="240" w:lineRule="auto"/>
        <w:ind w:firstLine="270"/>
        <w:jc w:val="both"/>
        <w:rPr>
          <w:sz w:val="24"/>
          <w:szCs w:val="24"/>
        </w:rPr>
      </w:pPr>
      <w:r w:rsidRPr="00105769">
        <w:rPr>
          <w:rStyle w:val="Bodytext11pt0"/>
          <w:b/>
          <w:sz w:val="24"/>
          <w:szCs w:val="24"/>
        </w:rPr>
        <w:t>1.</w:t>
      </w:r>
      <w:r>
        <w:rPr>
          <w:rStyle w:val="Bodytext11pt0"/>
          <w:sz w:val="24"/>
          <w:szCs w:val="24"/>
        </w:rPr>
        <w:t xml:space="preserve"> </w:t>
      </w:r>
      <w:r w:rsidR="00BF6D5F" w:rsidRPr="00105769">
        <w:rPr>
          <w:rStyle w:val="Bodytext11pt0"/>
          <w:sz w:val="24"/>
          <w:szCs w:val="24"/>
        </w:rPr>
        <w:t>(1)</w:t>
      </w:r>
      <w:r w:rsidR="00BF6D5F" w:rsidRPr="00105769">
        <w:rPr>
          <w:rStyle w:val="Bodytext11pt"/>
          <w:sz w:val="24"/>
          <w:szCs w:val="24"/>
        </w:rPr>
        <w:t xml:space="preserve"> This Act may be cited as the </w:t>
      </w:r>
      <w:r w:rsidR="00BF6D5F" w:rsidRPr="00105769">
        <w:rPr>
          <w:rStyle w:val="Bodytext11pt1"/>
          <w:sz w:val="24"/>
          <w:szCs w:val="24"/>
        </w:rPr>
        <w:t>Remuneration and Allowances Act</w:t>
      </w:r>
      <w:r w:rsidR="00BF6D5F" w:rsidRPr="00105769">
        <w:rPr>
          <w:rStyle w:val="Bodytext11pt"/>
          <w:sz w:val="24"/>
          <w:szCs w:val="24"/>
        </w:rPr>
        <w:t xml:space="preserve"> 1975.</w:t>
      </w:r>
    </w:p>
    <w:p w14:paraId="63F8B684" w14:textId="12CCD48C" w:rsidR="00F45C62" w:rsidRPr="00105769" w:rsidRDefault="00105769" w:rsidP="00105769">
      <w:pPr>
        <w:pStyle w:val="BodyText1"/>
        <w:spacing w:after="160" w:line="240" w:lineRule="auto"/>
        <w:ind w:firstLine="270"/>
        <w:jc w:val="both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(2) </w:t>
      </w:r>
      <w:r w:rsidR="00BF6D5F" w:rsidRPr="00105769">
        <w:rPr>
          <w:rStyle w:val="Bodytext11pt"/>
          <w:sz w:val="24"/>
          <w:szCs w:val="24"/>
        </w:rPr>
        <w:t xml:space="preserve">The </w:t>
      </w:r>
      <w:r w:rsidR="00BF6D5F" w:rsidRPr="00105769">
        <w:rPr>
          <w:rStyle w:val="Bodytext11pt1"/>
          <w:sz w:val="24"/>
          <w:szCs w:val="24"/>
        </w:rPr>
        <w:t>Remuneration and Allowances Acts</w:t>
      </w:r>
      <w:r w:rsidR="00BF6D5F" w:rsidRPr="00105769">
        <w:rPr>
          <w:rStyle w:val="Bodytext11pt"/>
          <w:sz w:val="24"/>
          <w:szCs w:val="24"/>
        </w:rPr>
        <w:t xml:space="preserve"> 1973 are in this Act referred to as the Principal Act.</w:t>
      </w:r>
    </w:p>
    <w:p w14:paraId="577ECE67" w14:textId="77777777" w:rsidR="00F45C62" w:rsidRPr="00105769" w:rsidRDefault="00105769" w:rsidP="00105769">
      <w:pPr>
        <w:pStyle w:val="BodyText1"/>
        <w:spacing w:line="240" w:lineRule="auto"/>
        <w:ind w:firstLine="270"/>
        <w:jc w:val="both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(3) </w:t>
      </w:r>
      <w:r w:rsidR="00BF6D5F" w:rsidRPr="00105769">
        <w:rPr>
          <w:rStyle w:val="Bodytext11pt"/>
          <w:sz w:val="24"/>
          <w:szCs w:val="24"/>
        </w:rPr>
        <w:t xml:space="preserve">The Principal Act, as amended by this Act, may be cited as the </w:t>
      </w:r>
      <w:r w:rsidR="00BF6D5F" w:rsidRPr="00105769">
        <w:rPr>
          <w:rStyle w:val="Bodytext11pt1"/>
          <w:sz w:val="24"/>
          <w:szCs w:val="24"/>
        </w:rPr>
        <w:t>Remuneration and Allowances Act</w:t>
      </w:r>
      <w:r w:rsidR="00BF6D5F" w:rsidRPr="00105769">
        <w:rPr>
          <w:rStyle w:val="Bodytext11pt"/>
          <w:sz w:val="24"/>
          <w:szCs w:val="24"/>
        </w:rPr>
        <w:t xml:space="preserve"> 1973-1975.</w:t>
      </w:r>
    </w:p>
    <w:p w14:paraId="36C12733" w14:textId="77777777" w:rsidR="00F45C62" w:rsidRPr="00105769" w:rsidRDefault="00105769" w:rsidP="00105769">
      <w:pPr>
        <w:pStyle w:val="Bodytext60"/>
        <w:spacing w:before="120" w:after="60" w:line="240" w:lineRule="auto"/>
        <w:rPr>
          <w:b/>
          <w:sz w:val="20"/>
          <w:szCs w:val="24"/>
        </w:rPr>
      </w:pPr>
      <w:r w:rsidRPr="00105769">
        <w:rPr>
          <w:b/>
          <w:sz w:val="20"/>
          <w:szCs w:val="24"/>
        </w:rPr>
        <w:t>Commence</w:t>
      </w:r>
      <w:r w:rsidR="00BF6D5F" w:rsidRPr="00105769">
        <w:rPr>
          <w:b/>
          <w:sz w:val="20"/>
          <w:szCs w:val="24"/>
        </w:rPr>
        <w:t>ment.</w:t>
      </w:r>
    </w:p>
    <w:p w14:paraId="2B09AAF1" w14:textId="77777777" w:rsidR="00F45C62" w:rsidRPr="00105769" w:rsidRDefault="00105769" w:rsidP="00105769">
      <w:pPr>
        <w:pStyle w:val="BodyText1"/>
        <w:tabs>
          <w:tab w:val="left" w:pos="630"/>
        </w:tabs>
        <w:spacing w:after="160" w:line="240" w:lineRule="auto"/>
        <w:ind w:firstLine="270"/>
        <w:jc w:val="both"/>
        <w:rPr>
          <w:sz w:val="24"/>
          <w:szCs w:val="24"/>
        </w:rPr>
      </w:pPr>
      <w:r w:rsidRPr="00105769">
        <w:rPr>
          <w:rStyle w:val="Bodytext11pt"/>
          <w:b/>
          <w:sz w:val="24"/>
          <w:szCs w:val="24"/>
        </w:rPr>
        <w:t>2.</w:t>
      </w:r>
      <w:r>
        <w:rPr>
          <w:rStyle w:val="Bodytext11pt"/>
          <w:sz w:val="24"/>
          <w:szCs w:val="24"/>
        </w:rPr>
        <w:tab/>
      </w:r>
      <w:bookmarkStart w:id="1" w:name="_GoBack"/>
      <w:r w:rsidR="00BF6D5F" w:rsidRPr="00105769">
        <w:rPr>
          <w:rStyle w:val="Bodytext11pt"/>
          <w:sz w:val="24"/>
          <w:szCs w:val="24"/>
        </w:rPr>
        <w:t>This Act shall be deemed to have come into operation on 1 March 1975.</w:t>
      </w:r>
      <w:bookmarkEnd w:id="1"/>
    </w:p>
    <w:p w14:paraId="2CEFAA1B" w14:textId="6097EFC6" w:rsidR="00F45C62" w:rsidRPr="00105769" w:rsidRDefault="00105769" w:rsidP="00105769">
      <w:pPr>
        <w:pStyle w:val="BodyText1"/>
        <w:tabs>
          <w:tab w:val="left" w:pos="630"/>
        </w:tabs>
        <w:spacing w:after="160" w:line="240" w:lineRule="auto"/>
        <w:ind w:firstLine="270"/>
        <w:jc w:val="both"/>
        <w:rPr>
          <w:sz w:val="24"/>
          <w:szCs w:val="24"/>
        </w:rPr>
      </w:pPr>
      <w:r w:rsidRPr="00105769">
        <w:rPr>
          <w:rStyle w:val="Bodytext11pt"/>
          <w:b/>
          <w:sz w:val="24"/>
          <w:szCs w:val="24"/>
        </w:rPr>
        <w:t>3.</w:t>
      </w:r>
      <w:r>
        <w:rPr>
          <w:rStyle w:val="Bodytext11pt"/>
          <w:sz w:val="24"/>
          <w:szCs w:val="24"/>
        </w:rPr>
        <w:tab/>
      </w:r>
      <w:r w:rsidR="00BF6D5F" w:rsidRPr="00105769">
        <w:rPr>
          <w:rStyle w:val="Bodytext11pt"/>
          <w:sz w:val="24"/>
          <w:szCs w:val="24"/>
        </w:rPr>
        <w:t>Parts IV and V of the Principal Act are repealed and the following Part is substituted:—</w:t>
      </w:r>
    </w:p>
    <w:p w14:paraId="015D9D63" w14:textId="77777777" w:rsidR="00C24C61" w:rsidRDefault="00BF6D5F" w:rsidP="00105769">
      <w:pPr>
        <w:pStyle w:val="BodyText1"/>
        <w:spacing w:line="240" w:lineRule="auto"/>
        <w:ind w:firstLine="0"/>
        <w:jc w:val="center"/>
        <w:rPr>
          <w:rStyle w:val="Bodytext11pt"/>
          <w:sz w:val="24"/>
          <w:szCs w:val="24"/>
        </w:rPr>
      </w:pPr>
      <w:r w:rsidRPr="00105769">
        <w:rPr>
          <w:rStyle w:val="Bodytext11pt"/>
          <w:sz w:val="24"/>
          <w:szCs w:val="24"/>
        </w:rPr>
        <w:t>“PART IV—HOLDERS OF CERTAIN JUDICIAL AND OTHER</w:t>
      </w:r>
      <w:r w:rsidR="00105769">
        <w:rPr>
          <w:rStyle w:val="Bodytext11pt"/>
          <w:sz w:val="24"/>
          <w:szCs w:val="24"/>
        </w:rPr>
        <w:t xml:space="preserve"> </w:t>
      </w:r>
    </w:p>
    <w:p w14:paraId="7F6B8EB1" w14:textId="77777777" w:rsidR="00F45C62" w:rsidRPr="00105769" w:rsidRDefault="00BF6D5F" w:rsidP="00105769">
      <w:pPr>
        <w:pStyle w:val="BodyText1"/>
        <w:spacing w:line="240" w:lineRule="auto"/>
        <w:ind w:firstLine="0"/>
        <w:jc w:val="center"/>
        <w:rPr>
          <w:sz w:val="24"/>
          <w:szCs w:val="24"/>
        </w:rPr>
      </w:pPr>
      <w:r w:rsidRPr="00105769">
        <w:rPr>
          <w:rStyle w:val="Bodytext11pt"/>
          <w:sz w:val="24"/>
          <w:szCs w:val="24"/>
        </w:rPr>
        <w:t>OFFICES</w:t>
      </w:r>
    </w:p>
    <w:p w14:paraId="5C4E1130" w14:textId="77777777" w:rsidR="00F45C62" w:rsidRPr="00105769" w:rsidRDefault="00BF6D5F" w:rsidP="00105769">
      <w:pPr>
        <w:pStyle w:val="Bodytext60"/>
        <w:spacing w:before="120" w:after="60" w:line="240" w:lineRule="auto"/>
        <w:rPr>
          <w:b/>
          <w:sz w:val="20"/>
          <w:szCs w:val="24"/>
        </w:rPr>
      </w:pPr>
      <w:r w:rsidRPr="00105769">
        <w:rPr>
          <w:b/>
          <w:sz w:val="20"/>
          <w:szCs w:val="24"/>
        </w:rPr>
        <w:t>Salaries and allowances of holders of certain judicial and other offices.</w:t>
      </w:r>
    </w:p>
    <w:p w14:paraId="39F6519A" w14:textId="77777777" w:rsidR="00F45C62" w:rsidRPr="00105769" w:rsidRDefault="00BF6D5F" w:rsidP="00147C70">
      <w:pPr>
        <w:pStyle w:val="BodyText1"/>
        <w:spacing w:after="160" w:line="240" w:lineRule="auto"/>
        <w:ind w:firstLine="270"/>
        <w:jc w:val="both"/>
        <w:rPr>
          <w:sz w:val="24"/>
          <w:szCs w:val="24"/>
        </w:rPr>
      </w:pPr>
      <w:r w:rsidRPr="00105769">
        <w:rPr>
          <w:rStyle w:val="Bodytext11pt"/>
          <w:sz w:val="24"/>
          <w:szCs w:val="24"/>
        </w:rPr>
        <w:t>“13. (1) Notwithstanding anything in any Act passed before the commencement of this section—</w:t>
      </w:r>
    </w:p>
    <w:p w14:paraId="39A561C1" w14:textId="77777777" w:rsidR="00F45C62" w:rsidRPr="00105769" w:rsidRDefault="00105769" w:rsidP="00147C70">
      <w:pPr>
        <w:pStyle w:val="BodyText1"/>
        <w:spacing w:after="160" w:line="240" w:lineRule="auto"/>
        <w:ind w:left="630" w:hanging="360"/>
        <w:jc w:val="both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(a) </w:t>
      </w:r>
      <w:r w:rsidR="00BF6D5F" w:rsidRPr="00105769">
        <w:rPr>
          <w:rStyle w:val="Bodytext11pt"/>
          <w:sz w:val="24"/>
          <w:szCs w:val="24"/>
        </w:rPr>
        <w:t>the rate per annum of the salary applicable to a judicial or other office specified in column 1 of Schedule 3 is the rate per annum specified in column 2 of that Schedule in relation to that office;</w:t>
      </w:r>
    </w:p>
    <w:p w14:paraId="18A3F6AB" w14:textId="77777777" w:rsidR="00F45C62" w:rsidRPr="00105769" w:rsidRDefault="00105769" w:rsidP="00147C70">
      <w:pPr>
        <w:pStyle w:val="BodyText1"/>
        <w:spacing w:after="160" w:line="240" w:lineRule="auto"/>
        <w:ind w:left="630" w:hanging="360"/>
        <w:jc w:val="both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(b) </w:t>
      </w:r>
      <w:r w:rsidR="00BF6D5F" w:rsidRPr="00105769">
        <w:rPr>
          <w:rStyle w:val="Bodytext11pt"/>
          <w:sz w:val="24"/>
          <w:szCs w:val="24"/>
        </w:rPr>
        <w:t>the rate per annum of the annual allowance applicable to a judicial or other office specified in column 1 of Schedule 3 is the rate per annum specified in column 3 of that Schedule in relation to that office; and</w:t>
      </w:r>
    </w:p>
    <w:p w14:paraId="653AB185" w14:textId="77777777" w:rsidR="00F45C62" w:rsidRPr="00105769" w:rsidRDefault="00105769" w:rsidP="00147C70">
      <w:pPr>
        <w:pStyle w:val="BodyText1"/>
        <w:spacing w:after="160" w:line="240" w:lineRule="auto"/>
        <w:ind w:left="630" w:hanging="360"/>
        <w:jc w:val="both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(c) </w:t>
      </w:r>
      <w:r w:rsidR="00BF6D5F" w:rsidRPr="00105769">
        <w:rPr>
          <w:rStyle w:val="Bodytext11pt"/>
          <w:sz w:val="24"/>
          <w:szCs w:val="24"/>
        </w:rPr>
        <w:t>the rate per day of the travelling allowance applicable to a judicial or other office specified in column 1 of Schedule 3 is the rate per day specified in column 4 of that Schedule in relation to that office.</w:t>
      </w:r>
    </w:p>
    <w:p w14:paraId="34E0EB63" w14:textId="77A26B5B" w:rsidR="00F45C62" w:rsidRPr="00105769" w:rsidRDefault="00BF6D5F" w:rsidP="003D2E21">
      <w:pPr>
        <w:pStyle w:val="BodyText1"/>
        <w:spacing w:line="240" w:lineRule="auto"/>
        <w:ind w:firstLine="270"/>
        <w:jc w:val="both"/>
        <w:rPr>
          <w:sz w:val="24"/>
          <w:szCs w:val="24"/>
        </w:rPr>
      </w:pPr>
      <w:r w:rsidRPr="00105769">
        <w:rPr>
          <w:rStyle w:val="Bodytext11pt0"/>
          <w:sz w:val="24"/>
          <w:szCs w:val="24"/>
        </w:rPr>
        <w:t>“(2)</w:t>
      </w:r>
      <w:r w:rsidRPr="00105769">
        <w:rPr>
          <w:rStyle w:val="Bodytext11pt"/>
          <w:sz w:val="24"/>
          <w:szCs w:val="24"/>
        </w:rPr>
        <w:t xml:space="preserve"> Notwithstanding sub-section 33(1) of the </w:t>
      </w:r>
      <w:r w:rsidRPr="00105769">
        <w:rPr>
          <w:rStyle w:val="Bodytext11pt1"/>
          <w:sz w:val="24"/>
          <w:szCs w:val="24"/>
        </w:rPr>
        <w:t xml:space="preserve">Trade Practices Act </w:t>
      </w:r>
      <w:r w:rsidRPr="00105769">
        <w:rPr>
          <w:rStyle w:val="Bodytext11pt"/>
          <w:sz w:val="24"/>
          <w:szCs w:val="24"/>
        </w:rPr>
        <w:t>1974, if the person for the time being holding, or acting in, the office of President of the Trade Practices Tribunal is not the Chief Judge of the</w:t>
      </w:r>
      <w:r w:rsidR="003D2E21">
        <w:rPr>
          <w:rStyle w:val="Bodytext11pt"/>
          <w:sz w:val="24"/>
          <w:szCs w:val="24"/>
        </w:rPr>
        <w:t xml:space="preserve"> </w:t>
      </w:r>
      <w:r w:rsidRPr="00105769">
        <w:rPr>
          <w:rStyle w:val="Bodytext11pt"/>
          <w:sz w:val="24"/>
          <w:szCs w:val="24"/>
        </w:rPr>
        <w:t>Australian Industrial Court or the President of the Australian Conciliation and Arbitration Commission, the rate of the additional remuneration payable to him is $1,000 per annum and the rate of the additional annual allowance payable to him is $500 per annum.</w:t>
      </w:r>
    </w:p>
    <w:p w14:paraId="33B3043D" w14:textId="2CFD6C29" w:rsidR="00F45C62" w:rsidRPr="00105769" w:rsidRDefault="00BF6D5F" w:rsidP="00105769">
      <w:pPr>
        <w:pStyle w:val="BodyText1"/>
        <w:spacing w:after="160" w:line="240" w:lineRule="auto"/>
        <w:ind w:firstLine="270"/>
        <w:jc w:val="both"/>
        <w:rPr>
          <w:sz w:val="24"/>
          <w:szCs w:val="24"/>
        </w:rPr>
      </w:pPr>
      <w:r w:rsidRPr="00105769">
        <w:rPr>
          <w:rStyle w:val="Bodytext11pt0"/>
          <w:sz w:val="24"/>
          <w:szCs w:val="24"/>
        </w:rPr>
        <w:t>“(3)</w:t>
      </w:r>
      <w:r w:rsidRPr="00105769">
        <w:rPr>
          <w:rStyle w:val="Bodytext11pt"/>
          <w:sz w:val="24"/>
          <w:szCs w:val="24"/>
        </w:rPr>
        <w:t xml:space="preserve"> Additional remuneration at the rate of $1,000 per annum and an additional annual allowance at the rate of $500 per annum are payable in relation to the holding by a Justice or Judge of a federal court or of the Supreme Court of a Territory, or by a person who, by virtue of an Act, has the same status as a Justice or Judge of such a court, of the office of Chairman of the Prices Justification Tribunal.</w:t>
      </w:r>
    </w:p>
    <w:p w14:paraId="75B678BD" w14:textId="059262EE" w:rsidR="00F45C62" w:rsidRPr="00105769" w:rsidRDefault="00BF6D5F" w:rsidP="00105769">
      <w:pPr>
        <w:pStyle w:val="BodyText1"/>
        <w:spacing w:after="160" w:line="240" w:lineRule="auto"/>
        <w:ind w:firstLine="270"/>
        <w:jc w:val="both"/>
        <w:rPr>
          <w:sz w:val="24"/>
          <w:szCs w:val="24"/>
        </w:rPr>
      </w:pPr>
      <w:r w:rsidRPr="00105769">
        <w:rPr>
          <w:rStyle w:val="Bodytext11pt0"/>
          <w:sz w:val="24"/>
          <w:szCs w:val="24"/>
        </w:rPr>
        <w:t>“(4)</w:t>
      </w:r>
      <w:r w:rsidRPr="00105769">
        <w:rPr>
          <w:rStyle w:val="Bodytext11pt"/>
          <w:sz w:val="24"/>
          <w:szCs w:val="24"/>
        </w:rPr>
        <w:t xml:space="preserve"> An additional annual allowance at the rate of $500 per annum is payable to the senior Judge of the Supreme Court of the Australian Capital Territory appointed under sub-section </w:t>
      </w:r>
      <w:r w:rsidRPr="00105769">
        <w:rPr>
          <w:rStyle w:val="Bodytext11pt2"/>
          <w:spacing w:val="0"/>
          <w:sz w:val="24"/>
          <w:szCs w:val="24"/>
        </w:rPr>
        <w:t>7(1)</w:t>
      </w:r>
      <w:r w:rsidRPr="00105769">
        <w:rPr>
          <w:rStyle w:val="Bodytext11pt"/>
          <w:sz w:val="24"/>
          <w:szCs w:val="24"/>
        </w:rPr>
        <w:t xml:space="preserve"> of the </w:t>
      </w:r>
      <w:r w:rsidRPr="00105769">
        <w:rPr>
          <w:rStyle w:val="Bodytext11pt1"/>
          <w:sz w:val="24"/>
          <w:szCs w:val="24"/>
        </w:rPr>
        <w:t>Australian Capital Territory Supreme Court Act</w:t>
      </w:r>
      <w:r w:rsidRPr="00105769">
        <w:rPr>
          <w:rStyle w:val="Bodytext11pt"/>
          <w:sz w:val="24"/>
          <w:szCs w:val="24"/>
        </w:rPr>
        <w:t xml:space="preserve"> 1933-1973.</w:t>
      </w:r>
    </w:p>
    <w:p w14:paraId="7442F008" w14:textId="394CAA32" w:rsidR="00F45C62" w:rsidRPr="00105769" w:rsidRDefault="00BF6D5F" w:rsidP="00105769">
      <w:pPr>
        <w:pStyle w:val="BodyText1"/>
        <w:spacing w:after="160" w:line="240" w:lineRule="auto"/>
        <w:ind w:firstLine="270"/>
        <w:jc w:val="both"/>
        <w:rPr>
          <w:sz w:val="24"/>
          <w:szCs w:val="24"/>
        </w:rPr>
      </w:pPr>
      <w:r w:rsidRPr="00105769">
        <w:rPr>
          <w:rStyle w:val="Bodytext11pt2"/>
          <w:spacing w:val="0"/>
          <w:sz w:val="24"/>
          <w:szCs w:val="24"/>
        </w:rPr>
        <w:t>“(5)</w:t>
      </w:r>
      <w:r w:rsidRPr="00105769">
        <w:rPr>
          <w:rStyle w:val="Bodytext11pt"/>
          <w:sz w:val="24"/>
          <w:szCs w:val="24"/>
        </w:rPr>
        <w:t xml:space="preserve"> Notwithstanding any determination of the Remuneration Tribunal that would otherwise be applicable, in the case of the Chairman of the Grants Commission holding office on 1 March 1975 (who was, immediately before his appointment, a Judge of the Supreme Court of New South Wales), the rate of remuneration payable to him is $35,000 per annum and the rate of the annual allowance payable to him is $1,750 per annum, being rates recommended by that Tribunal.”.</w:t>
      </w:r>
    </w:p>
    <w:p w14:paraId="46FF4909" w14:textId="77777777" w:rsidR="00F45C62" w:rsidRPr="00105769" w:rsidRDefault="00BF6D5F" w:rsidP="00105769">
      <w:pPr>
        <w:pStyle w:val="Bodytext60"/>
        <w:spacing w:before="120" w:after="60" w:line="240" w:lineRule="auto"/>
        <w:rPr>
          <w:b/>
          <w:sz w:val="20"/>
          <w:szCs w:val="24"/>
        </w:rPr>
      </w:pPr>
      <w:r w:rsidRPr="00105769">
        <w:rPr>
          <w:b/>
          <w:sz w:val="20"/>
          <w:szCs w:val="24"/>
        </w:rPr>
        <w:lastRenderedPageBreak/>
        <w:t>Repeal of sections 15 and 16.</w:t>
      </w:r>
    </w:p>
    <w:p w14:paraId="4AA1A7EC" w14:textId="77777777" w:rsidR="00F45C62" w:rsidRDefault="00105769" w:rsidP="00105769">
      <w:pPr>
        <w:pStyle w:val="BodyText1"/>
        <w:tabs>
          <w:tab w:val="left" w:pos="630"/>
        </w:tabs>
        <w:spacing w:line="240" w:lineRule="auto"/>
        <w:ind w:firstLine="270"/>
        <w:jc w:val="both"/>
        <w:rPr>
          <w:rStyle w:val="Bodytext11pt"/>
          <w:sz w:val="24"/>
          <w:szCs w:val="24"/>
        </w:rPr>
      </w:pPr>
      <w:r w:rsidRPr="00105769">
        <w:rPr>
          <w:rStyle w:val="Bodytext11pt"/>
          <w:b/>
          <w:sz w:val="24"/>
          <w:szCs w:val="24"/>
        </w:rPr>
        <w:t>4.</w:t>
      </w:r>
      <w:r>
        <w:rPr>
          <w:rStyle w:val="Bodytext11pt"/>
          <w:sz w:val="24"/>
          <w:szCs w:val="24"/>
        </w:rPr>
        <w:tab/>
      </w:r>
      <w:r w:rsidR="00BF6D5F" w:rsidRPr="00105769">
        <w:rPr>
          <w:rStyle w:val="Bodytext11pt"/>
          <w:sz w:val="24"/>
          <w:szCs w:val="24"/>
        </w:rPr>
        <w:t>Sections 15 and 16 of the Principal Act are repealed.</w:t>
      </w:r>
    </w:p>
    <w:p w14:paraId="36B3F7C7" w14:textId="77777777" w:rsidR="00105769" w:rsidRPr="00105769" w:rsidRDefault="00105769" w:rsidP="00105769">
      <w:pPr>
        <w:pStyle w:val="Bodytext60"/>
        <w:spacing w:before="120" w:after="60" w:line="240" w:lineRule="auto"/>
        <w:rPr>
          <w:b/>
          <w:sz w:val="20"/>
          <w:szCs w:val="24"/>
        </w:rPr>
      </w:pPr>
      <w:r w:rsidRPr="00105769">
        <w:rPr>
          <w:b/>
          <w:sz w:val="20"/>
          <w:szCs w:val="24"/>
        </w:rPr>
        <w:t>Schedules 3 and 4.</w:t>
      </w:r>
    </w:p>
    <w:p w14:paraId="31356E7A" w14:textId="7E50108D" w:rsidR="00F45C62" w:rsidRPr="00105769" w:rsidRDefault="00105769" w:rsidP="00BC2B6F">
      <w:pPr>
        <w:pStyle w:val="BodyText1"/>
        <w:tabs>
          <w:tab w:val="left" w:pos="630"/>
        </w:tabs>
        <w:spacing w:after="160" w:line="240" w:lineRule="auto"/>
        <w:ind w:firstLine="270"/>
        <w:jc w:val="both"/>
        <w:rPr>
          <w:sz w:val="24"/>
          <w:szCs w:val="24"/>
        </w:rPr>
      </w:pPr>
      <w:r w:rsidRPr="00105769">
        <w:rPr>
          <w:rStyle w:val="Bodytext11pt"/>
          <w:b/>
          <w:sz w:val="24"/>
          <w:szCs w:val="24"/>
        </w:rPr>
        <w:t>5.</w:t>
      </w:r>
      <w:r>
        <w:rPr>
          <w:rStyle w:val="Bodytext11pt"/>
          <w:b/>
          <w:sz w:val="24"/>
          <w:szCs w:val="24"/>
        </w:rPr>
        <w:tab/>
      </w:r>
      <w:r w:rsidR="00BF6D5F" w:rsidRPr="00105769">
        <w:rPr>
          <w:rStyle w:val="Bodytext11pt"/>
          <w:sz w:val="24"/>
          <w:szCs w:val="24"/>
        </w:rPr>
        <w:t>Schedules 3 and 4 to the Principal Act are repealed and the fol</w:t>
      </w:r>
      <w:r w:rsidR="003D2E21">
        <w:rPr>
          <w:rStyle w:val="Bodytext11pt"/>
          <w:sz w:val="24"/>
          <w:szCs w:val="24"/>
        </w:rPr>
        <w:t>lowing Schedule is substituted:</w:t>
      </w:r>
      <w:r w:rsidR="00BF6D5F" w:rsidRPr="00105769">
        <w:rPr>
          <w:rStyle w:val="Bodytext11pt"/>
          <w:sz w:val="24"/>
          <w:szCs w:val="24"/>
        </w:rPr>
        <w:t>—</w:t>
      </w:r>
    </w:p>
    <w:p w14:paraId="69DC0859" w14:textId="77777777" w:rsidR="00F45C62" w:rsidRPr="00105769" w:rsidRDefault="00BF6D5F" w:rsidP="00BC2B6F">
      <w:pPr>
        <w:pStyle w:val="Tablecaption0"/>
        <w:tabs>
          <w:tab w:val="left" w:pos="8550"/>
        </w:tabs>
        <w:spacing w:after="60" w:line="240" w:lineRule="auto"/>
        <w:ind w:firstLine="4050"/>
        <w:rPr>
          <w:sz w:val="24"/>
          <w:szCs w:val="24"/>
        </w:rPr>
      </w:pPr>
      <w:r w:rsidRPr="00105769">
        <w:rPr>
          <w:rStyle w:val="Tablecaption11pt"/>
          <w:sz w:val="24"/>
          <w:szCs w:val="24"/>
        </w:rPr>
        <w:t>SCHEDULE 3</w:t>
      </w:r>
      <w:r w:rsidR="00BC2B6F">
        <w:rPr>
          <w:rStyle w:val="Tablecaption11pt"/>
          <w:sz w:val="24"/>
          <w:szCs w:val="24"/>
        </w:rPr>
        <w:tab/>
      </w:r>
      <w:r w:rsidRPr="00105769">
        <w:rPr>
          <w:rStyle w:val="Tablecaption8pt"/>
          <w:sz w:val="24"/>
          <w:szCs w:val="24"/>
        </w:rPr>
        <w:t>S</w:t>
      </w:r>
      <w:r w:rsidR="00BC2B6F">
        <w:rPr>
          <w:rStyle w:val="Tablecaption8pt"/>
          <w:sz w:val="24"/>
          <w:szCs w:val="24"/>
        </w:rPr>
        <w:t xml:space="preserve">ection </w:t>
      </w:r>
      <w:r w:rsidRPr="00105769">
        <w:rPr>
          <w:rStyle w:val="Tablecaption8pt"/>
          <w:sz w:val="24"/>
          <w:szCs w:val="24"/>
        </w:rPr>
        <w:t>13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0"/>
        <w:gridCol w:w="1440"/>
        <w:gridCol w:w="1440"/>
        <w:gridCol w:w="1170"/>
      </w:tblGrid>
      <w:tr w:rsidR="00F45C62" w:rsidRPr="00105769" w14:paraId="287149B4" w14:textId="77777777" w:rsidTr="00BC2B6F">
        <w:trPr>
          <w:trHeight w:val="302"/>
        </w:trPr>
        <w:tc>
          <w:tcPr>
            <w:tcW w:w="5680" w:type="dxa"/>
            <w:tcBorders>
              <w:top w:val="single" w:sz="4" w:space="0" w:color="auto"/>
            </w:tcBorders>
            <w:vAlign w:val="center"/>
          </w:tcPr>
          <w:p w14:paraId="393929DB" w14:textId="77777777" w:rsidR="00F45C62" w:rsidRPr="00BC2B6F" w:rsidRDefault="00BF6D5F" w:rsidP="00BC2B6F">
            <w:pPr>
              <w:pStyle w:val="BodyText1"/>
              <w:spacing w:line="240" w:lineRule="auto"/>
              <w:ind w:firstLine="0"/>
              <w:rPr>
                <w:sz w:val="20"/>
                <w:szCs w:val="24"/>
              </w:rPr>
            </w:pPr>
            <w:r w:rsidRPr="00BC2B6F">
              <w:rPr>
                <w:rStyle w:val="Bodytext6pt"/>
                <w:sz w:val="20"/>
                <w:szCs w:val="24"/>
              </w:rPr>
              <w:t>Column 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1078322" w14:textId="77777777" w:rsidR="00F45C62" w:rsidRPr="00BC2B6F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BC2B6F">
              <w:rPr>
                <w:rStyle w:val="Bodytext6pt"/>
                <w:sz w:val="20"/>
                <w:szCs w:val="24"/>
              </w:rPr>
              <w:t>Column 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83EA19D" w14:textId="77777777" w:rsidR="00F45C62" w:rsidRPr="00BC2B6F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BC2B6F">
              <w:rPr>
                <w:rStyle w:val="Bodytext6pt"/>
                <w:sz w:val="20"/>
                <w:szCs w:val="24"/>
              </w:rPr>
              <w:t>Column 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5CB0451" w14:textId="77777777" w:rsidR="00F45C62" w:rsidRPr="00BC2B6F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BC2B6F">
              <w:rPr>
                <w:rStyle w:val="Bodytext6pt"/>
                <w:sz w:val="20"/>
                <w:szCs w:val="24"/>
              </w:rPr>
              <w:t>Column 4</w:t>
            </w:r>
          </w:p>
        </w:tc>
      </w:tr>
      <w:tr w:rsidR="00F45C62" w:rsidRPr="00105769" w14:paraId="0ADDC270" w14:textId="77777777" w:rsidTr="00BC2B6F">
        <w:trPr>
          <w:trHeight w:val="595"/>
        </w:trPr>
        <w:tc>
          <w:tcPr>
            <w:tcW w:w="5680" w:type="dxa"/>
            <w:vAlign w:val="center"/>
          </w:tcPr>
          <w:p w14:paraId="1D2553A9" w14:textId="77777777" w:rsidR="00F45C62" w:rsidRPr="00BC2B6F" w:rsidRDefault="00BF6D5F" w:rsidP="00BC2B6F">
            <w:pPr>
              <w:pStyle w:val="BodyText1"/>
              <w:spacing w:line="240" w:lineRule="auto"/>
              <w:ind w:firstLine="0"/>
              <w:rPr>
                <w:sz w:val="20"/>
                <w:szCs w:val="24"/>
              </w:rPr>
            </w:pPr>
            <w:r w:rsidRPr="00BC2B6F">
              <w:rPr>
                <w:rStyle w:val="Bodytext6pt"/>
                <w:sz w:val="20"/>
                <w:szCs w:val="24"/>
              </w:rPr>
              <w:t>Office</w:t>
            </w:r>
          </w:p>
        </w:tc>
        <w:tc>
          <w:tcPr>
            <w:tcW w:w="1440" w:type="dxa"/>
            <w:vAlign w:val="center"/>
          </w:tcPr>
          <w:p w14:paraId="3C0748FF" w14:textId="77777777" w:rsidR="00F45C62" w:rsidRPr="00BC2B6F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BC2B6F">
              <w:rPr>
                <w:rStyle w:val="Bodytext6pt"/>
                <w:sz w:val="20"/>
                <w:szCs w:val="24"/>
              </w:rPr>
              <w:t>Rate per annum of Salary</w:t>
            </w:r>
          </w:p>
        </w:tc>
        <w:tc>
          <w:tcPr>
            <w:tcW w:w="1440" w:type="dxa"/>
            <w:vAlign w:val="center"/>
          </w:tcPr>
          <w:p w14:paraId="7E8826DD" w14:textId="77777777" w:rsidR="00F45C62" w:rsidRPr="00BC2B6F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BC2B6F">
              <w:rPr>
                <w:rStyle w:val="Bodytext6pt"/>
                <w:sz w:val="20"/>
                <w:szCs w:val="24"/>
              </w:rPr>
              <w:t>Rate per annum of Annual Allowance</w:t>
            </w:r>
          </w:p>
        </w:tc>
        <w:tc>
          <w:tcPr>
            <w:tcW w:w="1170" w:type="dxa"/>
            <w:vAlign w:val="center"/>
          </w:tcPr>
          <w:p w14:paraId="4847F062" w14:textId="77777777" w:rsidR="00F45C62" w:rsidRPr="00BC2B6F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BC2B6F">
              <w:rPr>
                <w:rStyle w:val="Bodytext6pt"/>
                <w:sz w:val="20"/>
                <w:szCs w:val="24"/>
              </w:rPr>
              <w:t>Rate per day of Travelling Allowance</w:t>
            </w:r>
          </w:p>
        </w:tc>
      </w:tr>
      <w:tr w:rsidR="00F45C62" w:rsidRPr="00105769" w14:paraId="5AD36548" w14:textId="77777777" w:rsidTr="00BC2B6F">
        <w:trPr>
          <w:trHeight w:val="269"/>
        </w:trPr>
        <w:tc>
          <w:tcPr>
            <w:tcW w:w="5680" w:type="dxa"/>
            <w:tcBorders>
              <w:top w:val="single" w:sz="4" w:space="0" w:color="auto"/>
            </w:tcBorders>
          </w:tcPr>
          <w:p w14:paraId="7878E633" w14:textId="77777777" w:rsidR="00F45C62" w:rsidRPr="00105769" w:rsidRDefault="00F45C62" w:rsidP="001057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5124367A" w14:textId="77777777" w:rsidR="00F45C62" w:rsidRPr="00BC2B6F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BC2B6F">
              <w:rPr>
                <w:rStyle w:val="Bodytext8pt"/>
                <w:sz w:val="20"/>
                <w:szCs w:val="24"/>
              </w:rPr>
              <w:t>$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754ABB36" w14:textId="77777777" w:rsidR="00F45C62" w:rsidRPr="00BC2B6F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BC2B6F">
              <w:rPr>
                <w:rStyle w:val="Bodytext8pt"/>
                <w:sz w:val="20"/>
                <w:szCs w:val="24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4EFCFF1A" w14:textId="77777777" w:rsidR="00F45C62" w:rsidRPr="00BC2B6F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BC2B6F">
              <w:rPr>
                <w:rStyle w:val="Bodytext8pt"/>
                <w:sz w:val="20"/>
                <w:szCs w:val="24"/>
              </w:rPr>
              <w:t>$</w:t>
            </w:r>
          </w:p>
        </w:tc>
      </w:tr>
      <w:tr w:rsidR="00F45C62" w:rsidRPr="00105769" w14:paraId="441A6CBC" w14:textId="77777777" w:rsidTr="00BC2B6F">
        <w:trPr>
          <w:trHeight w:val="182"/>
        </w:trPr>
        <w:tc>
          <w:tcPr>
            <w:tcW w:w="5680" w:type="dxa"/>
            <w:vAlign w:val="bottom"/>
          </w:tcPr>
          <w:p w14:paraId="7AE15704" w14:textId="77777777" w:rsidR="00F45C62" w:rsidRPr="00105769" w:rsidRDefault="00BF6D5F" w:rsidP="00BC2B6F">
            <w:pPr>
              <w:pStyle w:val="BodyText1"/>
              <w:tabs>
                <w:tab w:val="left" w:leader="dot" w:pos="55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C</w:t>
            </w:r>
            <w:r w:rsidR="00BC2B6F">
              <w:rPr>
                <w:rStyle w:val="Bodytext8pt"/>
                <w:sz w:val="24"/>
                <w:szCs w:val="24"/>
              </w:rPr>
              <w:t>hief Justice of the High Court</w:t>
            </w:r>
            <w:r w:rsidR="00BC2B6F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1440" w:type="dxa"/>
            <w:vAlign w:val="bottom"/>
          </w:tcPr>
          <w:p w14:paraId="31D428D1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45,000</w:t>
            </w:r>
          </w:p>
        </w:tc>
        <w:tc>
          <w:tcPr>
            <w:tcW w:w="1440" w:type="dxa"/>
            <w:vAlign w:val="bottom"/>
          </w:tcPr>
          <w:p w14:paraId="332EB736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3,000</w:t>
            </w:r>
          </w:p>
        </w:tc>
        <w:tc>
          <w:tcPr>
            <w:tcW w:w="1170" w:type="dxa"/>
            <w:vAlign w:val="bottom"/>
          </w:tcPr>
          <w:p w14:paraId="223771EE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48</w:t>
            </w:r>
          </w:p>
        </w:tc>
      </w:tr>
      <w:tr w:rsidR="00F45C62" w:rsidRPr="00105769" w14:paraId="390F7AF3" w14:textId="77777777" w:rsidTr="00BC2B6F">
        <w:trPr>
          <w:trHeight w:val="187"/>
        </w:trPr>
        <w:tc>
          <w:tcPr>
            <w:tcW w:w="5680" w:type="dxa"/>
            <w:tcBorders>
              <w:top w:val="single" w:sz="4" w:space="0" w:color="auto"/>
            </w:tcBorders>
            <w:vAlign w:val="bottom"/>
          </w:tcPr>
          <w:p w14:paraId="44CA47C1" w14:textId="77777777" w:rsidR="00F45C62" w:rsidRPr="00105769" w:rsidRDefault="00BF6D5F" w:rsidP="00BC2B6F">
            <w:pPr>
              <w:pStyle w:val="BodyText1"/>
              <w:tabs>
                <w:tab w:val="left" w:leader="dot" w:pos="55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Justice (other than the Ch</w:t>
            </w:r>
            <w:r w:rsidR="00BC2B6F">
              <w:rPr>
                <w:rStyle w:val="Bodytext8pt"/>
                <w:sz w:val="24"/>
                <w:szCs w:val="24"/>
              </w:rPr>
              <w:t>ief Justice) of the High Court</w:t>
            </w:r>
          </w:p>
        </w:tc>
        <w:tc>
          <w:tcPr>
            <w:tcW w:w="1440" w:type="dxa"/>
            <w:vAlign w:val="bottom"/>
          </w:tcPr>
          <w:p w14:paraId="1F2FA0B1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41,000</w:t>
            </w:r>
          </w:p>
        </w:tc>
        <w:tc>
          <w:tcPr>
            <w:tcW w:w="1440" w:type="dxa"/>
            <w:vAlign w:val="bottom"/>
          </w:tcPr>
          <w:p w14:paraId="01345728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2,500</w:t>
            </w:r>
          </w:p>
        </w:tc>
        <w:tc>
          <w:tcPr>
            <w:tcW w:w="1170" w:type="dxa"/>
            <w:vAlign w:val="bottom"/>
          </w:tcPr>
          <w:p w14:paraId="50005D7E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48</w:t>
            </w:r>
          </w:p>
        </w:tc>
      </w:tr>
      <w:tr w:rsidR="00F45C62" w:rsidRPr="00105769" w14:paraId="106C06F5" w14:textId="77777777" w:rsidTr="00BC2B6F">
        <w:trPr>
          <w:trHeight w:val="173"/>
        </w:trPr>
        <w:tc>
          <w:tcPr>
            <w:tcW w:w="5680" w:type="dxa"/>
            <w:vAlign w:val="bottom"/>
          </w:tcPr>
          <w:p w14:paraId="21EC88DB" w14:textId="77777777" w:rsidR="00F45C62" w:rsidRPr="00105769" w:rsidRDefault="00BF6D5F" w:rsidP="00BC2B6F">
            <w:pPr>
              <w:pStyle w:val="BodyText1"/>
              <w:tabs>
                <w:tab w:val="left" w:leader="dot" w:pos="55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 xml:space="preserve">Chief Judge of </w:t>
            </w:r>
            <w:r w:rsidR="00BC2B6F">
              <w:rPr>
                <w:rStyle w:val="Bodytext8pt"/>
                <w:sz w:val="24"/>
                <w:szCs w:val="24"/>
              </w:rPr>
              <w:t>the Australian Industrial Court</w:t>
            </w:r>
            <w:r w:rsidR="00BC2B6F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1440" w:type="dxa"/>
            <w:vAlign w:val="bottom"/>
          </w:tcPr>
          <w:p w14:paraId="0A4B0577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36,000</w:t>
            </w:r>
          </w:p>
        </w:tc>
        <w:tc>
          <w:tcPr>
            <w:tcW w:w="1440" w:type="dxa"/>
            <w:vAlign w:val="bottom"/>
          </w:tcPr>
          <w:p w14:paraId="7B1D59C7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2,250</w:t>
            </w:r>
          </w:p>
        </w:tc>
        <w:tc>
          <w:tcPr>
            <w:tcW w:w="1170" w:type="dxa"/>
            <w:vAlign w:val="bottom"/>
          </w:tcPr>
          <w:p w14:paraId="300A264C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42</w:t>
            </w:r>
          </w:p>
        </w:tc>
      </w:tr>
      <w:tr w:rsidR="00F45C62" w:rsidRPr="00105769" w14:paraId="6CFD5415" w14:textId="77777777" w:rsidTr="00BC2B6F">
        <w:trPr>
          <w:trHeight w:val="350"/>
        </w:trPr>
        <w:tc>
          <w:tcPr>
            <w:tcW w:w="5680" w:type="dxa"/>
            <w:vAlign w:val="bottom"/>
          </w:tcPr>
          <w:p w14:paraId="1B539436" w14:textId="77777777" w:rsidR="00F45C62" w:rsidRPr="00105769" w:rsidRDefault="00BF6D5F" w:rsidP="00BC2B6F">
            <w:pPr>
              <w:pStyle w:val="BodyText1"/>
              <w:tabs>
                <w:tab w:val="left" w:leader="dot" w:pos="5520"/>
              </w:tabs>
              <w:spacing w:line="240" w:lineRule="auto"/>
              <w:ind w:left="270" w:hanging="270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Judge (other than the Chief Judge) of t</w:t>
            </w:r>
            <w:r w:rsidR="00BC2B6F">
              <w:rPr>
                <w:rStyle w:val="Bodytext8pt"/>
                <w:sz w:val="24"/>
                <w:szCs w:val="24"/>
              </w:rPr>
              <w:t>he Australian Industrial Court</w:t>
            </w:r>
            <w:r w:rsidR="00BC2B6F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1440" w:type="dxa"/>
            <w:vAlign w:val="bottom"/>
          </w:tcPr>
          <w:p w14:paraId="70699FB9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35,000</w:t>
            </w:r>
          </w:p>
        </w:tc>
        <w:tc>
          <w:tcPr>
            <w:tcW w:w="1440" w:type="dxa"/>
            <w:vAlign w:val="bottom"/>
          </w:tcPr>
          <w:p w14:paraId="1F2180AF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1,750</w:t>
            </w:r>
          </w:p>
        </w:tc>
        <w:tc>
          <w:tcPr>
            <w:tcW w:w="1170" w:type="dxa"/>
            <w:vAlign w:val="bottom"/>
          </w:tcPr>
          <w:p w14:paraId="63527271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42</w:t>
            </w:r>
          </w:p>
        </w:tc>
      </w:tr>
      <w:tr w:rsidR="00F45C62" w:rsidRPr="00105769" w14:paraId="7C5D99D6" w14:textId="77777777" w:rsidTr="00BC2B6F">
        <w:trPr>
          <w:trHeight w:val="197"/>
        </w:trPr>
        <w:tc>
          <w:tcPr>
            <w:tcW w:w="5680" w:type="dxa"/>
            <w:tcBorders>
              <w:top w:val="single" w:sz="4" w:space="0" w:color="auto"/>
            </w:tcBorders>
            <w:vAlign w:val="bottom"/>
          </w:tcPr>
          <w:p w14:paraId="4D8F8D35" w14:textId="77777777" w:rsidR="00F45C62" w:rsidRPr="00105769" w:rsidRDefault="00BF6D5F" w:rsidP="00BC2B6F">
            <w:pPr>
              <w:pStyle w:val="BodyText1"/>
              <w:tabs>
                <w:tab w:val="left" w:leader="dot" w:pos="55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Judge of t</w:t>
            </w:r>
            <w:r w:rsidR="00BC2B6F">
              <w:rPr>
                <w:rStyle w:val="Bodytext8pt"/>
                <w:sz w:val="24"/>
                <w:szCs w:val="24"/>
              </w:rPr>
              <w:t>he Federal Court of Bankruptcy</w:t>
            </w:r>
            <w:r w:rsidR="00BC2B6F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1440" w:type="dxa"/>
            <w:vAlign w:val="bottom"/>
          </w:tcPr>
          <w:p w14:paraId="17291388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35,000</w:t>
            </w:r>
          </w:p>
        </w:tc>
        <w:tc>
          <w:tcPr>
            <w:tcW w:w="1440" w:type="dxa"/>
            <w:vAlign w:val="bottom"/>
          </w:tcPr>
          <w:p w14:paraId="1DDF03C0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1,750</w:t>
            </w:r>
          </w:p>
        </w:tc>
        <w:tc>
          <w:tcPr>
            <w:tcW w:w="1170" w:type="dxa"/>
            <w:vAlign w:val="bottom"/>
          </w:tcPr>
          <w:p w14:paraId="0F9FB133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42</w:t>
            </w:r>
          </w:p>
        </w:tc>
      </w:tr>
      <w:tr w:rsidR="00F45C62" w:rsidRPr="00105769" w14:paraId="0CAFD214" w14:textId="77777777" w:rsidTr="00BC2B6F">
        <w:trPr>
          <w:trHeight w:val="350"/>
        </w:trPr>
        <w:tc>
          <w:tcPr>
            <w:tcW w:w="5680" w:type="dxa"/>
            <w:tcBorders>
              <w:top w:val="single" w:sz="4" w:space="0" w:color="auto"/>
            </w:tcBorders>
            <w:vAlign w:val="bottom"/>
          </w:tcPr>
          <w:p w14:paraId="2DE39C4E" w14:textId="77777777" w:rsidR="00F45C62" w:rsidRPr="00105769" w:rsidRDefault="00BF6D5F" w:rsidP="00BC2B6F">
            <w:pPr>
              <w:pStyle w:val="BodyText1"/>
              <w:tabs>
                <w:tab w:val="left" w:leader="dot" w:pos="5520"/>
              </w:tabs>
              <w:spacing w:line="240" w:lineRule="auto"/>
              <w:ind w:left="270" w:hanging="270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Judge of the Supreme Court of t</w:t>
            </w:r>
            <w:r w:rsidR="00BC2B6F">
              <w:rPr>
                <w:rStyle w:val="Bodytext8pt"/>
                <w:sz w:val="24"/>
                <w:szCs w:val="24"/>
              </w:rPr>
              <w:t>he Australian Capital Territory</w:t>
            </w:r>
            <w:r w:rsidR="00BC2B6F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1440" w:type="dxa"/>
            <w:vAlign w:val="bottom"/>
          </w:tcPr>
          <w:p w14:paraId="0FF03607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35,000</w:t>
            </w:r>
          </w:p>
        </w:tc>
        <w:tc>
          <w:tcPr>
            <w:tcW w:w="1440" w:type="dxa"/>
            <w:vAlign w:val="bottom"/>
          </w:tcPr>
          <w:p w14:paraId="0D556E48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1,750</w:t>
            </w:r>
          </w:p>
        </w:tc>
        <w:tc>
          <w:tcPr>
            <w:tcW w:w="1170" w:type="dxa"/>
            <w:vAlign w:val="bottom"/>
          </w:tcPr>
          <w:p w14:paraId="21747B6D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42</w:t>
            </w:r>
          </w:p>
        </w:tc>
      </w:tr>
      <w:tr w:rsidR="00F45C62" w:rsidRPr="00105769" w14:paraId="39BE0348" w14:textId="77777777" w:rsidTr="00BC2B6F">
        <w:trPr>
          <w:trHeight w:val="182"/>
        </w:trPr>
        <w:tc>
          <w:tcPr>
            <w:tcW w:w="5680" w:type="dxa"/>
            <w:tcBorders>
              <w:top w:val="single" w:sz="4" w:space="0" w:color="auto"/>
            </w:tcBorders>
            <w:vAlign w:val="bottom"/>
          </w:tcPr>
          <w:p w14:paraId="501AF5B3" w14:textId="77777777" w:rsidR="00F45C62" w:rsidRPr="00105769" w:rsidRDefault="00BF6D5F" w:rsidP="00BC2B6F">
            <w:pPr>
              <w:pStyle w:val="BodyText1"/>
              <w:tabs>
                <w:tab w:val="left" w:leader="dot" w:pos="55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Judge of the Supreme Court</w:t>
            </w:r>
            <w:r w:rsidR="00BC2B6F">
              <w:rPr>
                <w:rStyle w:val="Bodytext8pt"/>
                <w:sz w:val="24"/>
                <w:szCs w:val="24"/>
              </w:rPr>
              <w:t xml:space="preserve"> of the Northern Territory</w:t>
            </w:r>
            <w:r w:rsidR="00BC2B6F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1440" w:type="dxa"/>
            <w:vAlign w:val="bottom"/>
          </w:tcPr>
          <w:p w14:paraId="3550A2DA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35,000</w:t>
            </w:r>
          </w:p>
        </w:tc>
        <w:tc>
          <w:tcPr>
            <w:tcW w:w="1440" w:type="dxa"/>
            <w:vAlign w:val="bottom"/>
          </w:tcPr>
          <w:p w14:paraId="71846254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1,750</w:t>
            </w:r>
          </w:p>
        </w:tc>
        <w:tc>
          <w:tcPr>
            <w:tcW w:w="1170" w:type="dxa"/>
            <w:vAlign w:val="bottom"/>
          </w:tcPr>
          <w:p w14:paraId="7EBD283F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42</w:t>
            </w:r>
          </w:p>
        </w:tc>
      </w:tr>
      <w:tr w:rsidR="00F45C62" w:rsidRPr="00105769" w14:paraId="76BED5F1" w14:textId="77777777" w:rsidTr="00BC2B6F">
        <w:trPr>
          <w:trHeight w:val="341"/>
        </w:trPr>
        <w:tc>
          <w:tcPr>
            <w:tcW w:w="5680" w:type="dxa"/>
            <w:vAlign w:val="bottom"/>
          </w:tcPr>
          <w:p w14:paraId="4990A783" w14:textId="77777777" w:rsidR="00F45C62" w:rsidRPr="00105769" w:rsidRDefault="00BF6D5F" w:rsidP="00BC2B6F">
            <w:pPr>
              <w:pStyle w:val="BodyText1"/>
              <w:tabs>
                <w:tab w:val="left" w:leader="dot" w:pos="5520"/>
              </w:tabs>
              <w:spacing w:line="240" w:lineRule="auto"/>
              <w:ind w:left="270" w:hanging="270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President of the Australian Conciliat</w:t>
            </w:r>
            <w:r w:rsidR="00BC2B6F">
              <w:rPr>
                <w:rStyle w:val="Bodytext8pt"/>
                <w:sz w:val="24"/>
                <w:szCs w:val="24"/>
              </w:rPr>
              <w:t>ion and Arbitration Commission</w:t>
            </w:r>
            <w:r w:rsidR="00BC2B6F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1440" w:type="dxa"/>
            <w:vAlign w:val="bottom"/>
          </w:tcPr>
          <w:p w14:paraId="4D773BEF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36,000</w:t>
            </w:r>
          </w:p>
        </w:tc>
        <w:tc>
          <w:tcPr>
            <w:tcW w:w="1440" w:type="dxa"/>
            <w:vAlign w:val="bottom"/>
          </w:tcPr>
          <w:p w14:paraId="72431683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2,250</w:t>
            </w:r>
          </w:p>
        </w:tc>
        <w:tc>
          <w:tcPr>
            <w:tcW w:w="1170" w:type="dxa"/>
            <w:vAlign w:val="bottom"/>
          </w:tcPr>
          <w:p w14:paraId="12C3A5DD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42</w:t>
            </w:r>
          </w:p>
        </w:tc>
      </w:tr>
      <w:tr w:rsidR="00F45C62" w:rsidRPr="00105769" w14:paraId="3362FFFD" w14:textId="77777777" w:rsidTr="00BC2B6F">
        <w:trPr>
          <w:trHeight w:val="451"/>
        </w:trPr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226368" w14:textId="77777777" w:rsidR="00F45C62" w:rsidRPr="00105769" w:rsidRDefault="00BF6D5F" w:rsidP="00BC2B6F">
            <w:pPr>
              <w:pStyle w:val="BodyText1"/>
              <w:tabs>
                <w:tab w:val="left" w:leader="dot" w:pos="5520"/>
              </w:tabs>
              <w:spacing w:line="240" w:lineRule="auto"/>
              <w:ind w:left="270" w:hanging="270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Deputy President of the Australian Conciliati</w:t>
            </w:r>
            <w:r w:rsidR="00BC2B6F">
              <w:rPr>
                <w:rStyle w:val="Bodytext8pt"/>
                <w:sz w:val="24"/>
                <w:szCs w:val="24"/>
              </w:rPr>
              <w:t>on and Arbi</w:t>
            </w:r>
            <w:r w:rsidR="00BC2B6F">
              <w:rPr>
                <w:rStyle w:val="Bodytext8pt"/>
                <w:sz w:val="24"/>
                <w:szCs w:val="24"/>
              </w:rPr>
              <w:softHyphen/>
              <w:t>tration Commission</w:t>
            </w:r>
            <w:r w:rsidR="00BC2B6F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C4C5323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35,000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71E550F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1,750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51B1F724" w14:textId="77777777" w:rsidR="00F45C62" w:rsidRPr="00105769" w:rsidRDefault="00BF6D5F" w:rsidP="00841EDB">
            <w:pPr>
              <w:pStyle w:val="BodyText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769">
              <w:rPr>
                <w:rStyle w:val="Bodytext8pt"/>
                <w:sz w:val="24"/>
                <w:szCs w:val="24"/>
              </w:rPr>
              <w:t>42</w:t>
            </w:r>
          </w:p>
        </w:tc>
      </w:tr>
    </w:tbl>
    <w:p w14:paraId="78035390" w14:textId="77777777" w:rsidR="00BC2B6F" w:rsidRDefault="00BC2B6F">
      <w:pPr>
        <w:rPr>
          <w:rFonts w:ascii="Times New Roman" w:eastAsia="Times New Roman" w:hAnsi="Times New Roman" w:cs="Times New Roman"/>
        </w:rPr>
      </w:pPr>
      <w:r>
        <w:br w:type="page"/>
      </w:r>
    </w:p>
    <w:p w14:paraId="32A9C688" w14:textId="77777777" w:rsidR="00F45C62" w:rsidRPr="00BC2B6F" w:rsidRDefault="00BF6D5F" w:rsidP="00BC2B6F">
      <w:pPr>
        <w:pStyle w:val="Bodytext50"/>
        <w:spacing w:after="160" w:line="240" w:lineRule="auto"/>
        <w:ind w:firstLine="0"/>
        <w:rPr>
          <w:b/>
          <w:sz w:val="24"/>
          <w:szCs w:val="24"/>
        </w:rPr>
      </w:pPr>
      <w:r w:rsidRPr="00BC2B6F">
        <w:rPr>
          <w:b/>
          <w:sz w:val="24"/>
          <w:szCs w:val="24"/>
        </w:rPr>
        <w:lastRenderedPageBreak/>
        <w:t>NOTES</w:t>
      </w:r>
    </w:p>
    <w:p w14:paraId="363215C4" w14:textId="77777777" w:rsidR="00F45C62" w:rsidRPr="00105769" w:rsidRDefault="00BC2B6F" w:rsidP="00BC2B6F">
      <w:pPr>
        <w:pStyle w:val="Bodytext50"/>
        <w:tabs>
          <w:tab w:val="left" w:pos="630"/>
        </w:tabs>
        <w:spacing w:after="16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BF6D5F" w:rsidRPr="00105769">
        <w:rPr>
          <w:sz w:val="24"/>
          <w:szCs w:val="24"/>
        </w:rPr>
        <w:t>Act No. 8,</w:t>
      </w:r>
      <w:r>
        <w:rPr>
          <w:sz w:val="24"/>
          <w:szCs w:val="24"/>
        </w:rPr>
        <w:t xml:space="preserve"> </w:t>
      </w:r>
      <w:r w:rsidR="00BF6D5F" w:rsidRPr="00105769">
        <w:rPr>
          <w:sz w:val="24"/>
          <w:szCs w:val="24"/>
        </w:rPr>
        <w:t>1975; assented to 7 March 1975.</w:t>
      </w:r>
    </w:p>
    <w:p w14:paraId="3A79C92F" w14:textId="77777777" w:rsidR="00F45C62" w:rsidRPr="00105769" w:rsidRDefault="00BC2B6F" w:rsidP="00BC2B6F">
      <w:pPr>
        <w:pStyle w:val="Bodytext50"/>
        <w:tabs>
          <w:tab w:val="left" w:pos="630"/>
        </w:tabs>
        <w:spacing w:after="160" w:line="240" w:lineRule="auto"/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BF6D5F" w:rsidRPr="00105769">
        <w:rPr>
          <w:sz w:val="24"/>
          <w:szCs w:val="24"/>
        </w:rPr>
        <w:t>Act No. 14, 1973, as amended by No. 203, 1973; and No. 216, 1973 (as amended by No. 20,</w:t>
      </w:r>
      <w:r>
        <w:rPr>
          <w:sz w:val="24"/>
          <w:szCs w:val="24"/>
        </w:rPr>
        <w:t xml:space="preserve"> </w:t>
      </w:r>
      <w:r w:rsidR="00BF6D5F" w:rsidRPr="00105769">
        <w:rPr>
          <w:sz w:val="24"/>
          <w:szCs w:val="24"/>
        </w:rPr>
        <w:t>1974).</w:t>
      </w:r>
      <w:r w:rsidR="004C451A">
        <w:rPr>
          <w:sz w:val="24"/>
          <w:szCs w:val="24"/>
        </w:rPr>
        <w:t xml:space="preserve"> </w:t>
      </w:r>
    </w:p>
    <w:sectPr w:rsidR="00F45C62" w:rsidRPr="00105769" w:rsidSect="00C24C61">
      <w:headerReference w:type="even" r:id="rId8"/>
      <w:headerReference w:type="default" r:id="rId9"/>
      <w:pgSz w:w="11909" w:h="18000"/>
      <w:pgMar w:top="1080" w:right="1080" w:bottom="1080" w:left="1080" w:header="720" w:footer="72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9D14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9D14BA" w16cid:durableId="1F4F2E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0494C" w14:textId="77777777" w:rsidR="00320050" w:rsidRDefault="00320050">
      <w:r>
        <w:separator/>
      </w:r>
    </w:p>
  </w:endnote>
  <w:endnote w:type="continuationSeparator" w:id="0">
    <w:p w14:paraId="1B20A048" w14:textId="77777777" w:rsidR="00320050" w:rsidRDefault="0032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82171" w14:textId="77777777" w:rsidR="00320050" w:rsidRDefault="00320050"/>
  </w:footnote>
  <w:footnote w:type="continuationSeparator" w:id="0">
    <w:p w14:paraId="2E242CF5" w14:textId="77777777" w:rsidR="00320050" w:rsidRDefault="003200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2CB54" w14:textId="77777777" w:rsidR="00C24C61" w:rsidRPr="00C24C61" w:rsidRDefault="00C24C61">
    <w:pPr>
      <w:pStyle w:val="Header"/>
      <w:rPr>
        <w:rFonts w:ascii="Times New Roman" w:hAnsi="Times New Roman" w:cs="Times New Roman"/>
        <w:sz w:val="22"/>
        <w:szCs w:val="22"/>
      </w:rPr>
    </w:pPr>
    <w:r w:rsidRPr="00C24C61">
      <w:rPr>
        <w:rFonts w:ascii="Times New Roman" w:hAnsi="Times New Roman" w:cs="Times New Roman"/>
        <w:sz w:val="22"/>
        <w:szCs w:val="22"/>
      </w:rPr>
      <w:t>No.</w:t>
    </w:r>
    <w:r>
      <w:rPr>
        <w:rFonts w:ascii="Times New Roman" w:hAnsi="Times New Roman" w:cs="Times New Roman"/>
        <w:sz w:val="22"/>
        <w:szCs w:val="22"/>
      </w:rPr>
      <w:t xml:space="preserve"> </w:t>
    </w:r>
    <w:r w:rsidRPr="00C24C61">
      <w:rPr>
        <w:rFonts w:ascii="Times New Roman" w:hAnsi="Times New Roman" w:cs="Times New Roman"/>
        <w:sz w:val="22"/>
        <w:szCs w:val="22"/>
      </w:rPr>
      <w:t>8</w:t>
    </w:r>
    <w:sdt>
      <w:sdtPr>
        <w:rPr>
          <w:rFonts w:ascii="Times New Roman" w:hAnsi="Times New Roman" w:cs="Times New Roman"/>
          <w:sz w:val="22"/>
          <w:szCs w:val="22"/>
        </w:rPr>
        <w:id w:val="214183657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24C61">
          <w:rPr>
            <w:rFonts w:ascii="Times New Roman" w:hAnsi="Times New Roman" w:cs="Times New Roman"/>
            <w:sz w:val="22"/>
            <w:szCs w:val="22"/>
          </w:rPr>
          <w:tab/>
        </w:r>
        <w:r w:rsidRPr="00C24C61">
          <w:rPr>
            <w:rFonts w:ascii="Times New Roman" w:hAnsi="Times New Roman" w:cs="Times New Roman"/>
            <w:i/>
            <w:sz w:val="22"/>
            <w:szCs w:val="22"/>
          </w:rPr>
          <w:t>Remuneration and Allowances</w:t>
        </w:r>
        <w:r w:rsidRPr="00C24C61">
          <w:rPr>
            <w:rFonts w:ascii="Times New Roman" w:hAnsi="Times New Roman" w:cs="Times New Roman"/>
            <w:sz w:val="22"/>
            <w:szCs w:val="22"/>
          </w:rPr>
          <w:tab/>
          <w:t>1975</w:t>
        </w:r>
      </w:sdtContent>
    </w:sdt>
  </w:p>
  <w:p w14:paraId="54DF363F" w14:textId="77777777" w:rsidR="00C24C61" w:rsidRPr="00C24C61" w:rsidRDefault="00C24C61">
    <w:pPr>
      <w:pStyle w:val="Header"/>
      <w:rPr>
        <w:rFonts w:ascii="Times New Roman" w:hAnsi="Times New Roman" w:cs="Times New Roman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9F843" w14:textId="77777777" w:rsidR="00BC2B6F" w:rsidRPr="00BC2B6F" w:rsidRDefault="00BC2B6F" w:rsidP="00BC2B6F">
    <w:pPr>
      <w:pStyle w:val="Header"/>
      <w:tabs>
        <w:tab w:val="clear" w:pos="4680"/>
        <w:tab w:val="clear" w:pos="9360"/>
        <w:tab w:val="center" w:pos="5040"/>
        <w:tab w:val="right" w:pos="9630"/>
      </w:tabs>
      <w:rPr>
        <w:rFonts w:ascii="Times New Roman" w:hAnsi="Times New Roman" w:cs="Times New Roman"/>
        <w:sz w:val="22"/>
        <w:szCs w:val="22"/>
      </w:rPr>
    </w:pPr>
    <w:r w:rsidRPr="00BC2B6F">
      <w:rPr>
        <w:rFonts w:ascii="Times New Roman" w:hAnsi="Times New Roman" w:cs="Times New Roman"/>
        <w:sz w:val="22"/>
        <w:szCs w:val="22"/>
      </w:rPr>
      <w:t>1975</w:t>
    </w:r>
    <w:r w:rsidRPr="00BC2B6F">
      <w:rPr>
        <w:rFonts w:ascii="Times New Roman" w:hAnsi="Times New Roman" w:cs="Times New Roman"/>
        <w:sz w:val="22"/>
        <w:szCs w:val="22"/>
      </w:rPr>
      <w:tab/>
    </w:r>
    <w:r w:rsidRPr="00BC2B6F">
      <w:rPr>
        <w:rFonts w:ascii="Times New Roman" w:hAnsi="Times New Roman" w:cs="Times New Roman"/>
        <w:i/>
        <w:iCs/>
        <w:color w:val="auto"/>
        <w:sz w:val="22"/>
        <w:szCs w:val="22"/>
      </w:rPr>
      <w:t>Remuneration and Allowances</w:t>
    </w:r>
    <w:r w:rsidRPr="00BC2B6F">
      <w:rPr>
        <w:rFonts w:ascii="Times New Roman" w:hAnsi="Times New Roman" w:cs="Times New Roman"/>
        <w:i/>
        <w:iCs/>
        <w:color w:val="auto"/>
        <w:sz w:val="22"/>
        <w:szCs w:val="22"/>
      </w:rPr>
      <w:tab/>
    </w:r>
    <w:r w:rsidRPr="00BC2B6F">
      <w:rPr>
        <w:rFonts w:ascii="Times New Roman" w:hAnsi="Times New Roman" w:cs="Times New Roman"/>
        <w:iCs/>
        <w:color w:val="auto"/>
        <w:sz w:val="22"/>
        <w:szCs w:val="22"/>
      </w:rPr>
      <w:t>No.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219"/>
    <w:multiLevelType w:val="multilevel"/>
    <w:tmpl w:val="60B6A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9753BF"/>
    <w:multiLevelType w:val="multilevel"/>
    <w:tmpl w:val="FADEADA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636446"/>
    <w:multiLevelType w:val="multilevel"/>
    <w:tmpl w:val="20746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D43945"/>
    <w:multiLevelType w:val="multilevel"/>
    <w:tmpl w:val="79589B4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45C62"/>
    <w:rsid w:val="00105769"/>
    <w:rsid w:val="00147C70"/>
    <w:rsid w:val="00320050"/>
    <w:rsid w:val="003D2E21"/>
    <w:rsid w:val="004C451A"/>
    <w:rsid w:val="005A686F"/>
    <w:rsid w:val="0064623D"/>
    <w:rsid w:val="00841EDB"/>
    <w:rsid w:val="00A30465"/>
    <w:rsid w:val="00BC2B6F"/>
    <w:rsid w:val="00BF6D5F"/>
    <w:rsid w:val="00C24C61"/>
    <w:rsid w:val="00C66653"/>
    <w:rsid w:val="00DC6290"/>
    <w:rsid w:val="00F4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D4A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7"/>
      <w:szCs w:val="27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pt">
    <w:name w:val="Body text + 1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11pt0">
    <w:name w:val="Body text + 1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11pt1">
    <w:name w:val="Body text + 11 pt"/>
    <w:aliases w:val="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11pt2">
    <w:name w:val="Body text + 11 pt"/>
    <w:aliases w:val="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/>
    </w:rPr>
  </w:style>
  <w:style w:type="character" w:customStyle="1" w:styleId="Bodytext11pt3">
    <w:name w:val="Body text + 11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1pt4">
    <w:name w:val="Body text + 11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11pt">
    <w:name w:val="Table caption + 11 pt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Tablecaption8pt">
    <w:name w:val="Table caption + 8 pt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pt">
    <w:name w:val="Body text + 6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Bodytext8pt">
    <w:name w:val="Body text +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8pt0">
    <w:name w:val="Body text + 8 pt"/>
    <w:aliases w:val="Spacing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6"/>
      <w:szCs w:val="16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60">
    <w:name w:val="Body text (6)"/>
    <w:basedOn w:val="Normal"/>
    <w:link w:val="Bodytext6"/>
    <w:pPr>
      <w:spacing w:line="16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0">
    <w:name w:val="Body text (2)"/>
    <w:basedOn w:val="Normal"/>
    <w:link w:val="Bodytext2"/>
    <w:pPr>
      <w:spacing w:line="0" w:lineRule="atLeast"/>
      <w:ind w:hanging="440"/>
      <w:jc w:val="both"/>
    </w:pPr>
    <w:rPr>
      <w:rFonts w:ascii="Arial" w:eastAsia="Arial" w:hAnsi="Arial" w:cs="Arial"/>
      <w:b/>
      <w:bCs/>
      <w:sz w:val="27"/>
      <w:szCs w:val="27"/>
    </w:rPr>
  </w:style>
  <w:style w:type="paragraph" w:customStyle="1" w:styleId="Bodytext30">
    <w:name w:val="Body text (3)"/>
    <w:basedOn w:val="Normal"/>
    <w:link w:val="Bodytext3"/>
    <w:pPr>
      <w:spacing w:line="0" w:lineRule="atLeast"/>
    </w:pPr>
    <w:rPr>
      <w:rFonts w:ascii="Arial" w:eastAsia="Arial" w:hAnsi="Arial" w:cs="Arial"/>
      <w:b/>
      <w:bCs/>
      <w:spacing w:val="20"/>
      <w:sz w:val="27"/>
      <w:szCs w:val="27"/>
    </w:rPr>
  </w:style>
  <w:style w:type="paragraph" w:customStyle="1" w:styleId="Heading10">
    <w:name w:val="Heading #1"/>
    <w:basedOn w:val="Normal"/>
    <w:link w:val="Heading1"/>
    <w:pPr>
      <w:spacing w:line="0" w:lineRule="atLeast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BodyText1">
    <w:name w:val="Body Text1"/>
    <w:basedOn w:val="Normal"/>
    <w:link w:val="Bodytext"/>
    <w:pPr>
      <w:spacing w:line="235" w:lineRule="exact"/>
      <w:ind w:hanging="4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caption0">
    <w:name w:val="Table caption"/>
    <w:basedOn w:val="Normal"/>
    <w:link w:val="Tablecaption"/>
    <w:pPr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50">
    <w:name w:val="Body text (5)"/>
    <w:basedOn w:val="Normal"/>
    <w:link w:val="Bodytext5"/>
    <w:pPr>
      <w:spacing w:line="0" w:lineRule="atLeast"/>
      <w:ind w:hanging="28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2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B6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C2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B6F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66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5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53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53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D2E21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2018-09-20T22:49:00Z</dcterms:created>
  <dcterms:modified xsi:type="dcterms:W3CDTF">2019-07-10T02:03:00Z</dcterms:modified>
</cp:coreProperties>
</file>