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632B">
      <w:r>
        <w:rPr>
          <w:noProof/>
          <w:sz w:val="20"/>
          <w:szCs w:val="20"/>
        </w:rPr>
        <w:drawing>
          <wp:inline distT="0" distB="0" distL="0" distR="0">
            <wp:extent cx="1760855" cy="1296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58" w:rsidRDefault="000B2058" w:rsidP="000B2058"/>
    <w:p w:rsidR="000B2058" w:rsidRDefault="000B2058" w:rsidP="000B2058">
      <w:pPr>
        <w:spacing w:line="240" w:lineRule="auto"/>
      </w:pPr>
    </w:p>
    <w:p w:rsidR="000B2058" w:rsidRDefault="000B2058" w:rsidP="000B2058"/>
    <w:p w:rsidR="000B2058" w:rsidRDefault="000B2058" w:rsidP="000B2058"/>
    <w:p w:rsidR="000B2058" w:rsidRDefault="000B2058" w:rsidP="000B2058"/>
    <w:p w:rsidR="000B2058" w:rsidRDefault="000B2058" w:rsidP="000B2058"/>
    <w:p w:rsidR="00000000" w:rsidRDefault="00E3632B" w:rsidP="000B2058">
      <w:pPr>
        <w:pStyle w:val="ShortT"/>
        <w:spacing w:before="0"/>
        <w:rPr>
          <w:color w:val="000000"/>
        </w:rPr>
      </w:pPr>
      <w:r>
        <w:rPr>
          <w:color w:val="000000"/>
        </w:rPr>
        <w:t xml:space="preserve">Privy </w:t>
      </w:r>
      <w:r>
        <w:rPr>
          <w:color w:val="000000"/>
        </w:rPr>
        <w:t>Council (Appeals from the High Court) Act 1975</w:t>
      </w:r>
    </w:p>
    <w:p w:rsidR="000B2058" w:rsidRDefault="000B2058" w:rsidP="000B2058"/>
    <w:p w:rsidR="000B2058" w:rsidRPr="000B2058" w:rsidRDefault="00E3632B" w:rsidP="000B2058">
      <w:pPr>
        <w:pStyle w:val="Actno"/>
        <w:spacing w:before="400"/>
        <w:rPr>
          <w:sz w:val="32"/>
          <w:szCs w:val="32"/>
        </w:rPr>
      </w:pPr>
      <w:r w:rsidRPr="000B2058">
        <w:rPr>
          <w:sz w:val="32"/>
          <w:szCs w:val="32"/>
        </w:rPr>
        <w:t>No. 33</w:t>
      </w:r>
      <w:r w:rsidRPr="000B2058">
        <w:rPr>
          <w:color w:val="000000"/>
          <w:sz w:val="32"/>
          <w:szCs w:val="32"/>
        </w:rPr>
        <w:t xml:space="preserve"> of 1975</w:t>
      </w:r>
    </w:p>
    <w:p w:rsidR="000B2058" w:rsidRDefault="000B2058" w:rsidP="000B2058"/>
    <w:p w:rsidR="000B2058" w:rsidRDefault="000B2058" w:rsidP="000B2058"/>
    <w:p w:rsidR="000B2058" w:rsidRDefault="000B2058" w:rsidP="000B2058"/>
    <w:p w:rsidR="000B2058" w:rsidRDefault="000B2058" w:rsidP="000B2058"/>
    <w:p w:rsidR="000B2058" w:rsidRDefault="000B2058" w:rsidP="000B2058"/>
    <w:p w:rsidR="000B2058" w:rsidRDefault="000B2058" w:rsidP="000B2058">
      <w:pPr>
        <w:pStyle w:val="LongT"/>
      </w:pPr>
      <w:r>
        <w:t>An Act to limit further the matters in which Special Leave of Appeal from the High Court of Australia to Her Majesty in Council may be asked</w:t>
      </w:r>
    </w:p>
    <w:p w:rsidR="00000000" w:rsidRDefault="00E3632B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000000" w:rsidRDefault="00E3632B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000000" w:rsidRDefault="00E3632B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E3632B">
      <w:pPr>
        <w:sectPr w:rsidR="0000000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3827" w:left="2410" w:header="567" w:footer="3118" w:gutter="0"/>
          <w:pgNumType w:start="1"/>
          <w:cols w:space="709"/>
          <w:titlePg/>
        </w:sectPr>
      </w:pPr>
    </w:p>
    <w:p w:rsidR="00000000" w:rsidRDefault="00E3632B">
      <w:pPr>
        <w:pStyle w:val="Contents"/>
      </w:pPr>
      <w:r>
        <w:lastRenderedPageBreak/>
        <w:t>Contents</w:t>
      </w:r>
    </w:p>
    <w:p w:rsidR="002D130F" w:rsidRDefault="002D130F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5254317" w:history="1">
        <w:r w:rsidRPr="007A679C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D130F" w:rsidRDefault="002D130F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254318" w:history="1">
        <w:r w:rsidRPr="007A679C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D130F" w:rsidRDefault="002D130F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254319" w:history="1">
        <w:r w:rsidRPr="007A679C">
          <w:rPr>
            <w:rStyle w:val="Hyperlink"/>
            <w:noProof/>
          </w:rPr>
          <w:t>3  Further limitation of matters in which special leave of appeal from the High Court may be asked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0000" w:rsidRDefault="002D130F">
      <w:r>
        <w:rPr>
          <w:kern w:val="28"/>
          <w:sz w:val="18"/>
          <w:szCs w:val="18"/>
        </w:rPr>
        <w:fldChar w:fldCharType="end"/>
      </w:r>
    </w:p>
    <w:p w:rsidR="00000000" w:rsidRDefault="00E3632B">
      <w:pPr>
        <w:sectPr w:rsidR="00000000" w:rsidSect="00FA7F77">
          <w:headerReference w:type="even" r:id="rId14"/>
          <w:headerReference w:type="default" r:id="rId15"/>
          <w:pgSz w:w="11906" w:h="16838" w:code="9"/>
          <w:pgMar w:top="2268" w:right="2410" w:bottom="3827" w:left="2410" w:header="567" w:footer="3118" w:gutter="0"/>
          <w:pgNumType w:fmt="lowerRoman" w:start="1"/>
          <w:cols w:space="709"/>
        </w:sectPr>
      </w:pPr>
    </w:p>
    <w:p w:rsidR="00DD7D32" w:rsidRDefault="00E3632B" w:rsidP="00DD7D32">
      <w:r>
        <w:rPr>
          <w:noProof/>
          <w:sz w:val="20"/>
          <w:szCs w:val="20"/>
        </w:rPr>
        <w:lastRenderedPageBreak/>
        <w:drawing>
          <wp:inline distT="0" distB="0" distL="0" distR="0">
            <wp:extent cx="1760855" cy="1296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32" w:rsidRDefault="00DD7D32" w:rsidP="00DD7D32"/>
    <w:p w:rsidR="00DD7D32" w:rsidRDefault="00DD7D32" w:rsidP="00DD7D32"/>
    <w:p w:rsidR="00DD7D32" w:rsidRDefault="00DD7D32" w:rsidP="00DD7D32">
      <w:pPr>
        <w:pStyle w:val="ShortT"/>
        <w:spacing w:before="800"/>
        <w:rPr>
          <w:color w:val="000000"/>
        </w:rPr>
      </w:pPr>
      <w:r>
        <w:rPr>
          <w:color w:val="000000"/>
        </w:rPr>
        <w:t>Privy Council (Appeals from the High Court) Act 1975</w:t>
      </w:r>
    </w:p>
    <w:p w:rsidR="00DD7D32" w:rsidRPr="00E3632B" w:rsidRDefault="00DD7D32" w:rsidP="00DD7D32">
      <w:pPr>
        <w:pStyle w:val="Actno"/>
        <w:spacing w:before="800"/>
        <w:rPr>
          <w:sz w:val="28"/>
          <w:szCs w:val="28"/>
        </w:rPr>
      </w:pPr>
      <w:bookmarkStart w:id="0" w:name="_GoBack"/>
      <w:r w:rsidRPr="00E3632B">
        <w:rPr>
          <w:sz w:val="28"/>
          <w:szCs w:val="28"/>
        </w:rPr>
        <w:t>No. 33</w:t>
      </w:r>
      <w:r w:rsidRPr="00E3632B">
        <w:rPr>
          <w:color w:val="000000"/>
          <w:sz w:val="28"/>
          <w:szCs w:val="28"/>
        </w:rPr>
        <w:t xml:space="preserve"> of 1975</w:t>
      </w:r>
    </w:p>
    <w:bookmarkEnd w:id="0"/>
    <w:p w:rsidR="00DD7D32" w:rsidRPr="009A0728" w:rsidRDefault="00DD7D32" w:rsidP="00DD7D32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D7D32" w:rsidRPr="009A0728" w:rsidRDefault="00DD7D32" w:rsidP="00DD7D32">
      <w:pPr>
        <w:spacing w:line="40" w:lineRule="exact"/>
        <w:rPr>
          <w:rFonts w:eastAsia="Calibri"/>
          <w:b/>
          <w:sz w:val="28"/>
        </w:rPr>
      </w:pPr>
    </w:p>
    <w:p w:rsidR="00DD7D32" w:rsidRPr="009A0728" w:rsidRDefault="00DD7D32" w:rsidP="00DD7D32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00000" w:rsidRDefault="00E3632B" w:rsidP="00DD7D32">
      <w:pPr>
        <w:pStyle w:val="LongT"/>
        <w:spacing w:before="400"/>
      </w:pPr>
      <w:r>
        <w:t>An Act to limit further the matters in which Special Leave of Appeal from the High Court of Australia to Her Majesty in Council may be asked</w:t>
      </w:r>
    </w:p>
    <w:p w:rsidR="00DD7D32" w:rsidRDefault="00DD7D32" w:rsidP="00DD7D32">
      <w:pPr>
        <w:pStyle w:val="AssentDt"/>
        <w:spacing w:before="240"/>
        <w:rPr>
          <w:sz w:val="24"/>
        </w:rPr>
      </w:pPr>
      <w:bookmarkStart w:id="1" w:name="_Toc7858547"/>
      <w:r>
        <w:rPr>
          <w:sz w:val="24"/>
        </w:rPr>
        <w:t>[</w:t>
      </w:r>
      <w:r>
        <w:rPr>
          <w:i/>
          <w:sz w:val="24"/>
        </w:rPr>
        <w:t xml:space="preserve">Assented to </w:t>
      </w:r>
      <w:r>
        <w:rPr>
          <w:i/>
          <w:sz w:val="24"/>
        </w:rPr>
        <w:t>30 April 1975</w:t>
      </w:r>
      <w:r>
        <w:rPr>
          <w:sz w:val="24"/>
        </w:rPr>
        <w:t>]</w:t>
      </w:r>
    </w:p>
    <w:p w:rsidR="00DD7D32" w:rsidRPr="00B36CFA" w:rsidRDefault="00DD7D32" w:rsidP="00DD7D32">
      <w:pPr>
        <w:spacing w:before="240" w:line="240" w:lineRule="auto"/>
        <w:rPr>
          <w:sz w:val="32"/>
        </w:rPr>
      </w:pPr>
      <w:r w:rsidRPr="00B36CFA">
        <w:rPr>
          <w:sz w:val="32"/>
        </w:rPr>
        <w:t>The Parliament of Australia enacts:</w:t>
      </w:r>
    </w:p>
    <w:p w:rsidR="00000000" w:rsidRDefault="00E3632B">
      <w:pPr>
        <w:pStyle w:val="Heading5"/>
        <w:rPr>
          <w:b w:val="0"/>
          <w:bCs w:val="0"/>
          <w:sz w:val="18"/>
          <w:szCs w:val="18"/>
        </w:rPr>
      </w:pPr>
      <w:bookmarkStart w:id="2" w:name="_Toc425254317"/>
      <w:r>
        <w:rPr>
          <w:rStyle w:val="CharSectno"/>
        </w:rPr>
        <w:t>1</w:t>
      </w:r>
      <w:r>
        <w:t xml:space="preserve">  Short title</w:t>
      </w:r>
      <w:bookmarkEnd w:id="1"/>
      <w:bookmarkEnd w:id="2"/>
    </w:p>
    <w:p w:rsidR="00000000" w:rsidRDefault="00E3632B">
      <w:pPr>
        <w:pStyle w:val="Subsection"/>
      </w:pPr>
      <w:r>
        <w:tab/>
      </w:r>
      <w:r>
        <w:tab/>
        <w:t>T</w:t>
      </w:r>
      <w:r>
        <w:t xml:space="preserve">his Act may be cited as the </w:t>
      </w:r>
      <w:r>
        <w:rPr>
          <w:i/>
          <w:iCs/>
        </w:rPr>
        <w:t>Privy Council (Appeals from the High Court) Act 1975</w:t>
      </w:r>
      <w:r>
        <w:t>.</w:t>
      </w:r>
    </w:p>
    <w:p w:rsidR="00000000" w:rsidRDefault="00E3632B">
      <w:pPr>
        <w:pStyle w:val="Heading5"/>
        <w:rPr>
          <w:b w:val="0"/>
          <w:bCs w:val="0"/>
          <w:sz w:val="18"/>
          <w:szCs w:val="18"/>
        </w:rPr>
      </w:pPr>
      <w:bookmarkStart w:id="3" w:name="_Toc7858548"/>
      <w:bookmarkStart w:id="4" w:name="_Toc425254318"/>
      <w:r>
        <w:rPr>
          <w:rStyle w:val="CharSectno"/>
        </w:rPr>
        <w:t>2</w:t>
      </w:r>
      <w:r>
        <w:t xml:space="preserve">  Commencement</w:t>
      </w:r>
      <w:bookmarkEnd w:id="3"/>
      <w:bookmarkEnd w:id="4"/>
    </w:p>
    <w:p w:rsidR="00000000" w:rsidRDefault="00E3632B">
      <w:pPr>
        <w:pStyle w:val="Subsection"/>
      </w:pPr>
      <w:r>
        <w:tab/>
      </w:r>
      <w:r>
        <w:tab/>
        <w:t>This Act shall come into operation on a date to be fixed by Proclamation, being a date after the da</w:t>
      </w:r>
      <w:r>
        <w:t>te on which the Governor</w:t>
      </w:r>
      <w:r>
        <w:noBreakHyphen/>
        <w:t>General makes known under section 60 of the Constitution that this Act has received the Queen’s assent.</w:t>
      </w:r>
    </w:p>
    <w:p w:rsidR="00000000" w:rsidRDefault="00E3632B">
      <w:pPr>
        <w:pStyle w:val="Heading5"/>
      </w:pPr>
      <w:bookmarkStart w:id="5" w:name="_Toc7858549"/>
      <w:bookmarkStart w:id="6" w:name="_Toc425254319"/>
      <w:r>
        <w:rPr>
          <w:rStyle w:val="CharSectno"/>
        </w:rPr>
        <w:t>3</w:t>
      </w:r>
      <w:r>
        <w:t xml:space="preserve">  Further limitation of matters in which special leave of appeal from the High Court may be asked</w:t>
      </w:r>
      <w:bookmarkEnd w:id="5"/>
      <w:bookmarkEnd w:id="6"/>
    </w:p>
    <w:p w:rsidR="00000000" w:rsidRDefault="00E3632B">
      <w:pPr>
        <w:pStyle w:val="Subsection"/>
      </w:pPr>
      <w:r>
        <w:tab/>
      </w:r>
      <w:r>
        <w:tab/>
        <w:t xml:space="preserve">Special leave of appeal to Her Majesty in Council from a decision of the High Court shall not be asked in a matter in which such special leave of appeal could, but for this Act, have been asked in accordance with section 3 of the </w:t>
      </w:r>
      <w:r>
        <w:rPr>
          <w:i/>
          <w:iCs/>
        </w:rPr>
        <w:t>P</w:t>
      </w:r>
      <w:r>
        <w:rPr>
          <w:i/>
          <w:iCs/>
        </w:rPr>
        <w:t>rivy Council (Limitations of Appeals) Act 1968</w:t>
      </w:r>
      <w:r>
        <w:rPr>
          <w:i/>
          <w:iCs/>
        </w:rPr>
        <w:noBreakHyphen/>
        <w:t>1973</w:t>
      </w:r>
      <w:r>
        <w:t xml:space="preserve"> unless the decision of the High Court was given in a proceeding that was commenced in a court before the date of commencement of this Act.</w:t>
      </w:r>
    </w:p>
    <w:p w:rsidR="00000000" w:rsidRDefault="00E3632B"/>
    <w:p w:rsidR="00461515" w:rsidRDefault="00461515"/>
    <w:p w:rsidR="00461515" w:rsidRDefault="00461515"/>
    <w:p w:rsidR="00000000" w:rsidRDefault="00E3632B">
      <w:pPr>
        <w:pStyle w:val="EndNote"/>
      </w:pPr>
    </w:p>
    <w:p w:rsidR="00000000" w:rsidRDefault="00E3632B">
      <w:pPr>
        <w:sectPr w:rsidR="00000000" w:rsidSect="00461515">
          <w:headerReference w:type="even" r:id="rId16"/>
          <w:headerReference w:type="default" r:id="rId17"/>
          <w:headerReference w:type="first" r:id="rId18"/>
          <w:footerReference w:type="first" r:id="rId19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9"/>
          <w:titlePg/>
        </w:sectPr>
      </w:pPr>
    </w:p>
    <w:p w:rsidR="00000000" w:rsidRDefault="00E3632B"/>
    <w:sectPr w:rsidR="00000000">
      <w:headerReference w:type="even" r:id="rId20"/>
      <w:headerReference w:type="default" r:id="rId21"/>
      <w:type w:val="continuous"/>
      <w:pgSz w:w="11906" w:h="16838"/>
      <w:pgMar w:top="2268" w:right="2410" w:bottom="3827" w:left="2410" w:header="567" w:footer="31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632B">
      <w:pPr>
        <w:spacing w:line="240" w:lineRule="auto"/>
      </w:pPr>
      <w:r>
        <w:separator/>
      </w:r>
    </w:p>
  </w:endnote>
  <w:endnote w:type="continuationSeparator" w:id="0">
    <w:p w:rsidR="00000000" w:rsidRDefault="00E36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pBdr>
        <w:top w:val="single" w:sz="6" w:space="1" w:color="auto"/>
      </w:pBdr>
      <w:rPr>
        <w:sz w:val="18"/>
        <w:szCs w:val="18"/>
      </w:rPr>
    </w:pPr>
  </w:p>
  <w:p w:rsidR="00461515" w:rsidRPr="00461515" w:rsidRDefault="00E3632B">
    <w:pPr>
      <w:rPr>
        <w:i/>
        <w:iCs/>
        <w:sz w:val="18"/>
        <w:szCs w:val="18"/>
      </w:rPr>
    </w:pPr>
    <w:r w:rsidRPr="00461515">
      <w:rPr>
        <w:i/>
        <w:iCs/>
        <w:sz w:val="18"/>
        <w:szCs w:val="18"/>
      </w:rPr>
      <w:fldChar w:fldCharType="begin"/>
    </w:r>
    <w:r w:rsidRPr="00461515">
      <w:rPr>
        <w:i/>
        <w:iCs/>
        <w:sz w:val="18"/>
        <w:szCs w:val="18"/>
      </w:rPr>
      <w:instrText xml:space="preserve"> PAGE </w:instrText>
    </w:r>
    <w:r w:rsidRPr="00461515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 w:rsidRPr="00461515">
      <w:rPr>
        <w:i/>
        <w:iCs/>
        <w:sz w:val="18"/>
        <w:szCs w:val="18"/>
      </w:rPr>
      <w:fldChar w:fldCharType="end"/>
    </w:r>
    <w:r w:rsidRPr="00461515">
      <w:rPr>
        <w:i/>
        <w:iCs/>
        <w:sz w:val="18"/>
        <w:szCs w:val="18"/>
      </w:rPr>
      <w:t xml:space="preserve">            </w:t>
    </w:r>
    <w:r w:rsidRPr="00461515">
      <w:rPr>
        <w:i/>
        <w:iCs/>
        <w:sz w:val="18"/>
        <w:szCs w:val="18"/>
      </w:rPr>
      <w:fldChar w:fldCharType="begin"/>
    </w:r>
    <w:r w:rsidRPr="00461515">
      <w:rPr>
        <w:i/>
        <w:iCs/>
        <w:sz w:val="18"/>
        <w:szCs w:val="18"/>
      </w:rPr>
      <w:instrText xml:space="preserve"> STYLEREF ShortT </w:instrText>
    </w:r>
    <w:r w:rsidRPr="00461515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Privy Council (Appeals from the High Court) Act 1975</w:t>
    </w:r>
    <w:r w:rsidRPr="00461515">
      <w:rPr>
        <w:i/>
        <w:iCs/>
        <w:sz w:val="18"/>
        <w:szCs w:val="18"/>
      </w:rPr>
      <w:fldChar w:fldCharType="end"/>
    </w:r>
    <w:r w:rsidRPr="00461515">
      <w:rPr>
        <w:i/>
        <w:iCs/>
        <w:sz w:val="18"/>
        <w:szCs w:val="18"/>
      </w:rPr>
      <w:t xml:space="preserve">       </w:t>
    </w:r>
    <w:r w:rsidR="00461515" w:rsidRPr="00461515">
      <w:rPr>
        <w:i/>
        <w:iCs/>
        <w:sz w:val="18"/>
        <w:szCs w:val="18"/>
      </w:rPr>
      <w:fldChar w:fldCharType="begin"/>
    </w:r>
    <w:r w:rsidR="00461515" w:rsidRPr="00461515">
      <w:rPr>
        <w:i/>
        <w:iCs/>
        <w:sz w:val="18"/>
        <w:szCs w:val="18"/>
      </w:rPr>
      <w:instrText xml:space="preserve"> STYLEREF  Actno </w:instrText>
    </w:r>
    <w:r w:rsidR="00461515" w:rsidRPr="00461515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33 of 1975</w:t>
    </w:r>
    <w:r w:rsidR="00461515" w:rsidRPr="00461515"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pBdr>
        <w:top w:val="single" w:sz="6" w:space="1" w:color="auto"/>
      </w:pBdr>
      <w:rPr>
        <w:sz w:val="18"/>
        <w:szCs w:val="18"/>
      </w:rPr>
    </w:pPr>
  </w:p>
  <w:p w:rsidR="00000000" w:rsidRPr="00FA7F77" w:rsidRDefault="00FA7F77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 Actno </w:instrText>
    </w:r>
    <w:r>
      <w:rPr>
        <w:i/>
        <w:iCs/>
        <w:sz w:val="18"/>
        <w:szCs w:val="18"/>
      </w:rPr>
      <w:fldChar w:fldCharType="separate"/>
    </w:r>
    <w:r w:rsidR="00E3632B">
      <w:rPr>
        <w:i/>
        <w:iCs/>
        <w:noProof/>
        <w:sz w:val="18"/>
        <w:szCs w:val="18"/>
      </w:rPr>
      <w:t>No. 33 of 1975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 w:rsidR="00E3632B" w:rsidRPr="00FA7F77">
      <w:rPr>
        <w:i/>
        <w:iCs/>
        <w:sz w:val="18"/>
        <w:szCs w:val="18"/>
      </w:rPr>
      <w:fldChar w:fldCharType="begin"/>
    </w:r>
    <w:r w:rsidR="00E3632B" w:rsidRPr="00FA7F77">
      <w:rPr>
        <w:i/>
        <w:iCs/>
        <w:sz w:val="18"/>
        <w:szCs w:val="18"/>
      </w:rPr>
      <w:instrText xml:space="preserve"> STYLEREF ShortT </w:instrText>
    </w:r>
    <w:r w:rsidR="00E3632B" w:rsidRPr="00FA7F77">
      <w:rPr>
        <w:i/>
        <w:iCs/>
        <w:sz w:val="18"/>
        <w:szCs w:val="18"/>
      </w:rPr>
      <w:fldChar w:fldCharType="separate"/>
    </w:r>
    <w:r w:rsidR="00E3632B">
      <w:rPr>
        <w:i/>
        <w:iCs/>
        <w:noProof/>
        <w:sz w:val="18"/>
        <w:szCs w:val="18"/>
      </w:rPr>
      <w:t>Privy Council (Appeals from the High Court) Act 1975</w:t>
    </w:r>
    <w:r w:rsidR="00E3632B" w:rsidRPr="00FA7F77">
      <w:rPr>
        <w:i/>
        <w:iCs/>
        <w:sz w:val="18"/>
        <w:szCs w:val="18"/>
      </w:rPr>
      <w:fldChar w:fldCharType="end"/>
    </w:r>
    <w:r w:rsidR="00E3632B" w:rsidRPr="00FA7F77">
      <w:rPr>
        <w:i/>
        <w:iCs/>
        <w:sz w:val="18"/>
        <w:szCs w:val="18"/>
      </w:rPr>
      <w:t xml:space="preserve">        </w:t>
    </w:r>
    <w:r w:rsidR="00E3632B" w:rsidRPr="00FA7F77">
      <w:rPr>
        <w:i/>
        <w:iCs/>
        <w:sz w:val="18"/>
        <w:szCs w:val="18"/>
      </w:rPr>
      <w:t xml:space="preserve">    </w:t>
    </w:r>
    <w:r w:rsidR="00E3632B" w:rsidRPr="00FA7F77">
      <w:rPr>
        <w:i/>
        <w:iCs/>
        <w:sz w:val="18"/>
        <w:szCs w:val="18"/>
      </w:rPr>
      <w:fldChar w:fldCharType="begin"/>
    </w:r>
    <w:r w:rsidR="00E3632B" w:rsidRPr="00FA7F77">
      <w:rPr>
        <w:i/>
        <w:iCs/>
        <w:sz w:val="18"/>
        <w:szCs w:val="18"/>
      </w:rPr>
      <w:instrText xml:space="preserve"> PAGE </w:instrText>
    </w:r>
    <w:r w:rsidR="00E3632B" w:rsidRPr="00FA7F77">
      <w:rPr>
        <w:i/>
        <w:iCs/>
        <w:sz w:val="18"/>
        <w:szCs w:val="18"/>
      </w:rPr>
      <w:fldChar w:fldCharType="separate"/>
    </w:r>
    <w:r w:rsidR="00E3632B">
      <w:rPr>
        <w:i/>
        <w:iCs/>
        <w:noProof/>
        <w:sz w:val="18"/>
        <w:szCs w:val="18"/>
      </w:rPr>
      <w:t>i</w:t>
    </w:r>
    <w:r w:rsidR="00E3632B" w:rsidRPr="00FA7F77"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pBdr>
        <w:top w:val="single" w:sz="6" w:space="1" w:color="auto"/>
      </w:pBdr>
      <w:jc w:val="right"/>
      <w:rPr>
        <w:i/>
        <w:iCs/>
        <w:sz w:val="18"/>
        <w:szCs w:val="18"/>
      </w:rPr>
    </w:pPr>
  </w:p>
  <w:p w:rsidR="00000000" w:rsidRPr="00461515" w:rsidRDefault="00E3632B">
    <w:pPr>
      <w:pBdr>
        <w:top w:val="single" w:sz="6" w:space="1" w:color="auto"/>
      </w:pBdr>
      <w:jc w:val="right"/>
      <w:rPr>
        <w:i/>
        <w:iCs/>
        <w:sz w:val="18"/>
        <w:szCs w:val="18"/>
      </w:rPr>
    </w:pPr>
    <w:r w:rsidRPr="00461515">
      <w:rPr>
        <w:i/>
        <w:iCs/>
        <w:sz w:val="18"/>
        <w:szCs w:val="18"/>
      </w:rPr>
      <w:fldChar w:fldCharType="begin"/>
    </w:r>
    <w:r w:rsidRPr="00461515">
      <w:rPr>
        <w:i/>
        <w:iCs/>
        <w:sz w:val="18"/>
        <w:szCs w:val="18"/>
      </w:rPr>
      <w:instrText xml:space="preserve"> STYLEREF ShortT </w:instrText>
    </w:r>
    <w:r w:rsidRPr="00461515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Privy Council (Appeals from the High Court) Act 1975</w:t>
    </w:r>
    <w:r w:rsidRPr="00461515">
      <w:rPr>
        <w:i/>
        <w:iCs/>
        <w:sz w:val="18"/>
        <w:szCs w:val="18"/>
      </w:rPr>
      <w:fldChar w:fldCharType="end"/>
    </w:r>
    <w:r w:rsidRPr="00461515">
      <w:rPr>
        <w:i/>
        <w:iCs/>
        <w:sz w:val="18"/>
        <w:szCs w:val="18"/>
      </w:rPr>
      <w:t xml:space="preserve">         </w:t>
    </w:r>
    <w:r w:rsidR="00461515" w:rsidRPr="00461515">
      <w:rPr>
        <w:i/>
        <w:iCs/>
        <w:sz w:val="18"/>
        <w:szCs w:val="18"/>
      </w:rPr>
      <w:fldChar w:fldCharType="begin"/>
    </w:r>
    <w:r w:rsidR="00461515" w:rsidRPr="00461515">
      <w:rPr>
        <w:i/>
        <w:iCs/>
        <w:sz w:val="18"/>
        <w:szCs w:val="18"/>
      </w:rPr>
      <w:instrText xml:space="preserve"> STYLEREF  Actno </w:instrText>
    </w:r>
    <w:r w:rsidR="00461515" w:rsidRPr="00461515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33 of 1975</w:t>
    </w:r>
    <w:r w:rsidR="00461515" w:rsidRPr="00461515">
      <w:rPr>
        <w:i/>
        <w:iCs/>
        <w:sz w:val="18"/>
        <w:szCs w:val="18"/>
      </w:rPr>
      <w:fldChar w:fldCharType="end"/>
    </w:r>
    <w:r w:rsidRPr="00461515">
      <w:rPr>
        <w:i/>
        <w:iCs/>
        <w:sz w:val="18"/>
        <w:szCs w:val="18"/>
      </w:rPr>
      <w:t xml:space="preserve">          </w:t>
    </w:r>
    <w:r w:rsidRPr="00461515">
      <w:rPr>
        <w:i/>
        <w:iCs/>
        <w:sz w:val="18"/>
        <w:szCs w:val="18"/>
      </w:rPr>
      <w:fldChar w:fldCharType="begin"/>
    </w:r>
    <w:r w:rsidRPr="00461515">
      <w:rPr>
        <w:i/>
        <w:iCs/>
        <w:sz w:val="18"/>
        <w:szCs w:val="18"/>
      </w:rPr>
      <w:instrText xml:space="preserve"> PAGE </w:instrText>
    </w:r>
    <w:r w:rsidRPr="00461515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 w:rsidRPr="0046151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632B">
      <w:pPr>
        <w:spacing w:line="240" w:lineRule="auto"/>
      </w:pPr>
      <w:r>
        <w:separator/>
      </w:r>
    </w:p>
  </w:footnote>
  <w:footnote w:type="continuationSeparator" w:id="0">
    <w:p w:rsidR="00000000" w:rsidRDefault="00E36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jc w:val="right"/>
    </w:pPr>
  </w:p>
  <w:p w:rsidR="00000000" w:rsidRDefault="00E3632B">
    <w:pPr>
      <w:jc w:val="right"/>
      <w:rPr>
        <w:i/>
        <w:iCs/>
      </w:rPr>
    </w:pPr>
  </w:p>
  <w:p w:rsidR="00000000" w:rsidRDefault="00E3632B">
    <w:pPr>
      <w:jc w:val="right"/>
    </w:pPr>
  </w:p>
  <w:p w:rsidR="00000000" w:rsidRDefault="00E3632B">
    <w:pPr>
      <w:jc w:val="right"/>
    </w:pPr>
  </w:p>
  <w:p w:rsidR="00000000" w:rsidRDefault="00E3632B">
    <w:pPr>
      <w:pBdr>
        <w:bottom w:val="single" w:sz="12" w:space="1" w:color="auto"/>
      </w:pBdr>
      <w:jc w:val="right"/>
      <w:rPr>
        <w:i/>
        <w:iCs/>
      </w:rPr>
    </w:pPr>
  </w:p>
  <w:p w:rsidR="00000000" w:rsidRDefault="00E36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jc w:val="right"/>
    </w:pPr>
  </w:p>
  <w:p w:rsidR="00000000" w:rsidRDefault="00E3632B">
    <w:pPr>
      <w:jc w:val="right"/>
      <w:rPr>
        <w:i/>
        <w:iCs/>
      </w:rPr>
    </w:pPr>
  </w:p>
  <w:p w:rsidR="00000000" w:rsidRDefault="00E3632B">
    <w:pPr>
      <w:jc w:val="right"/>
    </w:pPr>
  </w:p>
  <w:p w:rsidR="00000000" w:rsidRDefault="00E3632B">
    <w:pPr>
      <w:jc w:val="right"/>
    </w:pPr>
  </w:p>
  <w:p w:rsidR="00000000" w:rsidRDefault="00E3632B">
    <w:pPr>
      <w:pBdr>
        <w:bottom w:val="single" w:sz="12" w:space="1" w:color="auto"/>
      </w:pBdr>
      <w:jc w:val="right"/>
      <w:rPr>
        <w:i/>
        <w:iCs/>
      </w:rPr>
    </w:pPr>
  </w:p>
  <w:p w:rsidR="00000000" w:rsidRDefault="00E363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jc w:val="right"/>
    </w:pPr>
  </w:p>
  <w:p w:rsidR="00000000" w:rsidRDefault="00E3632B">
    <w:pPr>
      <w:jc w:val="right"/>
      <w:rPr>
        <w:i/>
        <w:iCs/>
      </w:rPr>
    </w:pPr>
  </w:p>
  <w:p w:rsidR="00000000" w:rsidRDefault="00E3632B">
    <w:pPr>
      <w:jc w:val="right"/>
    </w:pPr>
  </w:p>
  <w:p w:rsidR="00000000" w:rsidRDefault="00E3632B">
    <w:pPr>
      <w:jc w:val="right"/>
    </w:pPr>
  </w:p>
  <w:p w:rsidR="00000000" w:rsidRDefault="00E3632B">
    <w:pPr>
      <w:pBdr>
        <w:bottom w:val="single" w:sz="12" w:space="1" w:color="auto"/>
      </w:pBdr>
      <w:jc w:val="right"/>
      <w:rPr>
        <w:i/>
        <w:iCs/>
      </w:rPr>
    </w:pPr>
  </w:p>
  <w:p w:rsidR="00000000" w:rsidRDefault="00E363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jc w:val="right"/>
    </w:pPr>
  </w:p>
  <w:p w:rsidR="00000000" w:rsidRDefault="00E3632B">
    <w:pPr>
      <w:jc w:val="right"/>
      <w:rPr>
        <w:i/>
        <w:iCs/>
      </w:rPr>
    </w:pPr>
  </w:p>
  <w:p w:rsidR="00000000" w:rsidRDefault="00E3632B">
    <w:pPr>
      <w:jc w:val="right"/>
    </w:pPr>
  </w:p>
  <w:p w:rsidR="00000000" w:rsidRDefault="00E3632B">
    <w:pPr>
      <w:jc w:val="right"/>
    </w:pPr>
  </w:p>
  <w:p w:rsidR="00000000" w:rsidRDefault="00E3632B">
    <w:pPr>
      <w:pBdr>
        <w:bottom w:val="single" w:sz="12" w:space="1" w:color="auto"/>
      </w:pBdr>
      <w:jc w:val="right"/>
      <w:rPr>
        <w:i/>
        <w:iCs/>
      </w:rPr>
    </w:pPr>
  </w:p>
  <w:p w:rsidR="00000000" w:rsidRDefault="00E3632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15" w:rsidRDefault="00461515" w:rsidP="0046151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61515" w:rsidRDefault="00461515" w:rsidP="0046151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61515" w:rsidRPr="007A1328" w:rsidRDefault="00461515" w:rsidP="0046151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61515" w:rsidRPr="007A1328" w:rsidRDefault="00461515" w:rsidP="00461515">
    <w:pPr>
      <w:rPr>
        <w:b/>
        <w:sz w:val="24"/>
      </w:rPr>
    </w:pPr>
  </w:p>
  <w:p w:rsidR="00461515" w:rsidRPr="007A1328" w:rsidRDefault="00461515" w:rsidP="00461515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632B">
      <w:rPr>
        <w:noProof/>
        <w:sz w:val="24"/>
      </w:rPr>
      <w:t>2</w:t>
    </w:r>
    <w:r w:rsidRPr="007A1328">
      <w:rPr>
        <w:sz w:val="24"/>
      </w:rPr>
      <w:fldChar w:fldCharType="end"/>
    </w:r>
  </w:p>
  <w:p w:rsidR="00000000" w:rsidRPr="00461515" w:rsidRDefault="00E3632B" w:rsidP="004615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pStyle w:val="headerpartodd"/>
      <w:jc w:val="right"/>
    </w:pPr>
  </w:p>
  <w:p w:rsidR="00000000" w:rsidRDefault="00E3632B">
    <w:pPr>
      <w:pStyle w:val="headerpart"/>
      <w:jc w:val="right"/>
      <w:rPr>
        <w:rFonts w:ascii="Helvetica" w:hAnsi="Helvetica" w:cs="Helvetica"/>
        <w:b w:val="0"/>
        <w:bCs w:val="0"/>
      </w:rPr>
    </w:pPr>
    <w:r>
      <w:rPr>
        <w:rFonts w:ascii="Helvetica" w:hAnsi="Helvetica" w:cs="Helvetica"/>
        <w:b w:val="0"/>
        <w:bCs w:val="0"/>
      </w:rPr>
      <w:fldChar w:fldCharType="begin"/>
    </w:r>
    <w:r>
      <w:rPr>
        <w:rFonts w:ascii="Helvetica" w:hAnsi="Helvetica" w:cs="Helvetica"/>
        <w:b w:val="0"/>
        <w:bCs w:val="0"/>
      </w:rPr>
      <w:instrText xml:space="preserve"> STYLEREF CharNotesReg \* charFORMAT </w:instrText>
    </w:r>
    <w:r>
      <w:rPr>
        <w:rFonts w:ascii="Helvetica" w:hAnsi="Helvetica" w:cs="Helvetica"/>
        <w:b w:val="0"/>
        <w:bCs w:val="0"/>
      </w:rPr>
      <w:fldChar w:fldCharType="separate"/>
    </w:r>
    <w:r>
      <w:rPr>
        <w:rFonts w:ascii="Helvetica" w:hAnsi="Helvetica" w:cs="Helvetica"/>
        <w:b w:val="0"/>
        <w:bCs w:val="0"/>
        <w:noProof/>
      </w:rPr>
      <w:t>Notes to the</w:t>
    </w:r>
    <w:r>
      <w:rPr>
        <w:rFonts w:ascii="Helvetica" w:hAnsi="Helvetica" w:cs="Helvetica"/>
        <w:b w:val="0"/>
        <w:bCs w:val="0"/>
      </w:rPr>
      <w:fldChar w:fldCharType="end"/>
    </w:r>
    <w:r>
      <w:rPr>
        <w:rFonts w:ascii="Helvetica" w:hAnsi="Helvetica" w:cs="Helvetica"/>
        <w:b w:val="0"/>
        <w:bCs w:val="0"/>
      </w:rPr>
      <w:t xml:space="preserve"> </w:t>
    </w:r>
    <w:r>
      <w:rPr>
        <w:rFonts w:ascii="Helvetica" w:hAnsi="Helvetica" w:cs="Helvetica"/>
        <w:b w:val="0"/>
        <w:bCs w:val="0"/>
        <w:i/>
        <w:iCs/>
      </w:rPr>
      <w:fldChar w:fldCharType="begin"/>
    </w:r>
    <w:r>
      <w:rPr>
        <w:rFonts w:ascii="Helvetica" w:hAnsi="Helvetica" w:cs="Helvetica"/>
        <w:b w:val="0"/>
        <w:bCs w:val="0"/>
        <w:i/>
        <w:iCs/>
      </w:rPr>
      <w:instrText xml:space="preserve"> STYLEREF CharNotesItals \* charFORMAT </w:instrText>
    </w:r>
    <w:r>
      <w:rPr>
        <w:rFonts w:ascii="Helvetica" w:hAnsi="Helvetica" w:cs="Helvetica"/>
        <w:b w:val="0"/>
        <w:bCs w:val="0"/>
        <w:i/>
        <w:iCs/>
      </w:rPr>
      <w:fldChar w:fldCharType="separate"/>
    </w:r>
    <w:r>
      <w:rPr>
        <w:rFonts w:ascii="Helvetica" w:hAnsi="Helvetica" w:cs="Helvetica"/>
        <w:b w:val="0"/>
        <w:bCs w:val="0"/>
        <w:i/>
        <w:iCs/>
        <w:noProof/>
      </w:rPr>
      <w:t>Privy Council (Appeals from the High Court) Act 1975</w:t>
    </w:r>
    <w:r>
      <w:rPr>
        <w:rFonts w:ascii="Helvetica" w:hAnsi="Helvetica" w:cs="Helvetica"/>
        <w:b w:val="0"/>
        <w:bCs w:val="0"/>
        <w:i/>
        <w:iCs/>
      </w:rPr>
      <w:fldChar w:fldCharType="end"/>
    </w:r>
  </w:p>
  <w:p w:rsidR="00000000" w:rsidRDefault="00E3632B">
    <w:pPr>
      <w:pStyle w:val="headerpart"/>
      <w:jc w:val="right"/>
      <w:rPr>
        <w:rFonts w:ascii="Helvetica" w:hAnsi="Helvetica" w:cs="Helvetica"/>
      </w:rPr>
    </w:pPr>
  </w:p>
  <w:p w:rsidR="00000000" w:rsidRDefault="00E3632B">
    <w:pPr>
      <w:pStyle w:val="headerpart"/>
      <w:jc w:val="right"/>
      <w:rPr>
        <w:rFonts w:ascii="Helvetica" w:hAnsi="Helvetica" w:cs="Helvetica"/>
        <w:sz w:val="24"/>
        <w:szCs w:val="24"/>
      </w:rPr>
    </w:pPr>
  </w:p>
  <w:p w:rsidR="00000000" w:rsidRDefault="00E3632B">
    <w:pPr>
      <w:pBdr>
        <w:bottom w:val="single" w:sz="6" w:space="3" w:color="auto"/>
      </w:pBdr>
      <w:jc w:val="right"/>
      <w:rPr>
        <w:b/>
        <w:bCs/>
      </w:rPr>
    </w:pPr>
    <w:r>
      <w:rPr>
        <w:rFonts w:ascii="Helvetica" w:hAnsi="Helvetica" w:cs="Helvetica"/>
        <w:b/>
        <w:bCs/>
        <w:sz w:val="24"/>
        <w:szCs w:val="24"/>
      </w:rPr>
      <w:t>Table of Acts</w:t>
    </w:r>
  </w:p>
  <w:tbl>
    <w:tblPr>
      <w:tblW w:w="0" w:type="nil"/>
      <w:tblInd w:w="0" w:type="nil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35"/>
      <w:gridCol w:w="1135"/>
      <w:gridCol w:w="1323"/>
      <w:gridCol w:w="1610"/>
      <w:gridCol w:w="1032"/>
    </w:tblGrid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Act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 xml:space="preserve">Number </w:t>
          </w:r>
          <w:r>
            <w:rPr>
              <w:rFonts w:ascii="Helvetica" w:hAnsi="Helvetica" w:cs="Helvetica"/>
              <w:sz w:val="16"/>
              <w:szCs w:val="16"/>
            </w:rPr>
            <w:br/>
            <w:t>and year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 xml:space="preserve">Date </w:t>
          </w:r>
          <w:r>
            <w:rPr>
              <w:rFonts w:ascii="Helvetica" w:hAnsi="Helvetica" w:cs="Helvetica"/>
              <w:sz w:val="16"/>
              <w:szCs w:val="16"/>
            </w:rPr>
            <w:br/>
            <w:t>of Assent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Date of commencement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ind w:right="-108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Application, saving or transitional provisions</w:t>
          </w:r>
        </w:p>
      </w:tc>
    </w:tr>
  </w:tbl>
  <w:p w:rsidR="00000000" w:rsidRDefault="00E3632B">
    <w:pPr>
      <w:pStyle w:val="Header"/>
      <w:pBdr>
        <w:top w:val="single" w:sz="4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 w:rsidP="00461515">
    <w:pPr>
      <w:pStyle w:val="headerpartodd"/>
      <w:jc w:val="right"/>
    </w:pPr>
    <w:r>
      <w:t xml:space="preserve">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/>
  <w:p w:rsidR="00000000" w:rsidRDefault="00E3632B">
    <w:pPr>
      <w:rPr>
        <w:i/>
        <w:iCs/>
      </w:rPr>
    </w:pPr>
    <w:r>
      <w:rPr>
        <w:rFonts w:ascii="Helvetica" w:hAnsi="Helvetica" w:cs="Helvetica"/>
      </w:rPr>
      <w:fldChar w:fldCharType="begin"/>
    </w:r>
    <w:r>
      <w:rPr>
        <w:rFonts w:ascii="Helvetica" w:hAnsi="Helvetica" w:cs="Helvetica"/>
      </w:rPr>
      <w:instrText xml:space="preserve"> STYLEREF CharNotesReg \* charFORMAT </w:instrText>
    </w:r>
    <w:r>
      <w:rPr>
        <w:rFonts w:ascii="Helvetica" w:hAnsi="Helvetica" w:cs="Helvetica"/>
      </w:rPr>
      <w:fldChar w:fldCharType="separate"/>
    </w:r>
    <w:r>
      <w:rPr>
        <w:rFonts w:ascii="Helvetica" w:hAnsi="Helvetica" w:cs="Helvetica"/>
        <w:noProof/>
      </w:rPr>
      <w:t>Notes to the</w:t>
    </w:r>
    <w:r>
      <w:rPr>
        <w:rFonts w:ascii="Helvetica" w:hAnsi="Helvetica" w:cs="Helvetica"/>
      </w:rPr>
      <w:fldChar w:fldCharType="end"/>
    </w:r>
    <w:r>
      <w:rPr>
        <w:rFonts w:ascii="Helvetica" w:hAnsi="Helvetica" w:cs="Helvetica"/>
      </w:rPr>
      <w:t xml:space="preserve"> </w:t>
    </w:r>
    <w:r>
      <w:rPr>
        <w:rFonts w:ascii="Helvetica" w:hAnsi="Helvetica" w:cs="Helvetica"/>
        <w:i/>
        <w:iCs/>
      </w:rPr>
      <w:fldChar w:fldCharType="begin"/>
    </w:r>
    <w:r>
      <w:rPr>
        <w:rFonts w:ascii="Helvetica" w:hAnsi="Helvetica" w:cs="Helvetica"/>
        <w:i/>
        <w:iCs/>
      </w:rPr>
      <w:instrText xml:space="preserve"> STYLEREF CharNotesItals \* charFORMAT </w:instrText>
    </w:r>
    <w:r>
      <w:rPr>
        <w:rFonts w:ascii="Helvetica" w:hAnsi="Helvetica" w:cs="Helvetica"/>
        <w:i/>
        <w:iCs/>
      </w:rPr>
      <w:fldChar w:fldCharType="separate"/>
    </w:r>
    <w:r>
      <w:rPr>
        <w:rFonts w:ascii="Helvetica" w:hAnsi="Helvetica" w:cs="Helvetica"/>
        <w:i/>
        <w:iCs/>
        <w:noProof/>
      </w:rPr>
      <w:t>Privy Council (Appeals from the High Court) Act 1975</w:t>
    </w:r>
    <w:r>
      <w:rPr>
        <w:rFonts w:ascii="Helvetica" w:hAnsi="Helvetica" w:cs="Helvetica"/>
        <w:i/>
        <w:iCs/>
      </w:rPr>
      <w:fldChar w:fldCharType="end"/>
    </w:r>
  </w:p>
  <w:p w:rsidR="00000000" w:rsidRDefault="00E3632B">
    <w:pPr>
      <w:rPr>
        <w:rFonts w:ascii="Helvetica" w:hAnsi="Helvetica" w:cs="Helvetica"/>
      </w:rPr>
    </w:pPr>
  </w:p>
  <w:p w:rsidR="00000000" w:rsidRDefault="00E3632B">
    <w:pPr>
      <w:rPr>
        <w:rFonts w:ascii="Helvetica" w:hAnsi="Helvetica" w:cs="Helvetica"/>
        <w:sz w:val="24"/>
        <w:szCs w:val="24"/>
      </w:rPr>
    </w:pPr>
  </w:p>
  <w:p w:rsidR="00000000" w:rsidRDefault="00E3632B">
    <w:pPr>
      <w:pBdr>
        <w:bottom w:val="single" w:sz="6" w:space="3" w:color="auto"/>
      </w:pBdr>
      <w:rPr>
        <w:b/>
        <w:bCs/>
      </w:rPr>
    </w:pPr>
    <w:r>
      <w:rPr>
        <w:rFonts w:ascii="Helvetica" w:hAnsi="Helvetica" w:cs="Helvetica"/>
        <w:b/>
        <w:bCs/>
        <w:sz w:val="24"/>
        <w:szCs w:val="24"/>
      </w:rPr>
      <w:t>Table of Acts</w:t>
    </w:r>
  </w:p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35"/>
      <w:gridCol w:w="1135"/>
      <w:gridCol w:w="1323"/>
      <w:gridCol w:w="1610"/>
      <w:gridCol w:w="1032"/>
    </w:tblGrid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Act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 xml:space="preserve">Number </w:t>
          </w:r>
          <w:r>
            <w:rPr>
              <w:rFonts w:ascii="Helvetica" w:hAnsi="Helvetica" w:cs="Helvetica"/>
              <w:sz w:val="16"/>
              <w:szCs w:val="16"/>
            </w:rPr>
            <w:br/>
            <w:t>and year</w:t>
          </w: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 xml:space="preserve">Date </w:t>
          </w:r>
          <w:r>
            <w:rPr>
              <w:rFonts w:ascii="Helvetica" w:hAnsi="Helvetica" w:cs="Helvetica"/>
              <w:sz w:val="16"/>
              <w:szCs w:val="16"/>
            </w:rPr>
            <w:br/>
            <w:t>of Assent</w:t>
          </w:r>
        </w:p>
      </w:tc>
      <w:tc>
        <w:tcPr>
          <w:tcW w:w="1610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Date of commencement</w:t>
          </w:r>
        </w:p>
      </w:tc>
      <w:tc>
        <w:tcPr>
          <w:tcW w:w="1032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ind w:right="-108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A</w:t>
          </w:r>
          <w:r>
            <w:rPr>
              <w:rFonts w:ascii="Helvetica" w:hAnsi="Helvetica" w:cs="Helvetica"/>
              <w:sz w:val="16"/>
              <w:szCs w:val="16"/>
            </w:rPr>
            <w:t>pplication, saving or transitional provisions</w:t>
          </w:r>
        </w:p>
      </w:tc>
    </w:tr>
  </w:tbl>
  <w:p w:rsidR="00000000" w:rsidRDefault="00E3632B">
    <w:pPr>
      <w:pBdr>
        <w:bottom w:val="single" w:sz="6" w:space="0" w:color="auto"/>
      </w:pBdr>
      <w:spacing w:line="20" w:lineRule="exact"/>
      <w:rPr>
        <w:sz w:val="24"/>
        <w:szCs w:val="24"/>
      </w:rPr>
    </w:pPr>
  </w:p>
  <w:p w:rsidR="00000000" w:rsidRDefault="00E3632B">
    <w:pPr>
      <w:spacing w:line="80" w:lineRule="atLeast"/>
      <w:rPr>
        <w:sz w:val="8"/>
        <w:szCs w:val="8"/>
      </w:rPr>
    </w:pPr>
  </w:p>
  <w:p w:rsidR="00000000" w:rsidRDefault="00E3632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632B">
    <w:pPr>
      <w:jc w:val="right"/>
    </w:pPr>
  </w:p>
  <w:p w:rsidR="00000000" w:rsidRDefault="00E3632B">
    <w:pPr>
      <w:jc w:val="right"/>
      <w:rPr>
        <w:rFonts w:ascii="Helvetica" w:hAnsi="Helvetica" w:cs="Helvetica"/>
        <w:b/>
        <w:bCs/>
      </w:rPr>
    </w:pPr>
    <w:r>
      <w:rPr>
        <w:rFonts w:ascii="Helvetica" w:hAnsi="Helvetica" w:cs="Helvetica"/>
        <w:b/>
        <w:bCs/>
      </w:rPr>
      <w:fldChar w:fldCharType="begin"/>
    </w:r>
    <w:r>
      <w:rPr>
        <w:rFonts w:ascii="Helvetica" w:hAnsi="Helvetica" w:cs="Helvetica"/>
        <w:b/>
        <w:bCs/>
      </w:rPr>
      <w:instrText xml:space="preserve"> STYLEREF CharNotesReg \* charFORMAT </w:instrText>
    </w:r>
    <w:r>
      <w:rPr>
        <w:rFonts w:ascii="Helvetica" w:hAnsi="Helvetica" w:cs="Helvetica"/>
        <w:b/>
        <w:bCs/>
      </w:rPr>
      <w:fldChar w:fldCharType="separate"/>
    </w:r>
    <w:r>
      <w:rPr>
        <w:rFonts w:ascii="Helvetica" w:hAnsi="Helvetica" w:cs="Helvetica"/>
        <w:b/>
        <w:bCs/>
        <w:noProof/>
      </w:rPr>
      <w:t>Notes to the</w:t>
    </w:r>
    <w:r>
      <w:rPr>
        <w:rFonts w:ascii="Helvetica" w:hAnsi="Helvetica" w:cs="Helvetica"/>
        <w:b/>
        <w:bCs/>
      </w:rPr>
      <w:fldChar w:fldCharType="end"/>
    </w:r>
    <w:r>
      <w:rPr>
        <w:rFonts w:ascii="Helvetica" w:hAnsi="Helvetica" w:cs="Helvetica"/>
        <w:b/>
        <w:bCs/>
      </w:rPr>
      <w:t xml:space="preserve"> </w:t>
    </w:r>
    <w:r>
      <w:rPr>
        <w:rFonts w:ascii="Helvetica" w:hAnsi="Helvetica" w:cs="Helvetica"/>
        <w:b/>
        <w:bCs/>
        <w:i/>
        <w:iCs/>
      </w:rPr>
      <w:fldChar w:fldCharType="begin"/>
    </w:r>
    <w:r>
      <w:rPr>
        <w:rFonts w:ascii="Helvetica" w:hAnsi="Helvetica" w:cs="Helvetica"/>
        <w:b/>
        <w:bCs/>
        <w:i/>
        <w:iCs/>
      </w:rPr>
      <w:instrText xml:space="preserve"> STYLEREF CharNotesItals \* charFORMAT </w:instrText>
    </w:r>
    <w:r>
      <w:rPr>
        <w:rFonts w:ascii="Helvetica" w:hAnsi="Helvetica" w:cs="Helvetica"/>
        <w:b/>
        <w:bCs/>
        <w:i/>
        <w:iCs/>
      </w:rPr>
      <w:fldChar w:fldCharType="separate"/>
    </w:r>
    <w:r>
      <w:rPr>
        <w:rFonts w:ascii="Helvetica" w:hAnsi="Helvetica" w:cs="Helvetica"/>
        <w:b/>
        <w:bCs/>
        <w:i/>
        <w:iCs/>
        <w:noProof/>
      </w:rPr>
      <w:t>Privy Council (Appeals from the High Court) Act 1975</w:t>
    </w:r>
    <w:r>
      <w:rPr>
        <w:rFonts w:ascii="Helvetica" w:hAnsi="Helvetica" w:cs="Helvetica"/>
        <w:b/>
        <w:bCs/>
        <w:i/>
        <w:iCs/>
      </w:rPr>
      <w:fldChar w:fldCharType="end"/>
    </w:r>
  </w:p>
  <w:p w:rsidR="00000000" w:rsidRDefault="00E3632B">
    <w:pPr>
      <w:jc w:val="right"/>
      <w:rPr>
        <w:rFonts w:ascii="Helvetica" w:hAnsi="Helvetica" w:cs="Helvetica"/>
      </w:rPr>
    </w:pPr>
  </w:p>
  <w:p w:rsidR="00000000" w:rsidRDefault="00E3632B">
    <w:pPr>
      <w:jc w:val="right"/>
      <w:rPr>
        <w:rFonts w:ascii="Helvetica" w:hAnsi="Helvetica" w:cs="Helvetica"/>
        <w:sz w:val="24"/>
        <w:szCs w:val="24"/>
      </w:rPr>
    </w:pPr>
  </w:p>
  <w:p w:rsidR="00000000" w:rsidRDefault="00E3632B">
    <w:pPr>
      <w:pBdr>
        <w:bottom w:val="single" w:sz="6" w:space="3" w:color="auto"/>
      </w:pBdr>
      <w:jc w:val="right"/>
      <w:rPr>
        <w:b/>
        <w:bCs/>
      </w:rPr>
    </w:pPr>
    <w:r>
      <w:rPr>
        <w:rFonts w:ascii="Helvetica" w:hAnsi="Helvetica" w:cs="Helvetica"/>
        <w:b/>
        <w:bCs/>
        <w:sz w:val="24"/>
        <w:szCs w:val="24"/>
      </w:rPr>
      <w:t>Table of Acts</w:t>
    </w:r>
  </w:p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35"/>
      <w:gridCol w:w="1135"/>
      <w:gridCol w:w="1323"/>
      <w:gridCol w:w="1610"/>
      <w:gridCol w:w="1032"/>
    </w:tblGrid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Act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 xml:space="preserve">Number </w:t>
          </w:r>
          <w:r>
            <w:rPr>
              <w:rFonts w:ascii="Helvetica" w:hAnsi="Helvetica" w:cs="Helvetica"/>
              <w:sz w:val="16"/>
              <w:szCs w:val="16"/>
            </w:rPr>
            <w:br/>
            <w:t>and year</w:t>
          </w: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 xml:space="preserve">Date </w:t>
          </w:r>
          <w:r>
            <w:rPr>
              <w:rFonts w:ascii="Helvetica" w:hAnsi="Helvetica" w:cs="Helvetica"/>
              <w:sz w:val="16"/>
              <w:szCs w:val="16"/>
            </w:rPr>
            <w:br/>
            <w:t>of Assent</w:t>
          </w:r>
        </w:p>
      </w:tc>
      <w:tc>
        <w:tcPr>
          <w:tcW w:w="1610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Date of commencement</w:t>
          </w:r>
        </w:p>
      </w:tc>
      <w:tc>
        <w:tcPr>
          <w:tcW w:w="1032" w:type="dxa"/>
          <w:tcBorders>
            <w:top w:val="nil"/>
            <w:left w:val="nil"/>
            <w:bottom w:val="nil"/>
            <w:right w:val="nil"/>
          </w:tcBorders>
        </w:tcPr>
        <w:p w:rsidR="00000000" w:rsidRDefault="00E3632B">
          <w:pPr>
            <w:spacing w:before="60" w:after="60" w:line="180" w:lineRule="atLeast"/>
            <w:ind w:right="-108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Application, saving or transitional provisions</w:t>
          </w:r>
        </w:p>
      </w:tc>
    </w:tr>
  </w:tbl>
  <w:p w:rsidR="00000000" w:rsidRDefault="00E3632B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27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DEEF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93A4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A720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0AA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8"/>
    <w:rsid w:val="000B2058"/>
    <w:rsid w:val="002D130F"/>
    <w:rsid w:val="00461515"/>
    <w:rsid w:val="00DD7D32"/>
    <w:rsid w:val="00E3632B"/>
    <w:rsid w:val="00F321CF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autoRedefine/>
    <w:uiPriority w:val="99"/>
    <w:pPr>
      <w:numPr>
        <w:numId w:val="6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autoRedefine/>
    <w:uiPriority w:val="99"/>
    <w:pPr>
      <w:numPr>
        <w:numId w:val="7"/>
      </w:numPr>
    </w:pPr>
  </w:style>
  <w:style w:type="paragraph" w:styleId="ListBullet3">
    <w:name w:val="List Bullet 3"/>
    <w:basedOn w:val="Normal"/>
    <w:autoRedefine/>
    <w:uiPriority w:val="99"/>
    <w:pPr>
      <w:numPr>
        <w:numId w:val="8"/>
      </w:numPr>
    </w:pPr>
  </w:style>
  <w:style w:type="paragraph" w:styleId="ListBullet4">
    <w:name w:val="List Bullet 4"/>
    <w:basedOn w:val="Normal"/>
    <w:autoRedefine/>
    <w:uiPriority w:val="99"/>
    <w:pPr>
      <w:numPr>
        <w:numId w:val="9"/>
      </w:numPr>
    </w:pPr>
  </w:style>
  <w:style w:type="paragraph" w:styleId="ListBullet5">
    <w:name w:val="List Bullet 5"/>
    <w:basedOn w:val="Normal"/>
    <w:autoRedefine/>
    <w:uiPriority w:val="99"/>
    <w:pPr>
      <w:numPr>
        <w:numId w:val="10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21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autoRedefine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autoRedefine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autoRedefine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autoRedefine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autoRedefine/>
    <w:uiPriority w:val="3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autoRedefine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autoRedefine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autoRedefine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autoRedefine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7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AssentDt">
    <w:name w:val="AssentDt"/>
    <w:basedOn w:val="Normal"/>
    <w:rsid w:val="00DD7D32"/>
    <w:pPr>
      <w:autoSpaceDE/>
      <w:autoSpaceDN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TA1a">
    <w:name w:val="CTA 1(a)"/>
    <w:basedOn w:val="Normal"/>
    <w:rsid w:val="00461515"/>
    <w:pPr>
      <w:tabs>
        <w:tab w:val="right" w:pos="414"/>
      </w:tabs>
      <w:autoSpaceDE/>
      <w:autoSpaceDN/>
      <w:spacing w:before="40" w:line="240" w:lineRule="atLeast"/>
      <w:ind w:left="675" w:hanging="675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D1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autoRedefine/>
    <w:uiPriority w:val="99"/>
    <w:pPr>
      <w:numPr>
        <w:numId w:val="6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autoRedefine/>
    <w:uiPriority w:val="99"/>
    <w:pPr>
      <w:numPr>
        <w:numId w:val="7"/>
      </w:numPr>
    </w:pPr>
  </w:style>
  <w:style w:type="paragraph" w:styleId="ListBullet3">
    <w:name w:val="List Bullet 3"/>
    <w:basedOn w:val="Normal"/>
    <w:autoRedefine/>
    <w:uiPriority w:val="99"/>
    <w:pPr>
      <w:numPr>
        <w:numId w:val="8"/>
      </w:numPr>
    </w:pPr>
  </w:style>
  <w:style w:type="paragraph" w:styleId="ListBullet4">
    <w:name w:val="List Bullet 4"/>
    <w:basedOn w:val="Normal"/>
    <w:autoRedefine/>
    <w:uiPriority w:val="99"/>
    <w:pPr>
      <w:numPr>
        <w:numId w:val="9"/>
      </w:numPr>
    </w:pPr>
  </w:style>
  <w:style w:type="paragraph" w:styleId="ListBullet5">
    <w:name w:val="List Bullet 5"/>
    <w:basedOn w:val="Normal"/>
    <w:autoRedefine/>
    <w:uiPriority w:val="99"/>
    <w:pPr>
      <w:numPr>
        <w:numId w:val="10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21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autoRedefine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autoRedefine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autoRedefine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autoRedefine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autoRedefine/>
    <w:uiPriority w:val="3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autoRedefine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autoRedefine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autoRedefine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autoRedefine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7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AssentDt">
    <w:name w:val="AssentDt"/>
    <w:basedOn w:val="Normal"/>
    <w:rsid w:val="00DD7D32"/>
    <w:pPr>
      <w:autoSpaceDE/>
      <w:autoSpaceDN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TA1a">
    <w:name w:val="CTA 1(a)"/>
    <w:basedOn w:val="Normal"/>
    <w:rsid w:val="00461515"/>
    <w:pPr>
      <w:tabs>
        <w:tab w:val="right" w:pos="414"/>
      </w:tabs>
      <w:autoSpaceDE/>
      <w:autoSpaceDN/>
      <w:spacing w:before="40" w:line="240" w:lineRule="atLeast"/>
      <w:ind w:left="675" w:hanging="675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D1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brfp40\Stationery\Stationery\Legst\CONSOL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80D6-25A5-44C8-95F0-CFDEBFC7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CONSOLActs.dot</Template>
  <TotalTime>0</TotalTime>
  <Pages>6</Pages>
  <Words>280</Words>
  <Characters>1473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</dc:creator>
  <cp:lastModifiedBy>Coles, Deslyn</cp:lastModifiedBy>
  <cp:revision>2</cp:revision>
  <cp:lastPrinted>2002-04-30T02:11:00Z</cp:lastPrinted>
  <dcterms:created xsi:type="dcterms:W3CDTF">2015-07-21T05:31:00Z</dcterms:created>
  <dcterms:modified xsi:type="dcterms:W3CDTF">2015-07-21T05:31:00Z</dcterms:modified>
</cp:coreProperties>
</file>