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C2A8B" w14:textId="77777777" w:rsidR="00842ABC" w:rsidRPr="00CA0BB0" w:rsidRDefault="00EA6E87" w:rsidP="00842ABC">
      <w:pPr>
        <w:jc w:val="center"/>
        <w:rPr>
          <w:rFonts w:ascii="Times New Roman" w:hAnsi="Times New Roman" w:cs="Times New Roman"/>
          <w:b/>
          <w:sz w:val="32"/>
          <w:szCs w:val="32"/>
        </w:rPr>
      </w:pPr>
      <w:bookmarkStart w:id="0" w:name="bookmark0"/>
      <w:bookmarkStart w:id="1" w:name="_GoBack"/>
      <w:bookmarkEnd w:id="1"/>
      <w:r w:rsidRPr="00CA0BB0">
        <w:rPr>
          <w:rFonts w:ascii="Times New Roman" w:hAnsi="Times New Roman" w:cs="Times New Roman"/>
          <w:b/>
          <w:sz w:val="32"/>
          <w:szCs w:val="32"/>
        </w:rPr>
        <w:t>EN</w:t>
      </w:r>
      <w:r w:rsidR="00842ABC" w:rsidRPr="00CA0BB0">
        <w:rPr>
          <w:rFonts w:ascii="Times New Roman" w:hAnsi="Times New Roman" w:cs="Times New Roman"/>
          <w:b/>
          <w:sz w:val="32"/>
          <w:szCs w:val="32"/>
        </w:rPr>
        <w:t>VIRONMENT PROTECTION (IMPACT OF</w:t>
      </w:r>
    </w:p>
    <w:p w14:paraId="4878F79A" w14:textId="77777777" w:rsidR="00AB213A" w:rsidRPr="00CA0BB0" w:rsidRDefault="00EA6E87" w:rsidP="00842ABC">
      <w:pPr>
        <w:spacing w:after="240"/>
        <w:jc w:val="center"/>
        <w:rPr>
          <w:rFonts w:ascii="Times New Roman" w:hAnsi="Times New Roman" w:cs="Times New Roman"/>
          <w:b/>
          <w:sz w:val="32"/>
          <w:szCs w:val="32"/>
        </w:rPr>
      </w:pPr>
      <w:r w:rsidRPr="00CA0BB0">
        <w:rPr>
          <w:rFonts w:ascii="Times New Roman" w:hAnsi="Times New Roman" w:cs="Times New Roman"/>
          <w:b/>
          <w:sz w:val="32"/>
          <w:szCs w:val="32"/>
        </w:rPr>
        <w:t>PROPOSALS) ACT 1975</w:t>
      </w:r>
      <w:bookmarkEnd w:id="0"/>
    </w:p>
    <w:p w14:paraId="63BFB85E" w14:textId="77777777" w:rsidR="00AB213A" w:rsidRPr="00F342F7" w:rsidRDefault="00EA6E87" w:rsidP="00842ABC">
      <w:pPr>
        <w:spacing w:after="240"/>
        <w:jc w:val="center"/>
        <w:rPr>
          <w:rFonts w:ascii="Times New Roman" w:hAnsi="Times New Roman" w:cs="Times New Roman"/>
          <w:b/>
          <w:sz w:val="28"/>
          <w:szCs w:val="28"/>
        </w:rPr>
      </w:pPr>
      <w:bookmarkStart w:id="2" w:name="bookmark1"/>
      <w:r w:rsidRPr="00F342F7">
        <w:rPr>
          <w:rFonts w:ascii="Times New Roman" w:hAnsi="Times New Roman" w:cs="Times New Roman"/>
          <w:b/>
          <w:sz w:val="28"/>
          <w:szCs w:val="28"/>
        </w:rPr>
        <w:t>No. 36 of 1975</w:t>
      </w:r>
      <w:bookmarkEnd w:id="2"/>
    </w:p>
    <w:p w14:paraId="4D10DDCB" w14:textId="77777777" w:rsidR="00AB213A" w:rsidRPr="007C013E" w:rsidRDefault="00EA6E87" w:rsidP="00842ABC">
      <w:pPr>
        <w:spacing w:after="240"/>
        <w:jc w:val="both"/>
        <w:rPr>
          <w:rFonts w:ascii="Times New Roman" w:hAnsi="Times New Roman" w:cs="Times New Roman"/>
        </w:rPr>
      </w:pPr>
      <w:r w:rsidRPr="007C013E">
        <w:rPr>
          <w:rFonts w:ascii="Times New Roman" w:hAnsi="Times New Roman" w:cs="Times New Roman"/>
        </w:rPr>
        <w:t xml:space="preserve">An Act to amend the </w:t>
      </w:r>
      <w:r w:rsidRPr="00842ABC">
        <w:rPr>
          <w:rFonts w:ascii="Times New Roman" w:hAnsi="Times New Roman" w:cs="Times New Roman"/>
          <w:i/>
        </w:rPr>
        <w:t>Environment Protection (Impact of Proposals) Act</w:t>
      </w:r>
      <w:r w:rsidRPr="007C013E">
        <w:rPr>
          <w:rFonts w:ascii="Times New Roman" w:hAnsi="Times New Roman" w:cs="Times New Roman"/>
        </w:rPr>
        <w:t xml:space="preserve"> 1974.</w:t>
      </w:r>
    </w:p>
    <w:p w14:paraId="1B1980F3" w14:textId="77777777" w:rsidR="00AB213A" w:rsidRPr="007C013E" w:rsidRDefault="00EA6E87" w:rsidP="00842ABC">
      <w:pPr>
        <w:ind w:firstLine="270"/>
        <w:jc w:val="both"/>
        <w:rPr>
          <w:rFonts w:ascii="Times New Roman" w:hAnsi="Times New Roman" w:cs="Times New Roman"/>
        </w:rPr>
      </w:pPr>
      <w:r w:rsidRPr="007C013E">
        <w:rPr>
          <w:rFonts w:ascii="Times New Roman" w:hAnsi="Times New Roman" w:cs="Times New Roman"/>
        </w:rPr>
        <w:t>BE IT ENACTED by the Queen, the Senate and the House of Representatives of Australia, as follows:—</w:t>
      </w:r>
    </w:p>
    <w:p w14:paraId="3C74B9B4" w14:textId="77777777" w:rsidR="00AB213A" w:rsidRPr="00842ABC" w:rsidRDefault="00EA6E87" w:rsidP="00842ABC">
      <w:pPr>
        <w:spacing w:before="120" w:after="60"/>
        <w:jc w:val="both"/>
        <w:rPr>
          <w:rFonts w:ascii="Times New Roman" w:hAnsi="Times New Roman" w:cs="Times New Roman"/>
          <w:b/>
          <w:sz w:val="20"/>
          <w:szCs w:val="20"/>
        </w:rPr>
      </w:pPr>
      <w:r w:rsidRPr="00842ABC">
        <w:rPr>
          <w:rFonts w:ascii="Times New Roman" w:hAnsi="Times New Roman" w:cs="Times New Roman"/>
          <w:b/>
          <w:sz w:val="20"/>
          <w:szCs w:val="20"/>
        </w:rPr>
        <w:t>Short title and citation.</w:t>
      </w:r>
    </w:p>
    <w:p w14:paraId="6504F68B" w14:textId="28E2665F" w:rsidR="00AB213A" w:rsidRPr="007C013E" w:rsidRDefault="00842ABC" w:rsidP="00842ABC">
      <w:pPr>
        <w:spacing w:after="120"/>
        <w:ind w:firstLine="270"/>
        <w:jc w:val="both"/>
        <w:rPr>
          <w:rFonts w:ascii="Times New Roman" w:hAnsi="Times New Roman" w:cs="Times New Roman"/>
        </w:rPr>
      </w:pPr>
      <w:r w:rsidRPr="00842ABC">
        <w:rPr>
          <w:rFonts w:ascii="Times New Roman" w:hAnsi="Times New Roman" w:cs="Times New Roman"/>
          <w:b/>
        </w:rPr>
        <w:t>1.</w:t>
      </w:r>
      <w:r>
        <w:rPr>
          <w:rFonts w:ascii="Times New Roman" w:hAnsi="Times New Roman" w:cs="Times New Roman"/>
        </w:rPr>
        <w:t xml:space="preserve"> </w:t>
      </w:r>
      <w:r w:rsidR="00EA6E87" w:rsidRPr="007C013E">
        <w:rPr>
          <w:rFonts w:ascii="Times New Roman" w:hAnsi="Times New Roman" w:cs="Times New Roman"/>
        </w:rPr>
        <w:t xml:space="preserve">(1) This Act may be cited as the </w:t>
      </w:r>
      <w:r w:rsidR="00EA6E87" w:rsidRPr="00842ABC">
        <w:rPr>
          <w:rFonts w:ascii="Times New Roman" w:hAnsi="Times New Roman" w:cs="Times New Roman"/>
          <w:i/>
        </w:rPr>
        <w:t>Environment Protection (Impact of Proposals) Act</w:t>
      </w:r>
      <w:r w:rsidR="00EA6E87" w:rsidRPr="007C013E">
        <w:rPr>
          <w:rFonts w:ascii="Times New Roman" w:hAnsi="Times New Roman" w:cs="Times New Roman"/>
        </w:rPr>
        <w:t xml:space="preserve"> 1975.</w:t>
      </w:r>
    </w:p>
    <w:p w14:paraId="0A732FA1" w14:textId="08752B86" w:rsidR="00AB213A" w:rsidRPr="007C013E" w:rsidRDefault="00842ABC" w:rsidP="00842ABC">
      <w:pPr>
        <w:spacing w:after="120"/>
        <w:ind w:firstLine="270"/>
        <w:jc w:val="both"/>
        <w:rPr>
          <w:rFonts w:ascii="Times New Roman" w:hAnsi="Times New Roman" w:cs="Times New Roman"/>
        </w:rPr>
      </w:pPr>
      <w:r>
        <w:rPr>
          <w:rFonts w:ascii="Times New Roman" w:hAnsi="Times New Roman" w:cs="Times New Roman"/>
        </w:rPr>
        <w:t xml:space="preserve">(2) </w:t>
      </w:r>
      <w:r w:rsidR="00EA6E87" w:rsidRPr="007C013E">
        <w:rPr>
          <w:rFonts w:ascii="Times New Roman" w:hAnsi="Times New Roman" w:cs="Times New Roman"/>
        </w:rPr>
        <w:t xml:space="preserve">The </w:t>
      </w:r>
      <w:r w:rsidR="00EA6E87" w:rsidRPr="00842ABC">
        <w:rPr>
          <w:rFonts w:ascii="Times New Roman" w:hAnsi="Times New Roman" w:cs="Times New Roman"/>
          <w:i/>
        </w:rPr>
        <w:t xml:space="preserve">Environment Protection (Impact of Proposals) Act </w:t>
      </w:r>
      <w:r w:rsidR="00EA6E87" w:rsidRPr="007C013E">
        <w:rPr>
          <w:rFonts w:ascii="Times New Roman" w:hAnsi="Times New Roman" w:cs="Times New Roman"/>
        </w:rPr>
        <w:t>1974 is in this Act referred to as the Principal Act.</w:t>
      </w:r>
    </w:p>
    <w:p w14:paraId="7FF6F3FF" w14:textId="77777777" w:rsidR="00AB213A" w:rsidRPr="007C013E" w:rsidRDefault="00842ABC" w:rsidP="00842ABC">
      <w:pPr>
        <w:spacing w:after="120"/>
        <w:ind w:firstLine="270"/>
        <w:jc w:val="both"/>
        <w:rPr>
          <w:rFonts w:ascii="Times New Roman" w:hAnsi="Times New Roman" w:cs="Times New Roman"/>
        </w:rPr>
      </w:pPr>
      <w:r>
        <w:rPr>
          <w:rFonts w:ascii="Times New Roman" w:hAnsi="Times New Roman" w:cs="Times New Roman"/>
        </w:rPr>
        <w:t xml:space="preserve">(3) </w:t>
      </w:r>
      <w:r w:rsidR="00EA6E87" w:rsidRPr="007C013E">
        <w:rPr>
          <w:rFonts w:ascii="Times New Roman" w:hAnsi="Times New Roman" w:cs="Times New Roman"/>
        </w:rPr>
        <w:t xml:space="preserve">The Principal Act, as amended by this Act, may be cited as the </w:t>
      </w:r>
      <w:r w:rsidR="00EA6E87" w:rsidRPr="00842ABC">
        <w:rPr>
          <w:rFonts w:ascii="Times New Roman" w:hAnsi="Times New Roman" w:cs="Times New Roman"/>
          <w:i/>
        </w:rPr>
        <w:t>Environment Protection (Impact of Proposals) Act</w:t>
      </w:r>
      <w:r w:rsidR="00EA6E87" w:rsidRPr="007C013E">
        <w:rPr>
          <w:rFonts w:ascii="Times New Roman" w:hAnsi="Times New Roman" w:cs="Times New Roman"/>
        </w:rPr>
        <w:t xml:space="preserve"> 1974-1975.</w:t>
      </w:r>
    </w:p>
    <w:p w14:paraId="3FFB8CE6" w14:textId="77777777" w:rsidR="00842ABC" w:rsidRPr="00842ABC" w:rsidRDefault="00842ABC" w:rsidP="00842ABC">
      <w:pPr>
        <w:spacing w:before="120" w:after="60"/>
        <w:jc w:val="both"/>
        <w:rPr>
          <w:rFonts w:ascii="Times New Roman" w:hAnsi="Times New Roman" w:cs="Times New Roman"/>
          <w:b/>
          <w:sz w:val="20"/>
          <w:szCs w:val="20"/>
        </w:rPr>
      </w:pPr>
      <w:r w:rsidRPr="00842ABC">
        <w:rPr>
          <w:rFonts w:ascii="Times New Roman" w:hAnsi="Times New Roman" w:cs="Times New Roman"/>
          <w:b/>
          <w:sz w:val="20"/>
          <w:szCs w:val="20"/>
        </w:rPr>
        <w:t>Commencement.</w:t>
      </w:r>
    </w:p>
    <w:p w14:paraId="305938C9" w14:textId="7420C996" w:rsidR="00AB213A" w:rsidRPr="007C013E" w:rsidRDefault="00842ABC" w:rsidP="00842ABC">
      <w:pPr>
        <w:tabs>
          <w:tab w:val="left" w:pos="630"/>
        </w:tabs>
        <w:spacing w:after="120"/>
        <w:ind w:firstLine="270"/>
        <w:jc w:val="both"/>
        <w:rPr>
          <w:rFonts w:ascii="Times New Roman" w:hAnsi="Times New Roman" w:cs="Times New Roman"/>
        </w:rPr>
      </w:pPr>
      <w:r w:rsidRPr="00842ABC">
        <w:rPr>
          <w:rFonts w:ascii="Times New Roman" w:hAnsi="Times New Roman" w:cs="Times New Roman"/>
          <w:b/>
        </w:rPr>
        <w:t>2.</w:t>
      </w:r>
      <w:r>
        <w:rPr>
          <w:rFonts w:ascii="Times New Roman" w:hAnsi="Times New Roman" w:cs="Times New Roman"/>
        </w:rPr>
        <w:tab/>
      </w:r>
      <w:r w:rsidR="00EA6E87" w:rsidRPr="007C013E">
        <w:rPr>
          <w:rFonts w:ascii="Times New Roman" w:hAnsi="Times New Roman" w:cs="Times New Roman"/>
        </w:rPr>
        <w:t>This Act shall come into operation on the day on which it receives the Royal Assent.</w:t>
      </w:r>
    </w:p>
    <w:p w14:paraId="69E439B4" w14:textId="77777777" w:rsidR="00842ABC" w:rsidRPr="00842ABC" w:rsidRDefault="00842ABC" w:rsidP="00842ABC">
      <w:pPr>
        <w:spacing w:before="120" w:after="60"/>
        <w:jc w:val="both"/>
        <w:rPr>
          <w:rFonts w:ascii="Times New Roman" w:hAnsi="Times New Roman" w:cs="Times New Roman"/>
          <w:b/>
          <w:sz w:val="20"/>
          <w:szCs w:val="20"/>
        </w:rPr>
      </w:pPr>
      <w:r w:rsidRPr="00842ABC">
        <w:rPr>
          <w:rFonts w:ascii="Times New Roman" w:hAnsi="Times New Roman" w:cs="Times New Roman"/>
          <w:b/>
          <w:sz w:val="20"/>
          <w:szCs w:val="20"/>
        </w:rPr>
        <w:t>Object of Act.</w:t>
      </w:r>
    </w:p>
    <w:p w14:paraId="7386A18D" w14:textId="0CF1A950" w:rsidR="00AB213A" w:rsidRPr="007C013E" w:rsidRDefault="00842ABC" w:rsidP="00842ABC">
      <w:pPr>
        <w:tabs>
          <w:tab w:val="left" w:pos="630"/>
        </w:tabs>
        <w:spacing w:after="120"/>
        <w:ind w:firstLine="270"/>
        <w:jc w:val="both"/>
        <w:rPr>
          <w:rFonts w:ascii="Times New Roman" w:hAnsi="Times New Roman" w:cs="Times New Roman"/>
        </w:rPr>
      </w:pPr>
      <w:r w:rsidRPr="00842ABC">
        <w:rPr>
          <w:rFonts w:ascii="Times New Roman" w:hAnsi="Times New Roman" w:cs="Times New Roman"/>
          <w:b/>
        </w:rPr>
        <w:t>3.</w:t>
      </w:r>
      <w:r>
        <w:rPr>
          <w:rFonts w:ascii="Times New Roman" w:hAnsi="Times New Roman" w:cs="Times New Roman"/>
        </w:rPr>
        <w:tab/>
      </w:r>
      <w:r w:rsidR="00EA6E87" w:rsidRPr="007C013E">
        <w:rPr>
          <w:rFonts w:ascii="Times New Roman" w:hAnsi="Times New Roman" w:cs="Times New Roman"/>
        </w:rPr>
        <w:t>Section 5 of the Principal Act is amended by inserting in sub</w:t>
      </w:r>
      <w:r w:rsidR="009142B7">
        <w:rPr>
          <w:rFonts w:ascii="Times New Roman" w:hAnsi="Times New Roman" w:cs="Times New Roman"/>
        </w:rPr>
        <w:t>-</w:t>
      </w:r>
      <w:r w:rsidR="00EA6E87" w:rsidRPr="007C013E">
        <w:rPr>
          <w:rFonts w:ascii="Times New Roman" w:hAnsi="Times New Roman" w:cs="Times New Roman"/>
        </w:rPr>
        <w:t>section (2), before the word “financial”, the word “direct”.</w:t>
      </w:r>
    </w:p>
    <w:p w14:paraId="0EF0A566" w14:textId="0C0E2BBF" w:rsidR="00AB213A" w:rsidRPr="007C013E" w:rsidRDefault="00842ABC" w:rsidP="00842ABC">
      <w:pPr>
        <w:tabs>
          <w:tab w:val="left" w:pos="630"/>
        </w:tabs>
        <w:spacing w:after="120"/>
        <w:ind w:firstLine="270"/>
        <w:jc w:val="both"/>
        <w:rPr>
          <w:rFonts w:ascii="Times New Roman" w:hAnsi="Times New Roman" w:cs="Times New Roman"/>
        </w:rPr>
      </w:pPr>
      <w:r w:rsidRPr="00842ABC">
        <w:rPr>
          <w:rFonts w:ascii="Times New Roman" w:hAnsi="Times New Roman" w:cs="Times New Roman"/>
          <w:b/>
        </w:rPr>
        <w:t>4.</w:t>
      </w:r>
      <w:r>
        <w:rPr>
          <w:rFonts w:ascii="Times New Roman" w:hAnsi="Times New Roman" w:cs="Times New Roman"/>
        </w:rPr>
        <w:tab/>
      </w:r>
      <w:r w:rsidR="00EA6E87" w:rsidRPr="007C013E">
        <w:rPr>
          <w:rFonts w:ascii="Times New Roman" w:hAnsi="Times New Roman" w:cs="Times New Roman"/>
        </w:rPr>
        <w:t>Section 24 of the Principal Act is repealed and the following section substituted:—</w:t>
      </w:r>
    </w:p>
    <w:p w14:paraId="4105E13E" w14:textId="77777777" w:rsidR="00842ABC" w:rsidRPr="00842ABC" w:rsidRDefault="00842ABC" w:rsidP="00842ABC">
      <w:pPr>
        <w:spacing w:before="120" w:after="60"/>
        <w:jc w:val="both"/>
        <w:rPr>
          <w:rFonts w:ascii="Times New Roman" w:hAnsi="Times New Roman" w:cs="Times New Roman"/>
          <w:b/>
          <w:sz w:val="20"/>
          <w:szCs w:val="20"/>
        </w:rPr>
      </w:pPr>
      <w:r w:rsidRPr="00842ABC">
        <w:rPr>
          <w:rFonts w:ascii="Times New Roman" w:hAnsi="Times New Roman" w:cs="Times New Roman"/>
          <w:b/>
          <w:sz w:val="20"/>
          <w:szCs w:val="20"/>
        </w:rPr>
        <w:t>Power to enter on land,</w:t>
      </w:r>
      <w:r>
        <w:rPr>
          <w:rFonts w:ascii="Times New Roman" w:hAnsi="Times New Roman" w:cs="Times New Roman"/>
          <w:b/>
          <w:sz w:val="20"/>
          <w:szCs w:val="20"/>
        </w:rPr>
        <w:t xml:space="preserve"> </w:t>
      </w:r>
      <w:r w:rsidRPr="00842ABC">
        <w:rPr>
          <w:rFonts w:ascii="Times New Roman" w:hAnsi="Times New Roman" w:cs="Times New Roman"/>
          <w:b/>
          <w:sz w:val="20"/>
          <w:szCs w:val="20"/>
        </w:rPr>
        <w:t>&amp;c.</w:t>
      </w:r>
    </w:p>
    <w:p w14:paraId="199EE14A" w14:textId="77777777" w:rsidR="00AB213A" w:rsidRPr="007C013E" w:rsidRDefault="00EA6E87" w:rsidP="00842ABC">
      <w:pPr>
        <w:spacing w:after="120"/>
        <w:ind w:firstLine="270"/>
        <w:jc w:val="both"/>
        <w:rPr>
          <w:rFonts w:ascii="Times New Roman" w:hAnsi="Times New Roman" w:cs="Times New Roman"/>
        </w:rPr>
      </w:pPr>
      <w:r w:rsidRPr="007C013E">
        <w:rPr>
          <w:rFonts w:ascii="Times New Roman" w:hAnsi="Times New Roman" w:cs="Times New Roman"/>
        </w:rPr>
        <w:t>“24. (1) A Commissioner, or a person acting with the authority of a Commissioner, may, with the consent of the occupier of any land, building or place, enter the land, building or place for the purposes of an inquiry under this Act.</w:t>
      </w:r>
    </w:p>
    <w:p w14:paraId="7F359E95" w14:textId="77777777" w:rsidR="00AB213A" w:rsidRPr="007C013E" w:rsidRDefault="00EA6E87" w:rsidP="00842ABC">
      <w:pPr>
        <w:spacing w:after="120"/>
        <w:ind w:firstLine="270"/>
        <w:jc w:val="both"/>
        <w:rPr>
          <w:rFonts w:ascii="Times New Roman" w:hAnsi="Times New Roman" w:cs="Times New Roman"/>
        </w:rPr>
      </w:pPr>
      <w:r w:rsidRPr="007C013E">
        <w:rPr>
          <w:rFonts w:ascii="Times New Roman" w:hAnsi="Times New Roman" w:cs="Times New Roman"/>
        </w:rPr>
        <w:t>“(2) Where a Commissioner has reason to believe that it is necessary or desirable for the purposes of an inquiry under this Act for him, or a person authorized by him, to enter any land, building or place, the Commissioner may make application to a Justice of the Peace for a warrant authorizing the Commissioner or that person to enter the land, building or place for the purposes of the inquiry.</w:t>
      </w:r>
    </w:p>
    <w:p w14:paraId="4711BE01" w14:textId="77777777" w:rsidR="00842ABC" w:rsidRDefault="00EA6E87" w:rsidP="00842ABC">
      <w:pPr>
        <w:spacing w:after="120"/>
        <w:ind w:firstLine="270"/>
        <w:jc w:val="both"/>
        <w:rPr>
          <w:rFonts w:ascii="Times New Roman" w:hAnsi="Times New Roman" w:cs="Times New Roman"/>
        </w:rPr>
      </w:pPr>
      <w:r w:rsidRPr="007C013E">
        <w:rPr>
          <w:rFonts w:ascii="Times New Roman" w:hAnsi="Times New Roman" w:cs="Times New Roman"/>
        </w:rPr>
        <w:t>“(3) If, on an application under sub-section (2), the Justice of the Peace is satisfied by information on oath or affirmation that the issue of the warrant is reasonably required for the purposes of this Act, the Justice of the Peace may grant a warrant authorizing the Commissioner, or that person, with such assistance as he thinks necessary, to enter the land, building or place for the purposes of the inquiry.</w:t>
      </w:r>
    </w:p>
    <w:p w14:paraId="0335DF42" w14:textId="77777777" w:rsidR="00AB213A" w:rsidRPr="007C013E" w:rsidRDefault="00EA6E87" w:rsidP="00842ABC">
      <w:pPr>
        <w:spacing w:after="120"/>
        <w:ind w:firstLine="270"/>
        <w:jc w:val="both"/>
        <w:rPr>
          <w:rFonts w:ascii="Times New Roman" w:hAnsi="Times New Roman" w:cs="Times New Roman"/>
        </w:rPr>
      </w:pPr>
      <w:r w:rsidRPr="007C013E">
        <w:rPr>
          <w:rFonts w:ascii="Times New Roman" w:hAnsi="Times New Roman" w:cs="Times New Roman"/>
        </w:rPr>
        <w:t>“(4) A warrant under sub-section (3) shall specify a date after which the warrant ceases to have effect.</w:t>
      </w:r>
    </w:p>
    <w:p w14:paraId="44C2A132" w14:textId="77777777" w:rsidR="00AB213A" w:rsidRPr="007C013E" w:rsidRDefault="00EA6E87" w:rsidP="00842ABC">
      <w:pPr>
        <w:spacing w:after="120"/>
        <w:ind w:firstLine="270"/>
        <w:jc w:val="both"/>
        <w:rPr>
          <w:rFonts w:ascii="Times New Roman" w:hAnsi="Times New Roman" w:cs="Times New Roman"/>
        </w:rPr>
      </w:pPr>
      <w:r w:rsidRPr="007C013E">
        <w:rPr>
          <w:rFonts w:ascii="Times New Roman" w:hAnsi="Times New Roman" w:cs="Times New Roman"/>
        </w:rPr>
        <w:t>“(5) Where a Commissioner, or a person acting with the authority of a Commissioner, enters any land, building or place in pursuance of sub-section (1) or of a warrant granted under sub-section (3) for the purposes of an inquiry under this Act, he may—</w:t>
      </w:r>
    </w:p>
    <w:p w14:paraId="79AEDA2C" w14:textId="77777777" w:rsidR="00AB213A" w:rsidRPr="007C013E" w:rsidRDefault="00842ABC" w:rsidP="00D4239F">
      <w:pPr>
        <w:spacing w:after="60"/>
        <w:ind w:firstLine="306"/>
        <w:jc w:val="both"/>
        <w:rPr>
          <w:rFonts w:ascii="Times New Roman" w:hAnsi="Times New Roman" w:cs="Times New Roman"/>
        </w:rPr>
      </w:pPr>
      <w:r>
        <w:rPr>
          <w:rFonts w:ascii="Times New Roman" w:hAnsi="Times New Roman" w:cs="Times New Roman"/>
        </w:rPr>
        <w:t xml:space="preserve">(a) </w:t>
      </w:r>
      <w:r w:rsidR="00EA6E87" w:rsidRPr="007C013E">
        <w:rPr>
          <w:rFonts w:ascii="Times New Roman" w:hAnsi="Times New Roman" w:cs="Times New Roman"/>
        </w:rPr>
        <w:t>inspect the land, building or place; and</w:t>
      </w:r>
    </w:p>
    <w:p w14:paraId="43F4C71D" w14:textId="77777777" w:rsidR="00AB213A" w:rsidRPr="007C013E" w:rsidRDefault="00D4239F" w:rsidP="00D4239F">
      <w:pPr>
        <w:spacing w:after="120"/>
        <w:ind w:firstLine="279"/>
        <w:jc w:val="both"/>
        <w:rPr>
          <w:rFonts w:ascii="Times New Roman" w:hAnsi="Times New Roman" w:cs="Times New Roman"/>
        </w:rPr>
      </w:pPr>
      <w:r>
        <w:rPr>
          <w:rFonts w:ascii="Times New Roman" w:hAnsi="Times New Roman" w:cs="Times New Roman"/>
        </w:rPr>
        <w:t xml:space="preserve">(b) </w:t>
      </w:r>
      <w:r w:rsidR="00EA6E87" w:rsidRPr="007C013E">
        <w:rPr>
          <w:rFonts w:ascii="Times New Roman" w:hAnsi="Times New Roman" w:cs="Times New Roman"/>
        </w:rPr>
        <w:t>inspect any material on the land, or on or in the building or place.</w:t>
      </w:r>
    </w:p>
    <w:p w14:paraId="20878A90" w14:textId="77777777" w:rsidR="00AB213A" w:rsidRPr="007C013E" w:rsidRDefault="00EA6E87" w:rsidP="00D4239F">
      <w:pPr>
        <w:ind w:firstLine="270"/>
        <w:jc w:val="both"/>
        <w:rPr>
          <w:rFonts w:ascii="Times New Roman" w:hAnsi="Times New Roman" w:cs="Times New Roman"/>
        </w:rPr>
      </w:pPr>
      <w:r w:rsidRPr="007C013E">
        <w:rPr>
          <w:rFonts w:ascii="Times New Roman" w:hAnsi="Times New Roman" w:cs="Times New Roman"/>
        </w:rPr>
        <w:t>“(6) A person shall not, without reasonable excuse, obstruct or hinder a Commissioner, or a person authorized by a Commissioner, acting in pursuance of a warrant granted under sub-section (3) or in pursuance of sub-section (5).</w:t>
      </w:r>
    </w:p>
    <w:p w14:paraId="0ADB86CA" w14:textId="77777777" w:rsidR="00AB213A" w:rsidRPr="007C013E" w:rsidRDefault="00EA6E87" w:rsidP="00D4239F">
      <w:pPr>
        <w:spacing w:after="120"/>
        <w:jc w:val="both"/>
        <w:rPr>
          <w:rFonts w:ascii="Times New Roman" w:hAnsi="Times New Roman" w:cs="Times New Roman"/>
        </w:rPr>
      </w:pPr>
      <w:r w:rsidRPr="007C013E">
        <w:rPr>
          <w:rFonts w:ascii="Times New Roman" w:hAnsi="Times New Roman" w:cs="Times New Roman"/>
        </w:rPr>
        <w:t>Penalty: $200.</w:t>
      </w:r>
    </w:p>
    <w:p w14:paraId="22CEAA02" w14:textId="77777777" w:rsidR="00250EA1" w:rsidRDefault="00EA6E87" w:rsidP="00D4239F">
      <w:pPr>
        <w:ind w:firstLine="270"/>
        <w:jc w:val="both"/>
        <w:rPr>
          <w:rFonts w:ascii="Times New Roman" w:hAnsi="Times New Roman" w:cs="Times New Roman"/>
        </w:rPr>
      </w:pPr>
      <w:r w:rsidRPr="007C013E">
        <w:rPr>
          <w:rFonts w:ascii="Times New Roman" w:hAnsi="Times New Roman" w:cs="Times New Roman"/>
        </w:rPr>
        <w:t>“(7) In this section, ‘occupier’, in relation to land, a building or a place, includes the person in charge of the land, building or place, as the case may be.”.</w:t>
      </w:r>
    </w:p>
    <w:p w14:paraId="6D5CD229" w14:textId="77777777" w:rsidR="00D4239F" w:rsidRDefault="00D4239F" w:rsidP="00D4239F">
      <w:pPr>
        <w:pBdr>
          <w:bottom w:val="single" w:sz="12" w:space="1" w:color="auto"/>
        </w:pBdr>
        <w:spacing w:after="160"/>
        <w:jc w:val="both"/>
        <w:rPr>
          <w:rFonts w:ascii="Times New Roman" w:hAnsi="Times New Roman" w:cs="Times New Roman"/>
        </w:rPr>
      </w:pPr>
    </w:p>
    <w:sectPr w:rsidR="00D4239F" w:rsidSect="006126AB">
      <w:headerReference w:type="default" r:id="rId7"/>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0015E" w14:textId="77777777" w:rsidR="0004304F" w:rsidRDefault="0004304F">
      <w:r>
        <w:separator/>
      </w:r>
    </w:p>
  </w:endnote>
  <w:endnote w:type="continuationSeparator" w:id="0">
    <w:p w14:paraId="14F098D2" w14:textId="77777777" w:rsidR="0004304F" w:rsidRDefault="0004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D64F" w14:textId="77777777" w:rsidR="0004304F" w:rsidRDefault="0004304F">
      <w:r>
        <w:separator/>
      </w:r>
    </w:p>
  </w:footnote>
  <w:footnote w:type="continuationSeparator" w:id="0">
    <w:p w14:paraId="6FAFDA71" w14:textId="77777777" w:rsidR="0004304F" w:rsidRDefault="0004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E13AE" w14:textId="77777777" w:rsidR="006126AB" w:rsidRPr="006126AB" w:rsidRDefault="006126AB" w:rsidP="006126AB">
    <w:pPr>
      <w:pStyle w:val="Header"/>
      <w:tabs>
        <w:tab w:val="clear" w:pos="4513"/>
        <w:tab w:val="clear" w:pos="9026"/>
        <w:tab w:val="center" w:pos="5040"/>
        <w:tab w:val="right" w:pos="9720"/>
      </w:tabs>
      <w:rPr>
        <w:rFonts w:ascii="Times New Roman" w:hAnsi="Times New Roman" w:cs="Times New Roman"/>
        <w:sz w:val="22"/>
        <w:szCs w:val="22"/>
        <w:lang w:val="en-IN"/>
      </w:rPr>
    </w:pPr>
    <w:r w:rsidRPr="006126AB">
      <w:rPr>
        <w:rFonts w:ascii="Times New Roman" w:hAnsi="Times New Roman" w:cs="Times New Roman"/>
        <w:sz w:val="22"/>
        <w:szCs w:val="22"/>
        <w:lang w:val="en-IN"/>
      </w:rPr>
      <w:t>No. 36</w:t>
    </w:r>
    <w:r>
      <w:rPr>
        <w:rFonts w:ascii="Times New Roman" w:hAnsi="Times New Roman" w:cs="Times New Roman"/>
        <w:sz w:val="22"/>
        <w:szCs w:val="22"/>
        <w:lang w:val="en-IN"/>
      </w:rPr>
      <w:tab/>
    </w:r>
    <w:r w:rsidRPr="006126AB">
      <w:rPr>
        <w:rFonts w:ascii="Times New Roman" w:hAnsi="Times New Roman" w:cs="Times New Roman"/>
        <w:i/>
        <w:sz w:val="22"/>
        <w:szCs w:val="22"/>
        <w:lang w:val="en-IN"/>
      </w:rPr>
      <w:t>Environment Protection (Impact of Proposals)</w:t>
    </w:r>
    <w:r>
      <w:rPr>
        <w:rFonts w:ascii="Times New Roman" w:hAnsi="Times New Roman" w:cs="Times New Roman"/>
        <w:sz w:val="22"/>
        <w:szCs w:val="22"/>
        <w:lang w:val="en-IN"/>
      </w:rPr>
      <w:tab/>
    </w:r>
    <w:r w:rsidRPr="006126AB">
      <w:rPr>
        <w:rFonts w:ascii="Times New Roman" w:hAnsi="Times New Roman" w:cs="Times New Roman"/>
        <w:sz w:val="22"/>
        <w:szCs w:val="22"/>
        <w:lang w:val="en-IN"/>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22DB"/>
    <w:multiLevelType w:val="multilevel"/>
    <w:tmpl w:val="CDE2F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D7C2F"/>
    <w:multiLevelType w:val="multilevel"/>
    <w:tmpl w:val="E5F8F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372D6"/>
    <w:multiLevelType w:val="multilevel"/>
    <w:tmpl w:val="B882D6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B213A"/>
    <w:rsid w:val="0004304F"/>
    <w:rsid w:val="000A25DB"/>
    <w:rsid w:val="00250EA1"/>
    <w:rsid w:val="002E6CB4"/>
    <w:rsid w:val="006126AB"/>
    <w:rsid w:val="00725CEA"/>
    <w:rsid w:val="007C013E"/>
    <w:rsid w:val="00842ABC"/>
    <w:rsid w:val="009142B7"/>
    <w:rsid w:val="00920366"/>
    <w:rsid w:val="00A139D9"/>
    <w:rsid w:val="00AB213A"/>
    <w:rsid w:val="00CA0BB0"/>
    <w:rsid w:val="00D04FE1"/>
    <w:rsid w:val="00D238BB"/>
    <w:rsid w:val="00D4239F"/>
    <w:rsid w:val="00EA6E87"/>
    <w:rsid w:val="00F04426"/>
    <w:rsid w:val="00F3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23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Footnote0">
    <w:name w:val="Footnote"/>
    <w:basedOn w:val="Normal"/>
    <w:link w:val="Footnote"/>
    <w:pPr>
      <w:spacing w:line="0" w:lineRule="atLeast"/>
      <w:jc w:val="center"/>
    </w:pPr>
    <w:rPr>
      <w:rFonts w:ascii="Times New Roman" w:eastAsia="Times New Roman" w:hAnsi="Times New Roman" w:cs="Times New Roman"/>
      <w:b/>
      <w:bCs/>
      <w:sz w:val="18"/>
      <w:szCs w:val="18"/>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5"/>
      <w:szCs w:val="25"/>
    </w:rPr>
  </w:style>
  <w:style w:type="paragraph" w:customStyle="1" w:styleId="Bodytext20">
    <w:name w:val="Body text (2)"/>
    <w:basedOn w:val="Normal"/>
    <w:link w:val="Bodytext2"/>
    <w:pPr>
      <w:spacing w:line="230" w:lineRule="exact"/>
    </w:pPr>
    <w:rPr>
      <w:rFonts w:ascii="Times New Roman" w:eastAsia="Times New Roman" w:hAnsi="Times New Roman" w:cs="Times New Roman"/>
      <w:i/>
      <w:iCs/>
      <w:sz w:val="22"/>
      <w:szCs w:val="22"/>
    </w:rPr>
  </w:style>
  <w:style w:type="paragraph" w:customStyle="1" w:styleId="BodyText21">
    <w:name w:val="Body Text2"/>
    <w:basedOn w:val="Normal"/>
    <w:link w:val="Bodytext"/>
    <w:pPr>
      <w:spacing w:line="235" w:lineRule="exact"/>
      <w:ind w:hanging="440"/>
      <w:jc w:val="both"/>
    </w:pPr>
    <w:rPr>
      <w:rFonts w:ascii="Times New Roman" w:eastAsia="Times New Roman" w:hAnsi="Times New Roman" w:cs="Times New Roman"/>
      <w:sz w:val="22"/>
      <w:szCs w:val="22"/>
    </w:rPr>
  </w:style>
  <w:style w:type="paragraph" w:styleId="ListParagraph">
    <w:name w:val="List Paragraph"/>
    <w:basedOn w:val="Normal"/>
    <w:uiPriority w:val="34"/>
    <w:qFormat/>
    <w:rsid w:val="00842ABC"/>
    <w:pPr>
      <w:ind w:left="720"/>
      <w:contextualSpacing/>
    </w:pPr>
  </w:style>
  <w:style w:type="paragraph" w:styleId="Header">
    <w:name w:val="header"/>
    <w:basedOn w:val="Normal"/>
    <w:link w:val="HeaderChar"/>
    <w:uiPriority w:val="99"/>
    <w:unhideWhenUsed/>
    <w:rsid w:val="006126AB"/>
    <w:pPr>
      <w:tabs>
        <w:tab w:val="center" w:pos="4513"/>
        <w:tab w:val="right" w:pos="9026"/>
      </w:tabs>
    </w:pPr>
  </w:style>
  <w:style w:type="character" w:customStyle="1" w:styleId="HeaderChar">
    <w:name w:val="Header Char"/>
    <w:basedOn w:val="DefaultParagraphFont"/>
    <w:link w:val="Header"/>
    <w:uiPriority w:val="99"/>
    <w:rsid w:val="006126AB"/>
    <w:rPr>
      <w:color w:val="000000"/>
    </w:rPr>
  </w:style>
  <w:style w:type="paragraph" w:styleId="Footer">
    <w:name w:val="footer"/>
    <w:basedOn w:val="Normal"/>
    <w:link w:val="FooterChar"/>
    <w:uiPriority w:val="99"/>
    <w:unhideWhenUsed/>
    <w:rsid w:val="006126AB"/>
    <w:pPr>
      <w:tabs>
        <w:tab w:val="center" w:pos="4513"/>
        <w:tab w:val="right" w:pos="9026"/>
      </w:tabs>
    </w:pPr>
  </w:style>
  <w:style w:type="character" w:customStyle="1" w:styleId="FooterChar">
    <w:name w:val="Footer Char"/>
    <w:basedOn w:val="DefaultParagraphFont"/>
    <w:link w:val="Footer"/>
    <w:uiPriority w:val="99"/>
    <w:rsid w:val="006126AB"/>
    <w:rPr>
      <w:color w:val="000000"/>
    </w:rPr>
  </w:style>
  <w:style w:type="character" w:styleId="CommentReference">
    <w:name w:val="annotation reference"/>
    <w:basedOn w:val="DefaultParagraphFont"/>
    <w:uiPriority w:val="99"/>
    <w:semiHidden/>
    <w:unhideWhenUsed/>
    <w:rsid w:val="00F04426"/>
    <w:rPr>
      <w:sz w:val="16"/>
      <w:szCs w:val="16"/>
    </w:rPr>
  </w:style>
  <w:style w:type="paragraph" w:styleId="CommentText">
    <w:name w:val="annotation text"/>
    <w:basedOn w:val="Normal"/>
    <w:link w:val="CommentTextChar"/>
    <w:uiPriority w:val="99"/>
    <w:semiHidden/>
    <w:unhideWhenUsed/>
    <w:rsid w:val="00F04426"/>
    <w:rPr>
      <w:sz w:val="20"/>
      <w:szCs w:val="20"/>
    </w:rPr>
  </w:style>
  <w:style w:type="character" w:customStyle="1" w:styleId="CommentTextChar">
    <w:name w:val="Comment Text Char"/>
    <w:basedOn w:val="DefaultParagraphFont"/>
    <w:link w:val="CommentText"/>
    <w:uiPriority w:val="99"/>
    <w:semiHidden/>
    <w:rsid w:val="00F04426"/>
    <w:rPr>
      <w:color w:val="000000"/>
      <w:sz w:val="20"/>
      <w:szCs w:val="20"/>
    </w:rPr>
  </w:style>
  <w:style w:type="paragraph" w:styleId="CommentSubject">
    <w:name w:val="annotation subject"/>
    <w:basedOn w:val="CommentText"/>
    <w:next w:val="CommentText"/>
    <w:link w:val="CommentSubjectChar"/>
    <w:uiPriority w:val="99"/>
    <w:semiHidden/>
    <w:unhideWhenUsed/>
    <w:rsid w:val="00F04426"/>
    <w:rPr>
      <w:b/>
      <w:bCs/>
    </w:rPr>
  </w:style>
  <w:style w:type="character" w:customStyle="1" w:styleId="CommentSubjectChar">
    <w:name w:val="Comment Subject Char"/>
    <w:basedOn w:val="CommentTextChar"/>
    <w:link w:val="CommentSubject"/>
    <w:uiPriority w:val="99"/>
    <w:semiHidden/>
    <w:rsid w:val="00F04426"/>
    <w:rPr>
      <w:b/>
      <w:bCs/>
      <w:color w:val="000000"/>
      <w:sz w:val="20"/>
      <w:szCs w:val="20"/>
    </w:rPr>
  </w:style>
  <w:style w:type="paragraph" w:styleId="BalloonText">
    <w:name w:val="Balloon Text"/>
    <w:basedOn w:val="Normal"/>
    <w:link w:val="BalloonTextChar"/>
    <w:uiPriority w:val="99"/>
    <w:semiHidden/>
    <w:unhideWhenUsed/>
    <w:rsid w:val="00F0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26"/>
    <w:rPr>
      <w:rFonts w:ascii="Segoe UI" w:hAnsi="Segoe UI" w:cs="Segoe UI"/>
      <w:color w:val="000000"/>
      <w:sz w:val="18"/>
      <w:szCs w:val="18"/>
    </w:rPr>
  </w:style>
  <w:style w:type="paragraph" w:styleId="Revision">
    <w:name w:val="Revision"/>
    <w:hidden/>
    <w:uiPriority w:val="99"/>
    <w:semiHidden/>
    <w:rsid w:val="009142B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2018-09-22T20:30:00Z</dcterms:created>
  <dcterms:modified xsi:type="dcterms:W3CDTF">2019-07-11T22:21:00Z</dcterms:modified>
</cp:coreProperties>
</file>