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AFFF3" w14:textId="77777777" w:rsidR="00F92ACA" w:rsidRDefault="00024D46" w:rsidP="00F92ACA">
      <w:pPr>
        <w:spacing w:after="120"/>
        <w:jc w:val="center"/>
        <w:rPr>
          <w:rStyle w:val="Heading11"/>
          <w:rFonts w:ascii="Times New Roman" w:hAnsi="Times New Roman" w:cs="Times New Roman"/>
          <w:spacing w:val="0"/>
          <w:sz w:val="32"/>
          <w:szCs w:val="22"/>
        </w:rPr>
      </w:pPr>
      <w:bookmarkStart w:id="0" w:name="bookmark0"/>
      <w:r w:rsidRPr="00F92ACA">
        <w:rPr>
          <w:rStyle w:val="Heading11"/>
          <w:rFonts w:ascii="Times New Roman" w:hAnsi="Times New Roman" w:cs="Times New Roman"/>
          <w:spacing w:val="0"/>
          <w:sz w:val="32"/>
          <w:szCs w:val="22"/>
        </w:rPr>
        <w:t>GRANTS COMMISSION ACT 1975</w:t>
      </w:r>
    </w:p>
    <w:p w14:paraId="3179D882" w14:textId="77777777" w:rsidR="008F1844" w:rsidRPr="00DB65EA" w:rsidRDefault="00024D46" w:rsidP="00065325">
      <w:pPr>
        <w:spacing w:after="160"/>
        <w:jc w:val="center"/>
        <w:rPr>
          <w:sz w:val="28"/>
        </w:rPr>
      </w:pPr>
      <w:r w:rsidRPr="00DB65EA">
        <w:rPr>
          <w:rStyle w:val="Heading11"/>
          <w:rFonts w:ascii="Times New Roman" w:hAnsi="Times New Roman" w:cs="Times New Roman"/>
          <w:spacing w:val="0"/>
          <w:sz w:val="28"/>
          <w:szCs w:val="22"/>
        </w:rPr>
        <w:t xml:space="preserve">No. </w:t>
      </w:r>
      <w:r w:rsidRPr="00DB65EA">
        <w:rPr>
          <w:rStyle w:val="Heading1125pt"/>
          <w:rFonts w:ascii="Times New Roman" w:hAnsi="Times New Roman" w:cs="Times New Roman"/>
          <w:spacing w:val="0"/>
          <w:sz w:val="28"/>
          <w:szCs w:val="22"/>
        </w:rPr>
        <w:t>59</w:t>
      </w:r>
      <w:r w:rsidRPr="00DB65EA">
        <w:rPr>
          <w:rStyle w:val="Heading1TimesNewRoman"/>
          <w:rFonts w:eastAsia="Courier New"/>
          <w:b w:val="0"/>
          <w:bCs w:val="0"/>
          <w:sz w:val="28"/>
          <w:szCs w:val="22"/>
        </w:rPr>
        <w:t xml:space="preserve"> </w:t>
      </w:r>
      <w:r w:rsidRPr="00DB65EA">
        <w:rPr>
          <w:rStyle w:val="Heading11"/>
          <w:rFonts w:ascii="Times New Roman" w:hAnsi="Times New Roman" w:cs="Times New Roman"/>
          <w:spacing w:val="0"/>
          <w:sz w:val="28"/>
          <w:szCs w:val="22"/>
        </w:rPr>
        <w:t xml:space="preserve">of </w:t>
      </w:r>
      <w:r w:rsidRPr="00DB65EA">
        <w:rPr>
          <w:rStyle w:val="Heading1125pt"/>
          <w:rFonts w:ascii="Times New Roman" w:hAnsi="Times New Roman" w:cs="Times New Roman"/>
          <w:spacing w:val="0"/>
          <w:sz w:val="28"/>
          <w:szCs w:val="22"/>
        </w:rPr>
        <w:t>1975</w:t>
      </w:r>
      <w:bookmarkEnd w:id="0"/>
    </w:p>
    <w:p w14:paraId="2A73B4CA" w14:textId="77777777" w:rsidR="008F1844" w:rsidRPr="0018224F" w:rsidRDefault="00024D46" w:rsidP="00F92ACA">
      <w:pPr>
        <w:pStyle w:val="BodyText1"/>
        <w:spacing w:after="240" w:line="240" w:lineRule="auto"/>
        <w:ind w:firstLine="0"/>
        <w:jc w:val="center"/>
        <w:rPr>
          <w:sz w:val="24"/>
          <w:szCs w:val="22"/>
        </w:rPr>
      </w:pPr>
      <w:r w:rsidRPr="0018224F">
        <w:rPr>
          <w:sz w:val="24"/>
          <w:szCs w:val="22"/>
        </w:rPr>
        <w:t xml:space="preserve">An Act to amend the </w:t>
      </w:r>
      <w:r w:rsidRPr="0018224F">
        <w:rPr>
          <w:rStyle w:val="BodytextItalic"/>
          <w:sz w:val="24"/>
          <w:szCs w:val="22"/>
        </w:rPr>
        <w:t>Grants Commission Acts</w:t>
      </w:r>
      <w:r w:rsidRPr="0018224F">
        <w:rPr>
          <w:sz w:val="24"/>
          <w:szCs w:val="22"/>
        </w:rPr>
        <w:t xml:space="preserve"> 1973.</w:t>
      </w:r>
    </w:p>
    <w:p w14:paraId="33EB80C0" w14:textId="0F2EFAE6" w:rsidR="008F1844" w:rsidRPr="00F92ACA" w:rsidRDefault="00024D46" w:rsidP="00F92ACA">
      <w:pPr>
        <w:pStyle w:val="BodyText1"/>
        <w:spacing w:line="240" w:lineRule="auto"/>
        <w:ind w:firstLine="274"/>
        <w:jc w:val="left"/>
        <w:rPr>
          <w:sz w:val="24"/>
          <w:szCs w:val="22"/>
        </w:rPr>
      </w:pPr>
      <w:r w:rsidRPr="00F92ACA">
        <w:rPr>
          <w:sz w:val="24"/>
          <w:szCs w:val="22"/>
        </w:rPr>
        <w:t>BE IT ENACTED by the Queen, the Senate and the House of Representatives of Australia, as follows:—</w:t>
      </w:r>
    </w:p>
    <w:p w14:paraId="6CB717A5" w14:textId="77777777" w:rsidR="008F1844" w:rsidRPr="00F92ACA" w:rsidRDefault="00024D46" w:rsidP="00F92ACA">
      <w:pPr>
        <w:pStyle w:val="Bodytext40"/>
        <w:spacing w:before="120" w:after="60" w:line="240" w:lineRule="auto"/>
        <w:jc w:val="left"/>
        <w:rPr>
          <w:b/>
          <w:sz w:val="20"/>
          <w:szCs w:val="22"/>
        </w:rPr>
      </w:pPr>
      <w:r w:rsidRPr="00F92ACA">
        <w:rPr>
          <w:b/>
          <w:sz w:val="20"/>
          <w:szCs w:val="22"/>
        </w:rPr>
        <w:t>Short title and citation.</w:t>
      </w:r>
    </w:p>
    <w:p w14:paraId="4713033C" w14:textId="185C153C" w:rsidR="008F1844" w:rsidRPr="00F92ACA" w:rsidRDefault="00ED4497" w:rsidP="00F92ACA">
      <w:pPr>
        <w:pStyle w:val="BodyText1"/>
        <w:spacing w:after="120" w:line="240" w:lineRule="auto"/>
        <w:ind w:firstLine="274"/>
        <w:jc w:val="left"/>
        <w:rPr>
          <w:sz w:val="24"/>
          <w:szCs w:val="22"/>
        </w:rPr>
      </w:pPr>
      <w:r w:rsidRPr="00F92ACA">
        <w:rPr>
          <w:rStyle w:val="BodytextSpacing1pt"/>
          <w:b/>
          <w:spacing w:val="0"/>
          <w:sz w:val="24"/>
          <w:szCs w:val="22"/>
        </w:rPr>
        <w:t>1.</w:t>
      </w:r>
      <w:r w:rsidRPr="00F92ACA">
        <w:rPr>
          <w:rStyle w:val="BodytextSpacing1pt"/>
          <w:spacing w:val="0"/>
          <w:sz w:val="24"/>
          <w:szCs w:val="22"/>
        </w:rPr>
        <w:t xml:space="preserve"> </w:t>
      </w:r>
      <w:r w:rsidR="00024D46" w:rsidRPr="00F92ACA">
        <w:rPr>
          <w:rStyle w:val="BodytextSpacing1pt"/>
          <w:spacing w:val="0"/>
          <w:sz w:val="24"/>
          <w:szCs w:val="22"/>
        </w:rPr>
        <w:t>(1)</w:t>
      </w:r>
      <w:r w:rsidR="00024D46" w:rsidRPr="00F92ACA">
        <w:rPr>
          <w:sz w:val="24"/>
          <w:szCs w:val="22"/>
        </w:rPr>
        <w:t xml:space="preserve"> This Act may be cited as the </w:t>
      </w:r>
      <w:r w:rsidR="00024D46" w:rsidRPr="00F92ACA">
        <w:rPr>
          <w:rStyle w:val="BodytextItalic"/>
          <w:sz w:val="24"/>
          <w:szCs w:val="22"/>
        </w:rPr>
        <w:t xml:space="preserve">Grants Commission Act </w:t>
      </w:r>
      <w:r w:rsidR="0017181B">
        <w:rPr>
          <w:rStyle w:val="BodytextItalic"/>
          <w:i w:val="0"/>
          <w:sz w:val="24"/>
          <w:szCs w:val="22"/>
        </w:rPr>
        <w:t>197</w:t>
      </w:r>
      <w:r w:rsidR="00024D46" w:rsidRPr="00F92ACA">
        <w:rPr>
          <w:rStyle w:val="BodytextItalic"/>
          <w:i w:val="0"/>
          <w:sz w:val="24"/>
          <w:szCs w:val="22"/>
        </w:rPr>
        <w:t>5.</w:t>
      </w:r>
    </w:p>
    <w:p w14:paraId="3F6FFD06" w14:textId="1FA763CF" w:rsidR="008F1844" w:rsidRPr="00F92ACA" w:rsidRDefault="00ED4497" w:rsidP="00F92ACA">
      <w:pPr>
        <w:pStyle w:val="BodyText1"/>
        <w:spacing w:after="120" w:line="240" w:lineRule="auto"/>
        <w:ind w:firstLine="274"/>
        <w:jc w:val="left"/>
        <w:rPr>
          <w:sz w:val="24"/>
          <w:szCs w:val="22"/>
        </w:rPr>
      </w:pPr>
      <w:r w:rsidRPr="00F92ACA">
        <w:rPr>
          <w:sz w:val="24"/>
          <w:szCs w:val="22"/>
        </w:rPr>
        <w:t xml:space="preserve">(2) </w:t>
      </w:r>
      <w:r w:rsidR="00024D46" w:rsidRPr="00F92ACA">
        <w:rPr>
          <w:sz w:val="24"/>
          <w:szCs w:val="22"/>
        </w:rPr>
        <w:t xml:space="preserve">The </w:t>
      </w:r>
      <w:r w:rsidR="00024D46" w:rsidRPr="00F92ACA">
        <w:rPr>
          <w:rStyle w:val="BodytextItalic"/>
          <w:sz w:val="24"/>
          <w:szCs w:val="22"/>
        </w:rPr>
        <w:t>Grants Commission Acts</w:t>
      </w:r>
      <w:r w:rsidR="00024D46" w:rsidRPr="00F92ACA">
        <w:rPr>
          <w:sz w:val="24"/>
          <w:szCs w:val="22"/>
        </w:rPr>
        <w:t xml:space="preserve"> 1973 is in this Act referred to as the Principal Act.</w:t>
      </w:r>
    </w:p>
    <w:p w14:paraId="464A9C0E" w14:textId="77777777" w:rsidR="008F1844" w:rsidRPr="00F92ACA" w:rsidRDefault="00ED4497" w:rsidP="00F92ACA">
      <w:pPr>
        <w:pStyle w:val="BodyText1"/>
        <w:spacing w:after="120" w:line="240" w:lineRule="auto"/>
        <w:ind w:firstLine="274"/>
        <w:jc w:val="left"/>
        <w:rPr>
          <w:sz w:val="24"/>
          <w:szCs w:val="22"/>
        </w:rPr>
      </w:pPr>
      <w:r w:rsidRPr="00F92ACA">
        <w:rPr>
          <w:sz w:val="24"/>
          <w:szCs w:val="22"/>
        </w:rPr>
        <w:t xml:space="preserve">(3) </w:t>
      </w:r>
      <w:r w:rsidR="00024D46" w:rsidRPr="00F92ACA">
        <w:rPr>
          <w:sz w:val="24"/>
          <w:szCs w:val="22"/>
        </w:rPr>
        <w:t xml:space="preserve">The Principal Act, as amended by this Act, may be cited as the </w:t>
      </w:r>
      <w:r w:rsidR="00024D46" w:rsidRPr="00F92ACA">
        <w:rPr>
          <w:rStyle w:val="BodytextItalic"/>
          <w:sz w:val="24"/>
          <w:szCs w:val="22"/>
        </w:rPr>
        <w:t>Grants Commission Act</w:t>
      </w:r>
      <w:r w:rsidR="00024D46" w:rsidRPr="00F92ACA">
        <w:rPr>
          <w:sz w:val="24"/>
          <w:szCs w:val="22"/>
        </w:rPr>
        <w:t xml:space="preserve"> 1973-1975.</w:t>
      </w:r>
    </w:p>
    <w:p w14:paraId="3751ACDD" w14:textId="38712554" w:rsidR="008F1844" w:rsidRPr="00F92ACA" w:rsidRDefault="00024D46" w:rsidP="00F92ACA">
      <w:pPr>
        <w:pStyle w:val="Bodytext40"/>
        <w:spacing w:before="120" w:after="60" w:line="240" w:lineRule="auto"/>
        <w:jc w:val="left"/>
        <w:rPr>
          <w:b/>
          <w:sz w:val="20"/>
          <w:szCs w:val="22"/>
        </w:rPr>
      </w:pPr>
      <w:r w:rsidRPr="00F92ACA">
        <w:rPr>
          <w:b/>
          <w:sz w:val="20"/>
          <w:szCs w:val="22"/>
        </w:rPr>
        <w:t>Commencement.</w:t>
      </w:r>
    </w:p>
    <w:p w14:paraId="536163B7" w14:textId="482BD67D" w:rsidR="008F1844" w:rsidRPr="00F92ACA" w:rsidRDefault="00ED4497" w:rsidP="00F92ACA">
      <w:pPr>
        <w:pStyle w:val="BodyText1"/>
        <w:spacing w:after="120" w:line="240" w:lineRule="auto"/>
        <w:ind w:firstLine="274"/>
        <w:jc w:val="left"/>
        <w:rPr>
          <w:sz w:val="24"/>
          <w:szCs w:val="22"/>
        </w:rPr>
      </w:pPr>
      <w:r w:rsidRPr="00F92ACA">
        <w:rPr>
          <w:b/>
          <w:sz w:val="24"/>
          <w:szCs w:val="22"/>
        </w:rPr>
        <w:t>2.</w:t>
      </w:r>
      <w:r w:rsidR="0018224F">
        <w:rPr>
          <w:sz w:val="24"/>
          <w:szCs w:val="22"/>
        </w:rPr>
        <w:t xml:space="preserve"> </w:t>
      </w:r>
      <w:r w:rsidR="00024D46" w:rsidRPr="00F92ACA">
        <w:rPr>
          <w:sz w:val="24"/>
          <w:szCs w:val="22"/>
        </w:rPr>
        <w:t>(1) Subject to sub-section (2), this Act shall come into operation on the day on which it receives the Royal Assent.</w:t>
      </w:r>
    </w:p>
    <w:p w14:paraId="5A3B3D9E" w14:textId="40A4E56D" w:rsidR="008F1844" w:rsidRPr="00F92ACA" w:rsidRDefault="00024D46" w:rsidP="00F92ACA">
      <w:pPr>
        <w:pStyle w:val="BodyText1"/>
        <w:spacing w:after="120" w:line="240" w:lineRule="auto"/>
        <w:ind w:firstLine="274"/>
        <w:jc w:val="left"/>
        <w:rPr>
          <w:sz w:val="24"/>
          <w:szCs w:val="22"/>
        </w:rPr>
      </w:pPr>
      <w:r w:rsidRPr="00F92ACA">
        <w:rPr>
          <w:sz w:val="24"/>
          <w:szCs w:val="22"/>
        </w:rPr>
        <w:t xml:space="preserve">(2) The amendment effected by paragraph </w:t>
      </w:r>
      <w:r w:rsidRPr="00F92ACA">
        <w:rPr>
          <w:rStyle w:val="BodytextSpacing1pt"/>
          <w:spacing w:val="0"/>
          <w:sz w:val="24"/>
          <w:szCs w:val="22"/>
        </w:rPr>
        <w:t>3(b)</w:t>
      </w:r>
      <w:r w:rsidRPr="00F92ACA">
        <w:rPr>
          <w:sz w:val="24"/>
          <w:szCs w:val="22"/>
        </w:rPr>
        <w:t xml:space="preserve"> shall be deemed t</w:t>
      </w:r>
      <w:r w:rsidR="002C4A0F">
        <w:rPr>
          <w:sz w:val="24"/>
          <w:szCs w:val="22"/>
        </w:rPr>
        <w:t>o have come into operation on 1 </w:t>
      </w:r>
      <w:r w:rsidRPr="00F92ACA">
        <w:rPr>
          <w:sz w:val="24"/>
          <w:szCs w:val="22"/>
        </w:rPr>
        <w:t>October 1974.</w:t>
      </w:r>
      <w:bookmarkStart w:id="1" w:name="_GoBack"/>
      <w:bookmarkEnd w:id="1"/>
    </w:p>
    <w:p w14:paraId="2DB7C3F2" w14:textId="77777777" w:rsidR="00ED4497" w:rsidRPr="00F92ACA" w:rsidRDefault="00ED4497" w:rsidP="00F92ACA">
      <w:pPr>
        <w:pStyle w:val="BodyText1"/>
        <w:spacing w:before="120" w:after="60" w:line="240" w:lineRule="auto"/>
        <w:ind w:firstLine="0"/>
        <w:jc w:val="left"/>
        <w:rPr>
          <w:b/>
          <w:sz w:val="20"/>
          <w:szCs w:val="22"/>
        </w:rPr>
      </w:pPr>
      <w:r w:rsidRPr="00F92ACA">
        <w:rPr>
          <w:b/>
          <w:sz w:val="20"/>
          <w:szCs w:val="22"/>
        </w:rPr>
        <w:t>Membership of Commission.</w:t>
      </w:r>
    </w:p>
    <w:p w14:paraId="7DE4E3D1" w14:textId="77777777" w:rsidR="008F1844" w:rsidRPr="00F92ACA" w:rsidRDefault="00ED4497" w:rsidP="0018224F">
      <w:pPr>
        <w:pStyle w:val="BodyText1"/>
        <w:tabs>
          <w:tab w:val="left" w:pos="630"/>
        </w:tabs>
        <w:spacing w:after="120" w:line="240" w:lineRule="auto"/>
        <w:ind w:firstLine="274"/>
        <w:jc w:val="left"/>
        <w:rPr>
          <w:sz w:val="24"/>
          <w:szCs w:val="22"/>
        </w:rPr>
      </w:pPr>
      <w:r w:rsidRPr="00F92ACA">
        <w:rPr>
          <w:b/>
          <w:sz w:val="24"/>
          <w:szCs w:val="22"/>
        </w:rPr>
        <w:t>3.</w:t>
      </w:r>
      <w:r w:rsidR="0018224F">
        <w:rPr>
          <w:b/>
          <w:sz w:val="24"/>
          <w:szCs w:val="22"/>
        </w:rPr>
        <w:tab/>
      </w:r>
      <w:r w:rsidR="00024D46" w:rsidRPr="00F92ACA">
        <w:rPr>
          <w:sz w:val="24"/>
          <w:szCs w:val="22"/>
        </w:rPr>
        <w:t>Section 8 of the Principal Act is amended—</w:t>
      </w:r>
    </w:p>
    <w:p w14:paraId="5104BF03" w14:textId="77777777" w:rsidR="008F1844" w:rsidRPr="00F92ACA" w:rsidRDefault="00ED4497" w:rsidP="00F92ACA">
      <w:pPr>
        <w:pStyle w:val="BodyText1"/>
        <w:spacing w:after="120" w:line="240" w:lineRule="auto"/>
        <w:ind w:firstLine="274"/>
        <w:jc w:val="left"/>
        <w:rPr>
          <w:sz w:val="24"/>
          <w:szCs w:val="22"/>
        </w:rPr>
      </w:pPr>
      <w:r w:rsidRPr="00F92ACA">
        <w:rPr>
          <w:sz w:val="24"/>
          <w:szCs w:val="22"/>
        </w:rPr>
        <w:t xml:space="preserve">(a) </w:t>
      </w:r>
      <w:r w:rsidR="00024D46" w:rsidRPr="00F92ACA">
        <w:rPr>
          <w:sz w:val="24"/>
          <w:szCs w:val="22"/>
        </w:rPr>
        <w:t>by omitting from sub-section (1) the word “six” and substituting the word “seven”; and</w:t>
      </w:r>
    </w:p>
    <w:p w14:paraId="3E20BA1F" w14:textId="77777777" w:rsidR="008F1844" w:rsidRPr="00F92ACA" w:rsidRDefault="00ED4497" w:rsidP="00F92ACA">
      <w:pPr>
        <w:pStyle w:val="BodyText1"/>
        <w:spacing w:after="120" w:line="240" w:lineRule="auto"/>
        <w:ind w:firstLine="274"/>
        <w:jc w:val="left"/>
        <w:rPr>
          <w:sz w:val="24"/>
          <w:szCs w:val="22"/>
        </w:rPr>
      </w:pPr>
      <w:r w:rsidRPr="00F92ACA">
        <w:rPr>
          <w:sz w:val="24"/>
          <w:szCs w:val="22"/>
        </w:rPr>
        <w:t xml:space="preserve">(b) </w:t>
      </w:r>
      <w:r w:rsidR="00024D46" w:rsidRPr="00F92ACA">
        <w:rPr>
          <w:sz w:val="24"/>
          <w:szCs w:val="22"/>
        </w:rPr>
        <w:t>by inserting after sub-section (6) the following sub-section: —</w:t>
      </w:r>
    </w:p>
    <w:p w14:paraId="0890FD8C" w14:textId="79B28070" w:rsidR="008F1844" w:rsidRPr="00F92ACA" w:rsidRDefault="0018224F" w:rsidP="00F92ACA">
      <w:pPr>
        <w:pStyle w:val="BodyText1"/>
        <w:spacing w:after="120" w:line="240" w:lineRule="auto"/>
        <w:ind w:left="603" w:firstLine="180"/>
        <w:jc w:val="left"/>
        <w:rPr>
          <w:sz w:val="24"/>
          <w:szCs w:val="22"/>
        </w:rPr>
      </w:pPr>
      <w:r>
        <w:rPr>
          <w:rStyle w:val="Bodytext9pt"/>
          <w:sz w:val="24"/>
          <w:szCs w:val="22"/>
        </w:rPr>
        <w:t>“(6</w:t>
      </w:r>
      <w:r w:rsidR="002C4A0F">
        <w:rPr>
          <w:rStyle w:val="Bodytext9pt"/>
          <w:smallCaps/>
          <w:sz w:val="24"/>
          <w:szCs w:val="22"/>
        </w:rPr>
        <w:t>a</w:t>
      </w:r>
      <w:r w:rsidR="00024D46" w:rsidRPr="00F92ACA">
        <w:rPr>
          <w:rStyle w:val="Bodytext9pt"/>
          <w:sz w:val="24"/>
          <w:szCs w:val="22"/>
        </w:rPr>
        <w:t xml:space="preserve">) </w:t>
      </w:r>
      <w:r w:rsidR="00024D46" w:rsidRPr="00F92ACA">
        <w:rPr>
          <w:sz w:val="24"/>
          <w:szCs w:val="22"/>
        </w:rPr>
        <w:t>If the Chairman was, immediately before his appointment, a Judge of a Federal Court or of the Supreme Court of a State or Territory, he shall have the same designation, rank, status and precedence as a Judge of the Supreme Court of th</w:t>
      </w:r>
      <w:r w:rsidR="00B53269">
        <w:rPr>
          <w:sz w:val="24"/>
          <w:szCs w:val="22"/>
        </w:rPr>
        <w:t>e Australian Capital Territory.</w:t>
      </w:r>
      <w:r w:rsidR="00024D46" w:rsidRPr="00F92ACA">
        <w:rPr>
          <w:sz w:val="24"/>
          <w:szCs w:val="22"/>
        </w:rPr>
        <w:t>”.</w:t>
      </w:r>
    </w:p>
    <w:p w14:paraId="3D5BA5DF" w14:textId="77777777" w:rsidR="008F1844" w:rsidRPr="00F92ACA" w:rsidRDefault="00ED4497" w:rsidP="00F92ACA">
      <w:pPr>
        <w:pStyle w:val="BodyText1"/>
        <w:spacing w:after="120" w:line="240" w:lineRule="auto"/>
        <w:ind w:firstLine="274"/>
        <w:jc w:val="left"/>
        <w:rPr>
          <w:sz w:val="24"/>
          <w:szCs w:val="22"/>
        </w:rPr>
      </w:pPr>
      <w:r w:rsidRPr="00F92ACA">
        <w:rPr>
          <w:rStyle w:val="BodytextArial0"/>
          <w:rFonts w:ascii="Times New Roman" w:hAnsi="Times New Roman" w:cs="Times New Roman"/>
          <w:b/>
          <w:sz w:val="24"/>
          <w:szCs w:val="22"/>
        </w:rPr>
        <w:t>4.</w:t>
      </w:r>
      <w:r w:rsidR="0018224F">
        <w:rPr>
          <w:rStyle w:val="BodytextArial0"/>
          <w:rFonts w:ascii="Times New Roman" w:hAnsi="Times New Roman" w:cs="Times New Roman"/>
          <w:b/>
          <w:sz w:val="24"/>
          <w:szCs w:val="22"/>
        </w:rPr>
        <w:t xml:space="preserve"> </w:t>
      </w:r>
      <w:r w:rsidR="00024D46" w:rsidRPr="00F92ACA">
        <w:rPr>
          <w:rStyle w:val="BodytextArial0"/>
          <w:rFonts w:ascii="Times New Roman" w:hAnsi="Times New Roman" w:cs="Times New Roman"/>
          <w:sz w:val="24"/>
          <w:szCs w:val="22"/>
        </w:rPr>
        <w:t>(</w:t>
      </w:r>
      <w:r w:rsidR="00024D46" w:rsidRPr="00F92ACA">
        <w:rPr>
          <w:sz w:val="24"/>
          <w:szCs w:val="22"/>
        </w:rPr>
        <w:t>1</w:t>
      </w:r>
      <w:r w:rsidR="00024D46" w:rsidRPr="00F92ACA">
        <w:rPr>
          <w:rStyle w:val="BodytextArial0"/>
          <w:rFonts w:ascii="Times New Roman" w:hAnsi="Times New Roman" w:cs="Times New Roman"/>
          <w:sz w:val="24"/>
          <w:szCs w:val="22"/>
        </w:rPr>
        <w:t>)</w:t>
      </w:r>
      <w:r w:rsidR="00024D46" w:rsidRPr="00F92ACA">
        <w:rPr>
          <w:rStyle w:val="BodytextArial"/>
          <w:rFonts w:ascii="Times New Roman" w:hAnsi="Times New Roman" w:cs="Times New Roman"/>
          <w:sz w:val="24"/>
          <w:szCs w:val="22"/>
        </w:rPr>
        <w:t xml:space="preserve"> </w:t>
      </w:r>
      <w:r w:rsidR="00024D46" w:rsidRPr="00F92ACA">
        <w:rPr>
          <w:sz w:val="24"/>
          <w:szCs w:val="22"/>
        </w:rPr>
        <w:t>Section 9 of the Principal Act is repealed and the following sections substituted:—</w:t>
      </w:r>
    </w:p>
    <w:p w14:paraId="7FF736D2" w14:textId="77777777" w:rsidR="008F1844" w:rsidRPr="00F92ACA" w:rsidRDefault="00024D46" w:rsidP="00F92ACA">
      <w:pPr>
        <w:pStyle w:val="Bodytext40"/>
        <w:spacing w:before="120" w:after="60" w:line="240" w:lineRule="auto"/>
        <w:jc w:val="left"/>
        <w:rPr>
          <w:b/>
          <w:sz w:val="20"/>
          <w:szCs w:val="22"/>
        </w:rPr>
      </w:pPr>
      <w:r w:rsidRPr="00F92ACA">
        <w:rPr>
          <w:b/>
          <w:sz w:val="20"/>
          <w:szCs w:val="22"/>
        </w:rPr>
        <w:t>Remuneration of member who has status of Judge.</w:t>
      </w:r>
    </w:p>
    <w:p w14:paraId="49FF1C30" w14:textId="2ABB15A4" w:rsidR="008F1844" w:rsidRPr="00F92ACA" w:rsidRDefault="00024D46" w:rsidP="00F92ACA">
      <w:pPr>
        <w:pStyle w:val="BodyText1"/>
        <w:spacing w:after="120" w:line="240" w:lineRule="auto"/>
        <w:ind w:firstLine="274"/>
        <w:jc w:val="left"/>
        <w:rPr>
          <w:sz w:val="24"/>
          <w:szCs w:val="22"/>
        </w:rPr>
      </w:pPr>
      <w:r w:rsidRPr="00F92ACA">
        <w:rPr>
          <w:sz w:val="24"/>
          <w:szCs w:val="22"/>
        </w:rPr>
        <w:t>“9. (1) If sub-section 8(6</w:t>
      </w:r>
      <w:r w:rsidR="002C4A0F" w:rsidRPr="002C4A0F">
        <w:rPr>
          <w:smallCaps/>
          <w:sz w:val="24"/>
          <w:szCs w:val="22"/>
        </w:rPr>
        <w:t>a</w:t>
      </w:r>
      <w:r w:rsidRPr="00F92ACA">
        <w:rPr>
          <w:sz w:val="24"/>
          <w:szCs w:val="22"/>
        </w:rPr>
        <w:t>) applies to the Chairman, he shall be paid salary at such rate, and an annual allowance at such rate, if any, as the Parliament fixes, but, until the Parliament fixes the rate of that salary, he shall be paid salary and an annual allowance at the rates that were applicable immediately before the commencement of this section.</w:t>
      </w:r>
    </w:p>
    <w:p w14:paraId="5AE927B1" w14:textId="75B0B8DD" w:rsidR="00ED4497" w:rsidRPr="00F92ACA" w:rsidRDefault="00024D46" w:rsidP="00F92ACA">
      <w:pPr>
        <w:pStyle w:val="BodyText1"/>
        <w:spacing w:after="120" w:line="240" w:lineRule="auto"/>
        <w:ind w:firstLine="274"/>
        <w:jc w:val="left"/>
        <w:rPr>
          <w:sz w:val="24"/>
          <w:szCs w:val="22"/>
        </w:rPr>
      </w:pPr>
      <w:r w:rsidRPr="00F92ACA">
        <w:rPr>
          <w:rStyle w:val="BodytextSpacing1pt"/>
          <w:spacing w:val="0"/>
          <w:sz w:val="24"/>
          <w:szCs w:val="22"/>
        </w:rPr>
        <w:t>“(2)</w:t>
      </w:r>
      <w:r w:rsidRPr="00F92ACA">
        <w:rPr>
          <w:sz w:val="24"/>
          <w:szCs w:val="22"/>
        </w:rPr>
        <w:t xml:space="preserve"> If sub-section 8(6</w:t>
      </w:r>
      <w:r w:rsidR="002C4A0F" w:rsidRPr="002C4A0F">
        <w:rPr>
          <w:smallCaps/>
          <w:sz w:val="24"/>
          <w:szCs w:val="22"/>
        </w:rPr>
        <w:t>a</w:t>
      </w:r>
      <w:r w:rsidRPr="00F92ACA">
        <w:rPr>
          <w:sz w:val="24"/>
          <w:szCs w:val="22"/>
        </w:rPr>
        <w:t>) applies to the Chairman, he shall be paid such allowances (other than an annual allowance) as are prescribed.</w:t>
      </w:r>
    </w:p>
    <w:p w14:paraId="6C83555C" w14:textId="25FB9665" w:rsidR="008F1844" w:rsidRPr="00DB65EA" w:rsidRDefault="00024D46" w:rsidP="00DB65EA">
      <w:pPr>
        <w:pStyle w:val="Bodytext40"/>
        <w:spacing w:before="120" w:after="60" w:line="240" w:lineRule="auto"/>
        <w:jc w:val="left"/>
        <w:rPr>
          <w:b/>
          <w:sz w:val="20"/>
          <w:szCs w:val="22"/>
        </w:rPr>
      </w:pPr>
      <w:r w:rsidRPr="00DB65EA">
        <w:rPr>
          <w:b/>
          <w:sz w:val="20"/>
          <w:szCs w:val="22"/>
        </w:rPr>
        <w:t>Remuneration of other members.</w:t>
      </w:r>
    </w:p>
    <w:p w14:paraId="056E9DD1" w14:textId="155140BE" w:rsidR="008F1844" w:rsidRPr="00F92ACA" w:rsidRDefault="00024D46" w:rsidP="00DB65EA">
      <w:pPr>
        <w:pStyle w:val="BodyText1"/>
        <w:spacing w:after="120" w:line="240" w:lineRule="auto"/>
        <w:ind w:firstLine="274"/>
        <w:jc w:val="left"/>
        <w:rPr>
          <w:sz w:val="24"/>
          <w:szCs w:val="22"/>
        </w:rPr>
      </w:pPr>
      <w:r w:rsidRPr="00F92ACA">
        <w:rPr>
          <w:rStyle w:val="BodytextSmallCaps"/>
          <w:sz w:val="24"/>
          <w:szCs w:val="22"/>
        </w:rPr>
        <w:t>“9a.</w:t>
      </w:r>
      <w:r w:rsidRPr="00F92ACA">
        <w:rPr>
          <w:sz w:val="24"/>
          <w:szCs w:val="22"/>
        </w:rPr>
        <w:t xml:space="preserve"> (1) A member, other than a member to whom sub-section 8(6</w:t>
      </w:r>
      <w:r w:rsidRPr="00F92ACA">
        <w:rPr>
          <w:rStyle w:val="BodytextSmallCaps"/>
          <w:sz w:val="24"/>
          <w:szCs w:val="22"/>
        </w:rPr>
        <w:t>a)</w:t>
      </w:r>
      <w:r w:rsidRPr="00F92ACA">
        <w:rPr>
          <w:sz w:val="24"/>
          <w:szCs w:val="22"/>
        </w:rPr>
        <w:t xml:space="preserve"> applies, shall be paid such remuneration as is determined by the Remuneration Tribunal, but, if no determination of that remuneration is in operation, he shall be paid remuneration at the rate that was applicable immediately before the commencement of this section.</w:t>
      </w:r>
    </w:p>
    <w:p w14:paraId="7FA903E8" w14:textId="6E8D0F15" w:rsidR="008F1844" w:rsidRPr="00F92ACA" w:rsidRDefault="00024D46" w:rsidP="00DB65EA">
      <w:pPr>
        <w:pStyle w:val="BodyText1"/>
        <w:spacing w:after="120" w:line="240" w:lineRule="auto"/>
        <w:ind w:firstLine="274"/>
        <w:jc w:val="left"/>
        <w:rPr>
          <w:sz w:val="24"/>
          <w:szCs w:val="22"/>
        </w:rPr>
      </w:pPr>
      <w:r w:rsidRPr="00F92ACA">
        <w:rPr>
          <w:rStyle w:val="BodytextSpacing1pt"/>
          <w:spacing w:val="0"/>
          <w:sz w:val="24"/>
          <w:szCs w:val="22"/>
        </w:rPr>
        <w:t>“(2)</w:t>
      </w:r>
      <w:r w:rsidRPr="00F92ACA">
        <w:rPr>
          <w:sz w:val="24"/>
          <w:szCs w:val="22"/>
        </w:rPr>
        <w:t xml:space="preserve"> A member, other than</w:t>
      </w:r>
      <w:r w:rsidR="002C4A0F">
        <w:rPr>
          <w:sz w:val="24"/>
          <w:szCs w:val="22"/>
        </w:rPr>
        <w:t xml:space="preserve"> a member to whom sub-section 8</w:t>
      </w:r>
      <w:r w:rsidRPr="00F92ACA">
        <w:rPr>
          <w:sz w:val="24"/>
          <w:szCs w:val="22"/>
        </w:rPr>
        <w:t>(6</w:t>
      </w:r>
      <w:r w:rsidR="002C4A0F">
        <w:rPr>
          <w:smallCaps/>
          <w:sz w:val="24"/>
          <w:szCs w:val="22"/>
        </w:rPr>
        <w:t>a</w:t>
      </w:r>
      <w:r w:rsidRPr="00F92ACA">
        <w:rPr>
          <w:sz w:val="24"/>
          <w:szCs w:val="22"/>
        </w:rPr>
        <w:t>) applies, shall be paid such allowances as are prescribed.</w:t>
      </w:r>
    </w:p>
    <w:p w14:paraId="1207E933" w14:textId="77777777" w:rsidR="008F1844" w:rsidRPr="00F92ACA" w:rsidRDefault="00024D46" w:rsidP="00DB65EA">
      <w:pPr>
        <w:pStyle w:val="BodyText1"/>
        <w:spacing w:after="120" w:line="240" w:lineRule="auto"/>
        <w:ind w:firstLine="274"/>
        <w:jc w:val="left"/>
        <w:rPr>
          <w:sz w:val="24"/>
          <w:szCs w:val="22"/>
        </w:rPr>
      </w:pPr>
      <w:r w:rsidRPr="00F92ACA">
        <w:rPr>
          <w:rStyle w:val="BodytextSpacing1pt"/>
          <w:spacing w:val="0"/>
          <w:sz w:val="24"/>
          <w:szCs w:val="22"/>
        </w:rPr>
        <w:t>“(3)</w:t>
      </w:r>
      <w:r w:rsidRPr="00F92ACA">
        <w:rPr>
          <w:sz w:val="24"/>
          <w:szCs w:val="22"/>
        </w:rPr>
        <w:t xml:space="preserve"> This section has effect subject to the </w:t>
      </w:r>
      <w:r w:rsidRPr="00F92ACA">
        <w:rPr>
          <w:rStyle w:val="BodytextItalic"/>
          <w:sz w:val="24"/>
          <w:szCs w:val="22"/>
        </w:rPr>
        <w:t>Remuneration Tribunals Act</w:t>
      </w:r>
      <w:r w:rsidRPr="00F92ACA">
        <w:rPr>
          <w:sz w:val="24"/>
          <w:szCs w:val="22"/>
        </w:rPr>
        <w:t xml:space="preserve"> 1973-1974.”.</w:t>
      </w:r>
    </w:p>
    <w:p w14:paraId="5489FE33" w14:textId="517F2968" w:rsidR="008F1844" w:rsidRDefault="00024D46" w:rsidP="00DB65EA">
      <w:pPr>
        <w:pStyle w:val="BodyText1"/>
        <w:spacing w:after="120" w:line="240" w:lineRule="auto"/>
        <w:ind w:firstLine="274"/>
        <w:jc w:val="left"/>
        <w:rPr>
          <w:sz w:val="24"/>
          <w:szCs w:val="22"/>
        </w:rPr>
      </w:pPr>
      <w:r w:rsidRPr="00F92ACA">
        <w:rPr>
          <w:sz w:val="24"/>
          <w:szCs w:val="22"/>
        </w:rPr>
        <w:t>(2) Regulations in force at the commencement of this Act for the purposes of sub-section 9(3) of the Principal Act continue in force as if made for</w:t>
      </w:r>
      <w:r w:rsidR="002C4A0F">
        <w:rPr>
          <w:sz w:val="24"/>
          <w:szCs w:val="22"/>
        </w:rPr>
        <w:t xml:space="preserve"> the purposes of sub-sections 9</w:t>
      </w:r>
      <w:r w:rsidRPr="00F92ACA">
        <w:rPr>
          <w:sz w:val="24"/>
          <w:szCs w:val="22"/>
        </w:rPr>
        <w:t>(2) and 9</w:t>
      </w:r>
      <w:r w:rsidR="002C4A0F">
        <w:rPr>
          <w:smallCaps/>
          <w:sz w:val="24"/>
          <w:szCs w:val="22"/>
        </w:rPr>
        <w:t>a</w:t>
      </w:r>
      <w:r w:rsidRPr="00F92ACA">
        <w:rPr>
          <w:sz w:val="24"/>
          <w:szCs w:val="22"/>
        </w:rPr>
        <w:t>(2) of the Principal Act as amended by this Act.</w:t>
      </w:r>
    </w:p>
    <w:p w14:paraId="4CE9DEF7" w14:textId="77777777" w:rsidR="00DB65EA" w:rsidRPr="00F92ACA" w:rsidRDefault="00DB65EA" w:rsidP="00065325">
      <w:pPr>
        <w:pStyle w:val="BodyText1"/>
        <w:pBdr>
          <w:bottom w:val="single" w:sz="12" w:space="1" w:color="auto"/>
        </w:pBdr>
        <w:spacing w:after="120" w:line="240" w:lineRule="auto"/>
        <w:ind w:firstLine="0"/>
        <w:jc w:val="left"/>
        <w:rPr>
          <w:sz w:val="24"/>
          <w:szCs w:val="22"/>
        </w:rPr>
      </w:pPr>
    </w:p>
    <w:sectPr w:rsidR="00DB65EA" w:rsidRPr="00F92ACA" w:rsidSect="00065325">
      <w:headerReference w:type="even" r:id="rId9"/>
      <w:type w:val="continuous"/>
      <w:pgSz w:w="11909" w:h="18000" w:code="9"/>
      <w:pgMar w:top="1080" w:right="1080" w:bottom="1080" w:left="1080" w:header="36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1CFBB5" w15:done="0"/>
  <w15:commentEx w15:paraId="42FF6398" w15:done="0"/>
  <w15:commentEx w15:paraId="37C97C0A" w15:done="0"/>
  <w15:commentEx w15:paraId="2577DA1E" w15:done="0"/>
  <w15:commentEx w15:paraId="1DF42A5E" w15:done="0"/>
  <w15:commentEx w15:paraId="2DB1F416" w15:done="0"/>
  <w15:commentEx w15:paraId="590546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CFBB5" w16cid:durableId="1F536E8A"/>
  <w16cid:commentId w16cid:paraId="42FF6398" w16cid:durableId="1F536E98"/>
  <w16cid:commentId w16cid:paraId="37C97C0A" w16cid:durableId="1F536EA4"/>
  <w16cid:commentId w16cid:paraId="2577DA1E" w16cid:durableId="1F536EB2"/>
  <w16cid:commentId w16cid:paraId="1DF42A5E" w16cid:durableId="1F536EC7"/>
  <w16cid:commentId w16cid:paraId="2DB1F416" w16cid:durableId="1F536EE3"/>
  <w16cid:commentId w16cid:paraId="590546E7" w16cid:durableId="1F536E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81B22" w14:textId="77777777" w:rsidR="001B0BBD" w:rsidRDefault="001B0BBD">
      <w:r>
        <w:separator/>
      </w:r>
    </w:p>
  </w:endnote>
  <w:endnote w:type="continuationSeparator" w:id="0">
    <w:p w14:paraId="74F1C900" w14:textId="77777777" w:rsidR="001B0BBD" w:rsidRDefault="001B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CB83D" w14:textId="77777777" w:rsidR="001B0BBD" w:rsidRDefault="001B0BBD">
      <w:r>
        <w:separator/>
      </w:r>
    </w:p>
  </w:footnote>
  <w:footnote w:type="continuationSeparator" w:id="0">
    <w:p w14:paraId="0AC93178" w14:textId="77777777" w:rsidR="001B0BBD" w:rsidRDefault="001B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4D21" w14:textId="77777777" w:rsidR="00065325" w:rsidRPr="00065325" w:rsidRDefault="00065325" w:rsidP="00065325">
    <w:pPr>
      <w:pStyle w:val="Header"/>
      <w:tabs>
        <w:tab w:val="clear" w:pos="4680"/>
        <w:tab w:val="clear" w:pos="9360"/>
        <w:tab w:val="center" w:pos="5040"/>
        <w:tab w:val="right" w:pos="9540"/>
      </w:tabs>
      <w:rPr>
        <w:rFonts w:ascii="Times New Roman" w:hAnsi="Times New Roman" w:cs="Times New Roman"/>
        <w:sz w:val="22"/>
        <w:szCs w:val="22"/>
      </w:rPr>
    </w:pPr>
    <w:r w:rsidRPr="00065325">
      <w:rPr>
        <w:rFonts w:ascii="Times New Roman" w:hAnsi="Times New Roman" w:cs="Times New Roman"/>
        <w:sz w:val="22"/>
        <w:szCs w:val="22"/>
      </w:rPr>
      <w:t>NO. 59</w:t>
    </w:r>
    <w:r w:rsidRPr="00065325">
      <w:rPr>
        <w:rFonts w:ascii="Times New Roman" w:hAnsi="Times New Roman" w:cs="Times New Roman"/>
        <w:sz w:val="22"/>
        <w:szCs w:val="22"/>
      </w:rPr>
      <w:tab/>
    </w:r>
    <w:r w:rsidRPr="00065325">
      <w:rPr>
        <w:rFonts w:ascii="Times New Roman" w:hAnsi="Times New Roman" w:cs="Times New Roman"/>
        <w:i/>
        <w:iCs/>
        <w:color w:val="auto"/>
        <w:sz w:val="22"/>
        <w:szCs w:val="22"/>
      </w:rPr>
      <w:t>Grants Commission</w:t>
    </w:r>
    <w:r w:rsidRPr="00065325">
      <w:rPr>
        <w:rFonts w:ascii="Times New Roman" w:hAnsi="Times New Roman" w:cs="Times New Roman"/>
        <w:i/>
        <w:iCs/>
        <w:color w:val="auto"/>
        <w:sz w:val="22"/>
        <w:szCs w:val="22"/>
      </w:rPr>
      <w:tab/>
    </w:r>
    <w:r w:rsidRPr="00065325">
      <w:rPr>
        <w:rFonts w:ascii="Times New Roman" w:hAnsi="Times New Roman" w:cs="Times New Roman"/>
        <w:iCs/>
        <w:color w:val="auto"/>
        <w:sz w:val="22"/>
        <w:szCs w:val="22"/>
      </w:rPr>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1A51"/>
    <w:multiLevelType w:val="multilevel"/>
    <w:tmpl w:val="8C587D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CA1D9D"/>
    <w:multiLevelType w:val="multilevel"/>
    <w:tmpl w:val="6ECAA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B13902"/>
    <w:multiLevelType w:val="multilevel"/>
    <w:tmpl w:val="6CD6BF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867CCA"/>
    <w:multiLevelType w:val="multilevel"/>
    <w:tmpl w:val="47283E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F1844"/>
    <w:rsid w:val="00024D46"/>
    <w:rsid w:val="00065325"/>
    <w:rsid w:val="0017181B"/>
    <w:rsid w:val="0018224F"/>
    <w:rsid w:val="001B0BBD"/>
    <w:rsid w:val="002C4A0F"/>
    <w:rsid w:val="00493A39"/>
    <w:rsid w:val="004C37B0"/>
    <w:rsid w:val="00535DC6"/>
    <w:rsid w:val="00640707"/>
    <w:rsid w:val="008A0926"/>
    <w:rsid w:val="008F1844"/>
    <w:rsid w:val="00B53269"/>
    <w:rsid w:val="00B63595"/>
    <w:rsid w:val="00DB65EA"/>
    <w:rsid w:val="00ED4497"/>
    <w:rsid w:val="00F9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11">
    <w:name w:val="Heading #1"/>
    <w:basedOn w:val="Heading1"/>
    <w:rPr>
      <w:rFonts w:ascii="Arial" w:eastAsia="Arial" w:hAnsi="Arial" w:cs="Arial"/>
      <w:b/>
      <w:bCs/>
      <w:i w:val="0"/>
      <w:iCs w:val="0"/>
      <w:smallCaps w:val="0"/>
      <w:strike w:val="0"/>
      <w:color w:val="000000"/>
      <w:spacing w:val="10"/>
      <w:w w:val="100"/>
      <w:position w:val="0"/>
      <w:sz w:val="27"/>
      <w:szCs w:val="27"/>
      <w:u w:val="none"/>
      <w:lang w:val="en-US"/>
    </w:rPr>
  </w:style>
  <w:style w:type="character" w:customStyle="1" w:styleId="Heading1125pt">
    <w:name w:val="Heading #1 + 12.5 pt"/>
    <w:aliases w:val="Spacing 1 pt"/>
    <w:basedOn w:val="Heading1"/>
    <w:rPr>
      <w:rFonts w:ascii="Arial" w:eastAsia="Arial" w:hAnsi="Arial" w:cs="Arial"/>
      <w:b/>
      <w:bCs/>
      <w:i w:val="0"/>
      <w:iCs w:val="0"/>
      <w:smallCaps w:val="0"/>
      <w:strike w:val="0"/>
      <w:color w:val="000000"/>
      <w:spacing w:val="20"/>
      <w:w w:val="100"/>
      <w:position w:val="0"/>
      <w:sz w:val="25"/>
      <w:szCs w:val="25"/>
      <w:u w:val="none"/>
      <w:lang w:val="en-US"/>
    </w:rPr>
  </w:style>
  <w:style w:type="character" w:customStyle="1" w:styleId="Heading1TimesNewRoman">
    <w:name w:val="Heading #1 + Times New Roman"/>
    <w:aliases w:val="14.5 pt,Not Bold,Spacing 0 pt"/>
    <w:basedOn w:val="Heading1"/>
    <w:rPr>
      <w:rFonts w:ascii="Times New Roman" w:eastAsia="Times New Roman" w:hAnsi="Times New Roman" w:cs="Times New Roman"/>
      <w:b/>
      <w:bCs/>
      <w:i w:val="0"/>
      <w:iCs w:val="0"/>
      <w:smallCaps w:val="0"/>
      <w:strike w:val="0"/>
      <w:color w:val="000000"/>
      <w:spacing w:val="0"/>
      <w:w w:val="100"/>
      <w:position w:val="0"/>
      <w:sz w:val="29"/>
      <w:szCs w:val="29"/>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Arial">
    <w:name w:val="Body text + Arial"/>
    <w:aliases w:val="11.5 pt,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Arial0">
    <w:name w:val="Body text + Arial"/>
    <w:aliases w:val="11.5 pt"/>
    <w:basedOn w:val="Bodytext"/>
    <w:rPr>
      <w:rFonts w:ascii="Arial" w:eastAsia="Arial" w:hAnsi="Arial" w:cs="Arial"/>
      <w:b w:val="0"/>
      <w:bCs w:val="0"/>
      <w:i w:val="0"/>
      <w:iCs w:val="0"/>
      <w:smallCaps w:val="0"/>
      <w:strike w:val="0"/>
      <w:color w:val="000000"/>
      <w:spacing w:val="0"/>
      <w:w w:val="100"/>
      <w:position w:val="0"/>
      <w:sz w:val="23"/>
      <w:szCs w:val="23"/>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8"/>
      <w:szCs w:val="18"/>
      <w:u w:val="none"/>
    </w:rPr>
  </w:style>
  <w:style w:type="paragraph" w:customStyle="1" w:styleId="Bodytext40">
    <w:name w:val="Body text (4)"/>
    <w:basedOn w:val="Normal"/>
    <w:link w:val="Bodytext4"/>
    <w:pPr>
      <w:spacing w:line="168" w:lineRule="exact"/>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0" w:lineRule="atLeast"/>
      <w:jc w:val="both"/>
      <w:outlineLvl w:val="0"/>
    </w:pPr>
    <w:rPr>
      <w:rFonts w:ascii="Arial" w:eastAsia="Arial" w:hAnsi="Arial" w:cs="Arial"/>
      <w:b/>
      <w:bCs/>
      <w:spacing w:val="10"/>
      <w:sz w:val="27"/>
      <w:szCs w:val="27"/>
    </w:rPr>
  </w:style>
  <w:style w:type="paragraph" w:customStyle="1" w:styleId="BodyText1">
    <w:name w:val="Body Text1"/>
    <w:basedOn w:val="Normal"/>
    <w:link w:val="Bodytext"/>
    <w:pPr>
      <w:spacing w:line="0" w:lineRule="atLeast"/>
      <w:ind w:hanging="500"/>
      <w:jc w:val="both"/>
    </w:pPr>
    <w:rPr>
      <w:rFonts w:ascii="Times New Roman" w:eastAsia="Times New Roman" w:hAnsi="Times New Roman" w:cs="Times New Roman"/>
      <w:sz w:val="21"/>
      <w:szCs w:val="21"/>
    </w:rPr>
  </w:style>
  <w:style w:type="paragraph" w:customStyle="1" w:styleId="Bodytext30">
    <w:name w:val="Body text (3)"/>
    <w:basedOn w:val="Normal"/>
    <w:link w:val="Bodytext3"/>
    <w:pPr>
      <w:spacing w:line="0" w:lineRule="atLeast"/>
    </w:pPr>
    <w:rPr>
      <w:rFonts w:ascii="Times New Roman" w:eastAsia="Times New Roman" w:hAnsi="Times New Roman" w:cs="Times New Roman"/>
      <w:i/>
      <w:iCs/>
      <w:sz w:val="21"/>
      <w:szCs w:val="21"/>
    </w:rPr>
  </w:style>
  <w:style w:type="paragraph" w:customStyle="1" w:styleId="Bodytext50">
    <w:name w:val="Body text (5)"/>
    <w:basedOn w:val="Normal"/>
    <w:link w:val="Bodytext5"/>
    <w:pPr>
      <w:spacing w:line="0" w:lineRule="atLeast"/>
      <w:ind w:hanging="320"/>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65325"/>
    <w:pPr>
      <w:tabs>
        <w:tab w:val="center" w:pos="4680"/>
        <w:tab w:val="right" w:pos="9360"/>
      </w:tabs>
    </w:pPr>
  </w:style>
  <w:style w:type="character" w:customStyle="1" w:styleId="HeaderChar">
    <w:name w:val="Header Char"/>
    <w:basedOn w:val="DefaultParagraphFont"/>
    <w:link w:val="Header"/>
    <w:uiPriority w:val="99"/>
    <w:rsid w:val="00065325"/>
    <w:rPr>
      <w:color w:val="000000"/>
    </w:rPr>
  </w:style>
  <w:style w:type="paragraph" w:styleId="Footer">
    <w:name w:val="footer"/>
    <w:basedOn w:val="Normal"/>
    <w:link w:val="FooterChar"/>
    <w:uiPriority w:val="99"/>
    <w:unhideWhenUsed/>
    <w:rsid w:val="00065325"/>
    <w:pPr>
      <w:tabs>
        <w:tab w:val="center" w:pos="4680"/>
        <w:tab w:val="right" w:pos="9360"/>
      </w:tabs>
    </w:pPr>
  </w:style>
  <w:style w:type="character" w:customStyle="1" w:styleId="FooterChar">
    <w:name w:val="Footer Char"/>
    <w:basedOn w:val="DefaultParagraphFont"/>
    <w:link w:val="Footer"/>
    <w:uiPriority w:val="99"/>
    <w:rsid w:val="00065325"/>
    <w:rPr>
      <w:color w:val="000000"/>
    </w:rPr>
  </w:style>
  <w:style w:type="character" w:styleId="CommentReference">
    <w:name w:val="annotation reference"/>
    <w:basedOn w:val="DefaultParagraphFont"/>
    <w:uiPriority w:val="99"/>
    <w:semiHidden/>
    <w:unhideWhenUsed/>
    <w:rsid w:val="00B63595"/>
    <w:rPr>
      <w:sz w:val="16"/>
      <w:szCs w:val="16"/>
    </w:rPr>
  </w:style>
  <w:style w:type="paragraph" w:styleId="CommentText">
    <w:name w:val="annotation text"/>
    <w:basedOn w:val="Normal"/>
    <w:link w:val="CommentTextChar"/>
    <w:uiPriority w:val="99"/>
    <w:semiHidden/>
    <w:unhideWhenUsed/>
    <w:rsid w:val="00B63595"/>
    <w:rPr>
      <w:sz w:val="20"/>
      <w:szCs w:val="20"/>
    </w:rPr>
  </w:style>
  <w:style w:type="character" w:customStyle="1" w:styleId="CommentTextChar">
    <w:name w:val="Comment Text Char"/>
    <w:basedOn w:val="DefaultParagraphFont"/>
    <w:link w:val="CommentText"/>
    <w:uiPriority w:val="99"/>
    <w:semiHidden/>
    <w:rsid w:val="00B63595"/>
    <w:rPr>
      <w:color w:val="000000"/>
      <w:sz w:val="20"/>
      <w:szCs w:val="20"/>
    </w:rPr>
  </w:style>
  <w:style w:type="paragraph" w:styleId="CommentSubject">
    <w:name w:val="annotation subject"/>
    <w:basedOn w:val="CommentText"/>
    <w:next w:val="CommentText"/>
    <w:link w:val="CommentSubjectChar"/>
    <w:uiPriority w:val="99"/>
    <w:semiHidden/>
    <w:unhideWhenUsed/>
    <w:rsid w:val="00B63595"/>
    <w:rPr>
      <w:b/>
      <w:bCs/>
    </w:rPr>
  </w:style>
  <w:style w:type="character" w:customStyle="1" w:styleId="CommentSubjectChar">
    <w:name w:val="Comment Subject Char"/>
    <w:basedOn w:val="CommentTextChar"/>
    <w:link w:val="CommentSubject"/>
    <w:uiPriority w:val="99"/>
    <w:semiHidden/>
    <w:rsid w:val="00B63595"/>
    <w:rPr>
      <w:b/>
      <w:bCs/>
      <w:color w:val="000000"/>
      <w:sz w:val="20"/>
      <w:szCs w:val="20"/>
    </w:rPr>
  </w:style>
  <w:style w:type="paragraph" w:styleId="BalloonText">
    <w:name w:val="Balloon Text"/>
    <w:basedOn w:val="Normal"/>
    <w:link w:val="BalloonTextChar"/>
    <w:uiPriority w:val="99"/>
    <w:semiHidden/>
    <w:unhideWhenUsed/>
    <w:rsid w:val="00B63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595"/>
    <w:rPr>
      <w:rFonts w:ascii="Segoe UI" w:hAnsi="Segoe UI" w:cs="Segoe UI"/>
      <w:color w:val="000000"/>
      <w:sz w:val="18"/>
      <w:szCs w:val="18"/>
    </w:rPr>
  </w:style>
  <w:style w:type="paragraph" w:styleId="Revision">
    <w:name w:val="Revision"/>
    <w:hidden/>
    <w:uiPriority w:val="99"/>
    <w:semiHidden/>
    <w:rsid w:val="002C4A0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DB479-C0CA-4382-BFBC-0286209C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2018-09-24T04:11:00Z</dcterms:created>
  <dcterms:modified xsi:type="dcterms:W3CDTF">2019-07-16T01:58:00Z</dcterms:modified>
</cp:coreProperties>
</file>