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5D795" w14:textId="114E3606" w:rsidR="00CB68FD" w:rsidRPr="00CB68FD" w:rsidRDefault="00E716D7" w:rsidP="00CB68FD">
      <w:pPr>
        <w:spacing w:after="120"/>
        <w:jc w:val="center"/>
        <w:rPr>
          <w:rFonts w:ascii="Times New Roman" w:hAnsi="Times New Roman" w:cs="Times New Roman"/>
          <w:b/>
        </w:rPr>
      </w:pPr>
      <w:bookmarkStart w:id="0" w:name="bookmark0"/>
      <w:r w:rsidRPr="00CB68FD">
        <w:rPr>
          <w:rFonts w:ascii="Times New Roman" w:hAnsi="Times New Roman" w:cs="Times New Roman"/>
          <w:b/>
          <w:sz w:val="32"/>
        </w:rPr>
        <w:t>TRADE PRACTICES ACT 1975</w:t>
      </w:r>
    </w:p>
    <w:p w14:paraId="2C9C2275" w14:textId="77777777" w:rsidR="00021BE3" w:rsidRPr="00CB68FD" w:rsidRDefault="00E716D7" w:rsidP="00CB68FD">
      <w:pPr>
        <w:spacing w:after="240"/>
        <w:jc w:val="center"/>
        <w:rPr>
          <w:rFonts w:ascii="Times New Roman" w:hAnsi="Times New Roman" w:cs="Times New Roman"/>
          <w:b/>
          <w:sz w:val="28"/>
        </w:rPr>
      </w:pPr>
      <w:r w:rsidRPr="00CB68FD">
        <w:rPr>
          <w:rFonts w:ascii="Times New Roman" w:hAnsi="Times New Roman" w:cs="Times New Roman"/>
          <w:b/>
          <w:sz w:val="28"/>
        </w:rPr>
        <w:t>No. 63 of 1975</w:t>
      </w:r>
      <w:bookmarkEnd w:id="0"/>
    </w:p>
    <w:p w14:paraId="7CE2A63D" w14:textId="77777777" w:rsidR="00021BE3" w:rsidRPr="005A50F3" w:rsidRDefault="00E716D7" w:rsidP="00CB68FD">
      <w:pPr>
        <w:spacing w:after="240"/>
        <w:rPr>
          <w:rFonts w:ascii="Times New Roman" w:hAnsi="Times New Roman" w:cs="Times New Roman"/>
        </w:rPr>
      </w:pPr>
      <w:r w:rsidRPr="005A50F3">
        <w:rPr>
          <w:rFonts w:ascii="Times New Roman" w:hAnsi="Times New Roman" w:cs="Times New Roman"/>
        </w:rPr>
        <w:t xml:space="preserve">An Act to amend the </w:t>
      </w:r>
      <w:r w:rsidRPr="005A50F3">
        <w:rPr>
          <w:rFonts w:ascii="Times New Roman" w:hAnsi="Times New Roman" w:cs="Times New Roman"/>
          <w:i/>
        </w:rPr>
        <w:t>Trade Practices Act</w:t>
      </w:r>
      <w:r w:rsidRPr="005A50F3">
        <w:rPr>
          <w:rFonts w:ascii="Times New Roman" w:hAnsi="Times New Roman" w:cs="Times New Roman"/>
        </w:rPr>
        <w:t xml:space="preserve"> 1974 to provide for certain Matters to be disregarded in determining whether certain Contracts are unenforceable and in relation to Product Safety and Information Standards and the Sending of unsolicited Credit Cards.</w:t>
      </w:r>
    </w:p>
    <w:p w14:paraId="1E10622E" w14:textId="77777777" w:rsidR="00021BE3" w:rsidRPr="005A50F3" w:rsidRDefault="00E716D7" w:rsidP="005A50F3">
      <w:pPr>
        <w:rPr>
          <w:rFonts w:ascii="Times New Roman" w:hAnsi="Times New Roman" w:cs="Times New Roman"/>
        </w:rPr>
      </w:pPr>
      <w:r w:rsidRPr="005A50F3">
        <w:rPr>
          <w:rFonts w:ascii="Times New Roman" w:hAnsi="Times New Roman" w:cs="Times New Roman"/>
        </w:rPr>
        <w:t>BE IT ENACTED by the Queen, the Senate and the House of Representatives of Australia, as follows: —</w:t>
      </w:r>
    </w:p>
    <w:p w14:paraId="75934777" w14:textId="77777777" w:rsidR="00021BE3" w:rsidRPr="00CB68FD" w:rsidRDefault="00E716D7" w:rsidP="00CB68FD">
      <w:pPr>
        <w:spacing w:before="120" w:after="60"/>
        <w:rPr>
          <w:rFonts w:ascii="Times New Roman" w:hAnsi="Times New Roman" w:cs="Times New Roman"/>
          <w:b/>
          <w:sz w:val="20"/>
        </w:rPr>
      </w:pPr>
      <w:r w:rsidRPr="00CB68FD">
        <w:rPr>
          <w:rFonts w:ascii="Times New Roman" w:hAnsi="Times New Roman" w:cs="Times New Roman"/>
          <w:b/>
          <w:sz w:val="20"/>
        </w:rPr>
        <w:t>Short title and citation.</w:t>
      </w:r>
    </w:p>
    <w:p w14:paraId="2E298862" w14:textId="1FDEEF6B" w:rsidR="00021BE3" w:rsidRPr="005A50F3" w:rsidRDefault="005A50F3" w:rsidP="00CB68FD">
      <w:pPr>
        <w:spacing w:after="120"/>
        <w:ind w:firstLine="274"/>
        <w:rPr>
          <w:rFonts w:ascii="Times New Roman" w:hAnsi="Times New Roman" w:cs="Times New Roman"/>
        </w:rPr>
      </w:pPr>
      <w:r w:rsidRPr="00CB68FD">
        <w:rPr>
          <w:rFonts w:ascii="Times New Roman" w:hAnsi="Times New Roman" w:cs="Times New Roman"/>
          <w:b/>
        </w:rPr>
        <w:t>1</w:t>
      </w:r>
      <w:r>
        <w:rPr>
          <w:rFonts w:ascii="Times New Roman" w:hAnsi="Times New Roman" w:cs="Times New Roman"/>
        </w:rPr>
        <w:t xml:space="preserve">. </w:t>
      </w:r>
      <w:r w:rsidR="00E716D7" w:rsidRPr="005A50F3">
        <w:rPr>
          <w:rFonts w:ascii="Times New Roman" w:hAnsi="Times New Roman" w:cs="Times New Roman"/>
        </w:rPr>
        <w:t xml:space="preserve">(1) This Act may be cited as the </w:t>
      </w:r>
      <w:r w:rsidR="00E716D7" w:rsidRPr="00983E32">
        <w:rPr>
          <w:rFonts w:ascii="Times New Roman" w:hAnsi="Times New Roman" w:cs="Times New Roman"/>
          <w:i/>
        </w:rPr>
        <w:t>Trade Practices Act</w:t>
      </w:r>
      <w:r w:rsidR="00E716D7" w:rsidRPr="005A50F3">
        <w:rPr>
          <w:rFonts w:ascii="Times New Roman" w:hAnsi="Times New Roman" w:cs="Times New Roman"/>
        </w:rPr>
        <w:t xml:space="preserve"> 1975.</w:t>
      </w:r>
    </w:p>
    <w:p w14:paraId="0A61DDAA" w14:textId="0C4E3AE3" w:rsidR="00021BE3" w:rsidRPr="005A50F3" w:rsidRDefault="00983E32" w:rsidP="00CB68FD">
      <w:pPr>
        <w:spacing w:after="120"/>
        <w:ind w:firstLine="274"/>
        <w:rPr>
          <w:rFonts w:ascii="Times New Roman" w:hAnsi="Times New Roman" w:cs="Times New Roman"/>
        </w:rPr>
      </w:pPr>
      <w:r>
        <w:rPr>
          <w:rFonts w:ascii="Times New Roman" w:hAnsi="Times New Roman" w:cs="Times New Roman"/>
        </w:rPr>
        <w:t xml:space="preserve">(2) </w:t>
      </w:r>
      <w:r w:rsidR="00E716D7" w:rsidRPr="005A50F3">
        <w:rPr>
          <w:rFonts w:ascii="Times New Roman" w:hAnsi="Times New Roman" w:cs="Times New Roman"/>
        </w:rPr>
        <w:t xml:space="preserve">The </w:t>
      </w:r>
      <w:r w:rsidR="00E716D7" w:rsidRPr="00983E32">
        <w:rPr>
          <w:rFonts w:ascii="Times New Roman" w:hAnsi="Times New Roman" w:cs="Times New Roman"/>
          <w:i/>
        </w:rPr>
        <w:t>Trade Practices Act</w:t>
      </w:r>
      <w:r w:rsidR="00E716D7" w:rsidRPr="005A50F3">
        <w:rPr>
          <w:rFonts w:ascii="Times New Roman" w:hAnsi="Times New Roman" w:cs="Times New Roman"/>
        </w:rPr>
        <w:t xml:space="preserve"> 1974 is in this Act referred to as the Principal Act.</w:t>
      </w:r>
    </w:p>
    <w:p w14:paraId="67816FDD" w14:textId="77777777" w:rsidR="00021BE3" w:rsidRDefault="00983E32" w:rsidP="00CB68FD">
      <w:pPr>
        <w:ind w:firstLine="274"/>
        <w:rPr>
          <w:rFonts w:ascii="Times New Roman" w:hAnsi="Times New Roman" w:cs="Times New Roman"/>
        </w:rPr>
      </w:pPr>
      <w:r>
        <w:rPr>
          <w:rFonts w:ascii="Times New Roman" w:hAnsi="Times New Roman" w:cs="Times New Roman"/>
        </w:rPr>
        <w:t xml:space="preserve">(3) </w:t>
      </w:r>
      <w:r w:rsidR="00E716D7" w:rsidRPr="005A50F3">
        <w:rPr>
          <w:rFonts w:ascii="Times New Roman" w:hAnsi="Times New Roman" w:cs="Times New Roman"/>
        </w:rPr>
        <w:t xml:space="preserve">The Principal Act, as amended by this Act, may be cited as the </w:t>
      </w:r>
      <w:r w:rsidR="00E716D7" w:rsidRPr="00983E32">
        <w:rPr>
          <w:rFonts w:ascii="Times New Roman" w:hAnsi="Times New Roman" w:cs="Times New Roman"/>
          <w:i/>
        </w:rPr>
        <w:t>Trade Practices Act</w:t>
      </w:r>
      <w:r w:rsidR="00E716D7" w:rsidRPr="005A50F3">
        <w:rPr>
          <w:rFonts w:ascii="Times New Roman" w:hAnsi="Times New Roman" w:cs="Times New Roman"/>
        </w:rPr>
        <w:t xml:space="preserve"> 1974-1975.</w:t>
      </w:r>
    </w:p>
    <w:p w14:paraId="6BAD5876" w14:textId="77777777" w:rsidR="00983E32" w:rsidRPr="00CB68FD" w:rsidRDefault="00983E32" w:rsidP="00CB68FD">
      <w:pPr>
        <w:spacing w:before="120" w:after="60"/>
        <w:rPr>
          <w:rFonts w:ascii="Times New Roman" w:hAnsi="Times New Roman" w:cs="Times New Roman"/>
          <w:b/>
        </w:rPr>
      </w:pPr>
      <w:r w:rsidRPr="00CB68FD">
        <w:rPr>
          <w:rFonts w:ascii="Times New Roman" w:hAnsi="Times New Roman" w:cs="Times New Roman"/>
          <w:b/>
          <w:sz w:val="20"/>
        </w:rPr>
        <w:t>Commencement.</w:t>
      </w:r>
    </w:p>
    <w:p w14:paraId="74278546" w14:textId="5C541984" w:rsidR="00983E32" w:rsidRDefault="00983E32" w:rsidP="00CB68FD">
      <w:pPr>
        <w:tabs>
          <w:tab w:val="left" w:pos="594"/>
        </w:tabs>
        <w:ind w:firstLine="274"/>
        <w:rPr>
          <w:rFonts w:ascii="Times New Roman" w:hAnsi="Times New Roman" w:cs="Times New Roman"/>
          <w:vertAlign w:val="superscript"/>
        </w:rPr>
      </w:pPr>
      <w:r w:rsidRPr="00CB68FD">
        <w:rPr>
          <w:rFonts w:ascii="Times New Roman" w:hAnsi="Times New Roman" w:cs="Times New Roman"/>
          <w:b/>
        </w:rPr>
        <w:t>2</w:t>
      </w:r>
      <w:r w:rsidR="00CB68FD">
        <w:rPr>
          <w:rFonts w:ascii="Times New Roman" w:hAnsi="Times New Roman" w:cs="Times New Roman"/>
        </w:rPr>
        <w:t>.</w:t>
      </w:r>
      <w:r w:rsidR="00CB68FD">
        <w:rPr>
          <w:rFonts w:ascii="Times New Roman" w:hAnsi="Times New Roman" w:cs="Times New Roman"/>
        </w:rPr>
        <w:tab/>
      </w:r>
      <w:r w:rsidR="00E716D7" w:rsidRPr="005A50F3">
        <w:rPr>
          <w:rFonts w:ascii="Times New Roman" w:hAnsi="Times New Roman" w:cs="Times New Roman"/>
        </w:rPr>
        <w:t>This Act shall come into operation on the day on which it receives the Royal Assent.</w:t>
      </w:r>
    </w:p>
    <w:p w14:paraId="2B30C98A" w14:textId="77777777" w:rsidR="00983E32" w:rsidRPr="00CB68FD" w:rsidRDefault="00983E32" w:rsidP="00CB68FD">
      <w:pPr>
        <w:spacing w:before="120" w:after="60"/>
        <w:rPr>
          <w:rFonts w:ascii="Times New Roman" w:hAnsi="Times New Roman" w:cs="Times New Roman"/>
          <w:b/>
          <w:sz w:val="20"/>
          <w:vertAlign w:val="superscript"/>
        </w:rPr>
      </w:pPr>
      <w:r w:rsidRPr="00CB68FD">
        <w:rPr>
          <w:rFonts w:ascii="Times New Roman" w:hAnsi="Times New Roman" w:cs="Times New Roman"/>
          <w:b/>
          <w:sz w:val="20"/>
        </w:rPr>
        <w:t>Exceptions</w:t>
      </w:r>
    </w:p>
    <w:p w14:paraId="09B07765" w14:textId="143BFC8B" w:rsidR="00021BE3" w:rsidRPr="005A50F3" w:rsidRDefault="00983E32" w:rsidP="00CB68FD">
      <w:pPr>
        <w:tabs>
          <w:tab w:val="left" w:pos="594"/>
        </w:tabs>
        <w:ind w:firstLine="274"/>
        <w:rPr>
          <w:rFonts w:ascii="Times New Roman" w:hAnsi="Times New Roman" w:cs="Times New Roman"/>
        </w:rPr>
      </w:pPr>
      <w:r w:rsidRPr="00CB68FD">
        <w:rPr>
          <w:rFonts w:ascii="Times New Roman" w:hAnsi="Times New Roman" w:cs="Times New Roman"/>
          <w:b/>
        </w:rPr>
        <w:t>3</w:t>
      </w:r>
      <w:r w:rsidR="00CB68FD">
        <w:rPr>
          <w:rFonts w:ascii="Times New Roman" w:hAnsi="Times New Roman" w:cs="Times New Roman"/>
        </w:rPr>
        <w:t>.</w:t>
      </w:r>
      <w:r w:rsidR="00CB68FD">
        <w:rPr>
          <w:rFonts w:ascii="Times New Roman" w:hAnsi="Times New Roman" w:cs="Times New Roman"/>
        </w:rPr>
        <w:tab/>
      </w:r>
      <w:r w:rsidR="00E716D7" w:rsidRPr="005A50F3">
        <w:rPr>
          <w:rFonts w:ascii="Times New Roman" w:hAnsi="Times New Roman" w:cs="Times New Roman"/>
        </w:rPr>
        <w:t>Section 51 of the Principal Act is amended by adding at the end thereof the following sub-section:—</w:t>
      </w:r>
    </w:p>
    <w:p w14:paraId="51E12360" w14:textId="565EF724" w:rsidR="00021BE3" w:rsidRPr="005A50F3" w:rsidRDefault="00E716D7" w:rsidP="00CB68FD">
      <w:pPr>
        <w:ind w:firstLine="274"/>
        <w:rPr>
          <w:rFonts w:ascii="Times New Roman" w:hAnsi="Times New Roman" w:cs="Times New Roman"/>
        </w:rPr>
      </w:pPr>
      <w:r w:rsidRPr="005A50F3">
        <w:rPr>
          <w:rFonts w:ascii="Times New Roman" w:hAnsi="Times New Roman" w:cs="Times New Roman"/>
        </w:rPr>
        <w:t xml:space="preserve">“(4) This section applies in determining whether a contract is unenforceable by virtue </w:t>
      </w:r>
      <w:bookmarkStart w:id="1" w:name="_GoBack"/>
      <w:bookmarkEnd w:id="1"/>
      <w:r w:rsidRPr="005A50F3">
        <w:rPr>
          <w:rFonts w:ascii="Times New Roman" w:hAnsi="Times New Roman" w:cs="Times New Roman"/>
        </w:rPr>
        <w:t>of sub-section 45(1) in like manner as it applies in determining whether a contravention of a provision of this Part has been committed.”.</w:t>
      </w:r>
    </w:p>
    <w:p w14:paraId="4516F0DE" w14:textId="77777777" w:rsidR="00021BE3" w:rsidRPr="00CB68FD" w:rsidRDefault="00E716D7" w:rsidP="00CB68FD">
      <w:pPr>
        <w:spacing w:before="120" w:after="60"/>
        <w:rPr>
          <w:rFonts w:ascii="Times New Roman" w:hAnsi="Times New Roman" w:cs="Times New Roman"/>
          <w:b/>
          <w:sz w:val="20"/>
        </w:rPr>
      </w:pPr>
      <w:r w:rsidRPr="00CB68FD">
        <w:rPr>
          <w:rFonts w:ascii="Times New Roman" w:hAnsi="Times New Roman" w:cs="Times New Roman"/>
          <w:b/>
          <w:sz w:val="20"/>
        </w:rPr>
        <w:t>Product</w:t>
      </w:r>
      <w:r w:rsidR="00983E32" w:rsidRPr="00CB68FD">
        <w:rPr>
          <w:rFonts w:ascii="Times New Roman" w:hAnsi="Times New Roman" w:cs="Times New Roman"/>
          <w:b/>
          <w:sz w:val="20"/>
        </w:rPr>
        <w:t xml:space="preserve"> </w:t>
      </w:r>
      <w:r w:rsidRPr="00CB68FD">
        <w:rPr>
          <w:rFonts w:ascii="Times New Roman" w:hAnsi="Times New Roman" w:cs="Times New Roman"/>
          <w:b/>
          <w:sz w:val="20"/>
        </w:rPr>
        <w:t>safety</w:t>
      </w:r>
      <w:r w:rsidR="00983E32" w:rsidRPr="00CB68FD">
        <w:rPr>
          <w:rFonts w:ascii="Times New Roman" w:hAnsi="Times New Roman" w:cs="Times New Roman"/>
          <w:b/>
          <w:sz w:val="20"/>
        </w:rPr>
        <w:t xml:space="preserve"> </w:t>
      </w:r>
      <w:r w:rsidRPr="00CB68FD">
        <w:rPr>
          <w:rFonts w:ascii="Times New Roman" w:hAnsi="Times New Roman" w:cs="Times New Roman"/>
          <w:b/>
          <w:sz w:val="20"/>
        </w:rPr>
        <w:t>standards.</w:t>
      </w:r>
    </w:p>
    <w:p w14:paraId="1C234A12" w14:textId="1562FB45" w:rsidR="00021BE3" w:rsidRPr="005A50F3" w:rsidRDefault="00983E32" w:rsidP="00B3456A">
      <w:pPr>
        <w:tabs>
          <w:tab w:val="left" w:pos="594"/>
        </w:tabs>
        <w:ind w:firstLine="274"/>
        <w:rPr>
          <w:rFonts w:ascii="Times New Roman" w:hAnsi="Times New Roman" w:cs="Times New Roman"/>
        </w:rPr>
      </w:pPr>
      <w:r w:rsidRPr="00CB68FD">
        <w:rPr>
          <w:rFonts w:ascii="Times New Roman" w:hAnsi="Times New Roman" w:cs="Times New Roman"/>
          <w:b/>
        </w:rPr>
        <w:t>4.</w:t>
      </w:r>
      <w:r w:rsidR="00B3456A">
        <w:rPr>
          <w:rFonts w:ascii="Times New Roman" w:hAnsi="Times New Roman" w:cs="Times New Roman"/>
        </w:rPr>
        <w:tab/>
      </w:r>
      <w:r w:rsidR="00E716D7" w:rsidRPr="005A50F3">
        <w:rPr>
          <w:rFonts w:ascii="Times New Roman" w:hAnsi="Times New Roman" w:cs="Times New Roman"/>
        </w:rPr>
        <w:t>Section 62 of the Principal Act is amended by inserting after sub</w:t>
      </w:r>
      <w:r w:rsidR="005A4E90">
        <w:rPr>
          <w:rFonts w:ascii="Times New Roman" w:hAnsi="Times New Roman" w:cs="Times New Roman"/>
        </w:rPr>
        <w:t>-</w:t>
      </w:r>
      <w:r w:rsidR="00E716D7" w:rsidRPr="005A50F3">
        <w:rPr>
          <w:rFonts w:ascii="Times New Roman" w:hAnsi="Times New Roman" w:cs="Times New Roman"/>
        </w:rPr>
        <w:t>section (2) the following sub-sections:—</w:t>
      </w:r>
    </w:p>
    <w:p w14:paraId="10DD4AB7" w14:textId="77777777" w:rsidR="00021BE3" w:rsidRPr="005A50F3" w:rsidRDefault="00E716D7" w:rsidP="00CB68FD">
      <w:pPr>
        <w:spacing w:after="120"/>
        <w:ind w:firstLine="274"/>
        <w:rPr>
          <w:rFonts w:ascii="Times New Roman" w:hAnsi="Times New Roman" w:cs="Times New Roman"/>
        </w:rPr>
      </w:pPr>
      <w:r w:rsidRPr="005A50F3">
        <w:rPr>
          <w:rFonts w:ascii="Times New Roman" w:hAnsi="Times New Roman" w:cs="Times New Roman"/>
        </w:rPr>
        <w:t>“(</w:t>
      </w:r>
      <w:r w:rsidR="00983E32">
        <w:rPr>
          <w:rFonts w:ascii="Times New Roman" w:hAnsi="Times New Roman" w:cs="Times New Roman"/>
          <w:smallCaps/>
        </w:rPr>
        <w:t>2a</w:t>
      </w:r>
      <w:r w:rsidRPr="005A50F3">
        <w:rPr>
          <w:rFonts w:ascii="Times New Roman" w:hAnsi="Times New Roman" w:cs="Times New Roman"/>
        </w:rPr>
        <w:t>) Regulations made for the purposes of this section may exclude from their operation goods of a kind specified in the regulations that are intended to be used outside Australia and to which is applied a statement indicating that the goods are intended to be so used.</w:t>
      </w:r>
    </w:p>
    <w:p w14:paraId="14880E79" w14:textId="77777777" w:rsidR="00021BE3" w:rsidRPr="005A50F3" w:rsidRDefault="00E716D7" w:rsidP="00CB68FD">
      <w:pPr>
        <w:spacing w:after="120"/>
        <w:ind w:firstLine="274"/>
        <w:rPr>
          <w:rFonts w:ascii="Times New Roman" w:hAnsi="Times New Roman" w:cs="Times New Roman"/>
        </w:rPr>
      </w:pPr>
      <w:r w:rsidRPr="005A50F3">
        <w:rPr>
          <w:rFonts w:ascii="Times New Roman" w:hAnsi="Times New Roman" w:cs="Times New Roman"/>
        </w:rPr>
        <w:t>“(</w:t>
      </w:r>
      <w:r w:rsidRPr="00983E32">
        <w:rPr>
          <w:rFonts w:ascii="Times New Roman" w:hAnsi="Times New Roman" w:cs="Times New Roman"/>
          <w:smallCaps/>
        </w:rPr>
        <w:t>2b</w:t>
      </w:r>
      <w:r w:rsidRPr="005A50F3">
        <w:rPr>
          <w:rFonts w:ascii="Times New Roman" w:hAnsi="Times New Roman" w:cs="Times New Roman"/>
        </w:rPr>
        <w:t>) For the purposes of sub-section (</w:t>
      </w:r>
      <w:r w:rsidRPr="00983E32">
        <w:rPr>
          <w:rFonts w:ascii="Times New Roman" w:hAnsi="Times New Roman" w:cs="Times New Roman"/>
          <w:smallCaps/>
        </w:rPr>
        <w:t>2a</w:t>
      </w:r>
      <w:r w:rsidRPr="005A50F3">
        <w:rPr>
          <w:rFonts w:ascii="Times New Roman" w:hAnsi="Times New Roman" w:cs="Times New Roman"/>
        </w:rPr>
        <w:t>), a statement shall be deemed to be applied to goods if—</w:t>
      </w:r>
    </w:p>
    <w:p w14:paraId="429FF014" w14:textId="77777777" w:rsidR="00021BE3" w:rsidRPr="005A50F3" w:rsidRDefault="00983E32" w:rsidP="00CB68FD">
      <w:pPr>
        <w:spacing w:after="120"/>
        <w:ind w:firstLine="274"/>
        <w:rPr>
          <w:rFonts w:ascii="Times New Roman" w:hAnsi="Times New Roman" w:cs="Times New Roman"/>
        </w:rPr>
      </w:pPr>
      <w:r>
        <w:rPr>
          <w:rFonts w:ascii="Times New Roman" w:hAnsi="Times New Roman" w:cs="Times New Roman"/>
        </w:rPr>
        <w:t xml:space="preserve">(a) </w:t>
      </w:r>
      <w:r w:rsidR="00E716D7" w:rsidRPr="005A50F3">
        <w:rPr>
          <w:rFonts w:ascii="Times New Roman" w:hAnsi="Times New Roman" w:cs="Times New Roman"/>
        </w:rPr>
        <w:t>the statement is woven in, impressed on, worked into or annexed or affixed to the goods; or</w:t>
      </w:r>
    </w:p>
    <w:p w14:paraId="0CCA0AFB" w14:textId="77777777" w:rsidR="00021BE3" w:rsidRPr="005A50F3" w:rsidRDefault="00983E32" w:rsidP="00CB68FD">
      <w:pPr>
        <w:spacing w:after="120"/>
        <w:ind w:firstLine="274"/>
        <w:rPr>
          <w:rFonts w:ascii="Times New Roman" w:hAnsi="Times New Roman" w:cs="Times New Roman"/>
        </w:rPr>
      </w:pPr>
      <w:r>
        <w:rPr>
          <w:rFonts w:ascii="Times New Roman" w:hAnsi="Times New Roman" w:cs="Times New Roman"/>
        </w:rPr>
        <w:t xml:space="preserve">(b) </w:t>
      </w:r>
      <w:r w:rsidR="00E716D7" w:rsidRPr="005A50F3">
        <w:rPr>
          <w:rFonts w:ascii="Times New Roman" w:hAnsi="Times New Roman" w:cs="Times New Roman"/>
        </w:rPr>
        <w:t>the statement is applied to a covering, label, reel or thing in or with which the goods are supplied.</w:t>
      </w:r>
    </w:p>
    <w:p w14:paraId="2033F958" w14:textId="13200D4B" w:rsidR="00021BE3" w:rsidRPr="005A50F3" w:rsidRDefault="00E716D7" w:rsidP="005A4E90">
      <w:pPr>
        <w:spacing w:after="120"/>
        <w:ind w:firstLine="274"/>
        <w:rPr>
          <w:rFonts w:ascii="Times New Roman" w:hAnsi="Times New Roman" w:cs="Times New Roman"/>
        </w:rPr>
      </w:pPr>
      <w:r w:rsidRPr="005A50F3">
        <w:rPr>
          <w:rFonts w:ascii="Times New Roman" w:hAnsi="Times New Roman" w:cs="Times New Roman"/>
        </w:rPr>
        <w:t>“(</w:t>
      </w:r>
      <w:r w:rsidRPr="00983E32">
        <w:rPr>
          <w:rFonts w:ascii="Times New Roman" w:hAnsi="Times New Roman" w:cs="Times New Roman"/>
          <w:smallCaps/>
        </w:rPr>
        <w:t>2c</w:t>
      </w:r>
      <w:r w:rsidRPr="005A50F3">
        <w:rPr>
          <w:rFonts w:ascii="Times New Roman" w:hAnsi="Times New Roman" w:cs="Times New Roman"/>
        </w:rPr>
        <w:t>) A reference in sub-section (</w:t>
      </w:r>
      <w:r w:rsidR="00983E32">
        <w:rPr>
          <w:rFonts w:ascii="Times New Roman" w:hAnsi="Times New Roman" w:cs="Times New Roman"/>
          <w:smallCaps/>
        </w:rPr>
        <w:t>2b</w:t>
      </w:r>
      <w:r w:rsidRPr="005A50F3">
        <w:rPr>
          <w:rFonts w:ascii="Times New Roman" w:hAnsi="Times New Roman" w:cs="Times New Roman"/>
        </w:rPr>
        <w:t>) to a covering includes a reference to a stopper, glass, bottle, vessel, box, capsule, case, frame or</w:t>
      </w:r>
      <w:r w:rsidR="005A4E90">
        <w:rPr>
          <w:rFonts w:ascii="Times New Roman" w:hAnsi="Times New Roman" w:cs="Times New Roman"/>
        </w:rPr>
        <w:t xml:space="preserve"> </w:t>
      </w:r>
      <w:r w:rsidRPr="005A50F3">
        <w:rPr>
          <w:rFonts w:ascii="Times New Roman" w:hAnsi="Times New Roman" w:cs="Times New Roman"/>
        </w:rPr>
        <w:t>wrapper and a reference in that sub-section to a label includes a reference to a band or ticket.</w:t>
      </w:r>
    </w:p>
    <w:p w14:paraId="04F15633" w14:textId="77777777" w:rsidR="00021BE3" w:rsidRPr="00B3456A" w:rsidRDefault="00E716D7" w:rsidP="00B3456A">
      <w:pPr>
        <w:spacing w:before="120" w:after="60"/>
        <w:rPr>
          <w:rFonts w:ascii="Times New Roman" w:hAnsi="Times New Roman" w:cs="Times New Roman"/>
          <w:b/>
          <w:sz w:val="20"/>
        </w:rPr>
      </w:pPr>
      <w:r w:rsidRPr="00B3456A">
        <w:rPr>
          <w:rFonts w:ascii="Times New Roman" w:hAnsi="Times New Roman" w:cs="Times New Roman"/>
          <w:b/>
          <w:sz w:val="20"/>
        </w:rPr>
        <w:t>Product</w:t>
      </w:r>
      <w:r w:rsidR="00983E32" w:rsidRPr="00B3456A">
        <w:rPr>
          <w:rFonts w:ascii="Times New Roman" w:hAnsi="Times New Roman" w:cs="Times New Roman"/>
          <w:b/>
          <w:sz w:val="20"/>
        </w:rPr>
        <w:t xml:space="preserve"> </w:t>
      </w:r>
      <w:r w:rsidRPr="00B3456A">
        <w:rPr>
          <w:rFonts w:ascii="Times New Roman" w:hAnsi="Times New Roman" w:cs="Times New Roman"/>
          <w:b/>
          <w:sz w:val="20"/>
        </w:rPr>
        <w:t>information</w:t>
      </w:r>
      <w:r w:rsidR="00983E32" w:rsidRPr="00B3456A">
        <w:rPr>
          <w:rFonts w:ascii="Times New Roman" w:hAnsi="Times New Roman" w:cs="Times New Roman"/>
          <w:b/>
          <w:sz w:val="20"/>
        </w:rPr>
        <w:t xml:space="preserve"> </w:t>
      </w:r>
      <w:r w:rsidRPr="00B3456A">
        <w:rPr>
          <w:rFonts w:ascii="Times New Roman" w:hAnsi="Times New Roman" w:cs="Times New Roman"/>
          <w:b/>
          <w:sz w:val="20"/>
        </w:rPr>
        <w:t>standards.</w:t>
      </w:r>
    </w:p>
    <w:p w14:paraId="3984A2F7" w14:textId="33520CB5" w:rsidR="00021BE3" w:rsidRPr="005A50F3" w:rsidRDefault="00983E32" w:rsidP="00B3456A">
      <w:pPr>
        <w:tabs>
          <w:tab w:val="left" w:pos="594"/>
        </w:tabs>
        <w:spacing w:after="120"/>
        <w:ind w:firstLine="274"/>
        <w:rPr>
          <w:rFonts w:ascii="Times New Roman" w:hAnsi="Times New Roman" w:cs="Times New Roman"/>
        </w:rPr>
      </w:pPr>
      <w:r w:rsidRPr="00B3456A">
        <w:rPr>
          <w:rFonts w:ascii="Times New Roman" w:hAnsi="Times New Roman" w:cs="Times New Roman"/>
          <w:b/>
        </w:rPr>
        <w:t>5</w:t>
      </w:r>
      <w:r w:rsidR="00B3456A">
        <w:rPr>
          <w:rFonts w:ascii="Times New Roman" w:hAnsi="Times New Roman" w:cs="Times New Roman"/>
        </w:rPr>
        <w:t>.</w:t>
      </w:r>
      <w:r w:rsidR="00B3456A">
        <w:rPr>
          <w:rFonts w:ascii="Times New Roman" w:hAnsi="Times New Roman" w:cs="Times New Roman"/>
        </w:rPr>
        <w:tab/>
      </w:r>
      <w:r w:rsidR="00E716D7" w:rsidRPr="005A50F3">
        <w:rPr>
          <w:rFonts w:ascii="Times New Roman" w:hAnsi="Times New Roman" w:cs="Times New Roman"/>
        </w:rPr>
        <w:t>Section 63 of the Principal Act is amended by inserting after sub</w:t>
      </w:r>
      <w:r w:rsidR="005A4E90">
        <w:rPr>
          <w:rFonts w:ascii="Times New Roman" w:hAnsi="Times New Roman" w:cs="Times New Roman"/>
        </w:rPr>
        <w:t>-</w:t>
      </w:r>
      <w:r w:rsidR="00E716D7" w:rsidRPr="005A50F3">
        <w:rPr>
          <w:rFonts w:ascii="Times New Roman" w:hAnsi="Times New Roman" w:cs="Times New Roman"/>
        </w:rPr>
        <w:t>section (2) the following sub-sections:—</w:t>
      </w:r>
    </w:p>
    <w:p w14:paraId="306CBFAA" w14:textId="77777777" w:rsidR="00021BE3" w:rsidRPr="005A50F3" w:rsidRDefault="00E716D7" w:rsidP="00B3456A">
      <w:pPr>
        <w:tabs>
          <w:tab w:val="left" w:pos="594"/>
        </w:tabs>
        <w:spacing w:after="120"/>
        <w:ind w:firstLine="274"/>
        <w:rPr>
          <w:rFonts w:ascii="Times New Roman" w:hAnsi="Times New Roman" w:cs="Times New Roman"/>
        </w:rPr>
      </w:pPr>
      <w:r w:rsidRPr="005A50F3">
        <w:rPr>
          <w:rFonts w:ascii="Times New Roman" w:hAnsi="Times New Roman" w:cs="Times New Roman"/>
        </w:rPr>
        <w:t>“(</w:t>
      </w:r>
      <w:r w:rsidR="00983E32">
        <w:rPr>
          <w:rFonts w:ascii="Times New Roman" w:hAnsi="Times New Roman" w:cs="Times New Roman"/>
          <w:smallCaps/>
        </w:rPr>
        <w:t>2a</w:t>
      </w:r>
      <w:r w:rsidRPr="005A50F3">
        <w:rPr>
          <w:rFonts w:ascii="Times New Roman" w:hAnsi="Times New Roman" w:cs="Times New Roman"/>
        </w:rPr>
        <w:t>) Regulations made for the purposes of this section may exclude from their operation goods of a kind specified in the regulations that are intended to be used outside Australia and to which is applied a statement indicating that the goods are intended to be so used.</w:t>
      </w:r>
    </w:p>
    <w:p w14:paraId="57019FBE" w14:textId="77777777" w:rsidR="00021BE3" w:rsidRPr="005A50F3" w:rsidRDefault="00E716D7" w:rsidP="00B3456A">
      <w:pPr>
        <w:tabs>
          <w:tab w:val="left" w:pos="594"/>
        </w:tabs>
        <w:spacing w:after="120"/>
        <w:ind w:firstLine="274"/>
        <w:rPr>
          <w:rFonts w:ascii="Times New Roman" w:hAnsi="Times New Roman" w:cs="Times New Roman"/>
        </w:rPr>
      </w:pPr>
      <w:r w:rsidRPr="005A50F3">
        <w:rPr>
          <w:rFonts w:ascii="Times New Roman" w:hAnsi="Times New Roman" w:cs="Times New Roman"/>
        </w:rPr>
        <w:t>“(</w:t>
      </w:r>
      <w:r w:rsidR="00983E32">
        <w:rPr>
          <w:rFonts w:ascii="Times New Roman" w:hAnsi="Times New Roman" w:cs="Times New Roman"/>
          <w:smallCaps/>
        </w:rPr>
        <w:t>2b</w:t>
      </w:r>
      <w:r w:rsidRPr="005A50F3">
        <w:rPr>
          <w:rFonts w:ascii="Times New Roman" w:hAnsi="Times New Roman" w:cs="Times New Roman"/>
        </w:rPr>
        <w:t>) For the purposes of sub-section (</w:t>
      </w:r>
      <w:r w:rsidRPr="00983E32">
        <w:rPr>
          <w:rFonts w:ascii="Times New Roman" w:hAnsi="Times New Roman" w:cs="Times New Roman"/>
          <w:smallCaps/>
        </w:rPr>
        <w:t>2a</w:t>
      </w:r>
      <w:r w:rsidRPr="005A50F3">
        <w:rPr>
          <w:rFonts w:ascii="Times New Roman" w:hAnsi="Times New Roman" w:cs="Times New Roman"/>
        </w:rPr>
        <w:t>), a statement shall be deemed to be applied to goods if—</w:t>
      </w:r>
    </w:p>
    <w:p w14:paraId="745A24B2" w14:textId="77777777" w:rsidR="00021BE3" w:rsidRPr="005A50F3" w:rsidRDefault="00983E32" w:rsidP="00B3456A">
      <w:pPr>
        <w:tabs>
          <w:tab w:val="left" w:pos="594"/>
        </w:tabs>
        <w:spacing w:after="120"/>
        <w:ind w:firstLine="274"/>
        <w:rPr>
          <w:rFonts w:ascii="Times New Roman" w:hAnsi="Times New Roman" w:cs="Times New Roman"/>
        </w:rPr>
      </w:pPr>
      <w:r>
        <w:rPr>
          <w:rFonts w:ascii="Times New Roman" w:hAnsi="Times New Roman" w:cs="Times New Roman"/>
        </w:rPr>
        <w:t xml:space="preserve">(a) </w:t>
      </w:r>
      <w:r w:rsidR="00E716D7" w:rsidRPr="005A50F3">
        <w:rPr>
          <w:rFonts w:ascii="Times New Roman" w:hAnsi="Times New Roman" w:cs="Times New Roman"/>
        </w:rPr>
        <w:t>the statement is woven in, impressed on, worked into or annexed or affixed to the goods; or</w:t>
      </w:r>
    </w:p>
    <w:p w14:paraId="413EB75A" w14:textId="77777777" w:rsidR="00021BE3" w:rsidRPr="005A50F3" w:rsidRDefault="00983E32" w:rsidP="00B3456A">
      <w:pPr>
        <w:tabs>
          <w:tab w:val="left" w:pos="594"/>
        </w:tabs>
        <w:spacing w:after="120"/>
        <w:ind w:left="603" w:hanging="329"/>
        <w:rPr>
          <w:rFonts w:ascii="Times New Roman" w:hAnsi="Times New Roman" w:cs="Times New Roman"/>
        </w:rPr>
      </w:pPr>
      <w:r>
        <w:rPr>
          <w:rFonts w:ascii="Times New Roman" w:hAnsi="Times New Roman" w:cs="Times New Roman"/>
        </w:rPr>
        <w:t xml:space="preserve">(b) </w:t>
      </w:r>
      <w:r w:rsidR="00E716D7" w:rsidRPr="005A50F3">
        <w:rPr>
          <w:rFonts w:ascii="Times New Roman" w:hAnsi="Times New Roman" w:cs="Times New Roman"/>
        </w:rPr>
        <w:t>the statement is applied to a covering, label, reel or thing in or with which the goods are supplied.</w:t>
      </w:r>
    </w:p>
    <w:p w14:paraId="441960D7" w14:textId="77777777" w:rsidR="005A4E90" w:rsidRDefault="005A4E90">
      <w:pPr>
        <w:rPr>
          <w:rFonts w:ascii="Times New Roman" w:hAnsi="Times New Roman" w:cs="Times New Roman"/>
        </w:rPr>
      </w:pPr>
      <w:r>
        <w:rPr>
          <w:rFonts w:ascii="Times New Roman" w:hAnsi="Times New Roman" w:cs="Times New Roman"/>
        </w:rPr>
        <w:br w:type="page"/>
      </w:r>
    </w:p>
    <w:p w14:paraId="1E0CC6BF" w14:textId="3A901243" w:rsidR="00021BE3" w:rsidRPr="005A50F3" w:rsidRDefault="00E716D7" w:rsidP="00B3456A">
      <w:pPr>
        <w:tabs>
          <w:tab w:val="left" w:pos="594"/>
        </w:tabs>
        <w:spacing w:after="120"/>
        <w:ind w:firstLine="274"/>
        <w:rPr>
          <w:rFonts w:ascii="Times New Roman" w:hAnsi="Times New Roman" w:cs="Times New Roman"/>
        </w:rPr>
      </w:pPr>
      <w:r w:rsidRPr="005A50F3">
        <w:rPr>
          <w:rFonts w:ascii="Times New Roman" w:hAnsi="Times New Roman" w:cs="Times New Roman"/>
        </w:rPr>
        <w:lastRenderedPageBreak/>
        <w:t>“(</w:t>
      </w:r>
      <w:r w:rsidR="00983E32">
        <w:rPr>
          <w:rFonts w:ascii="Times New Roman" w:hAnsi="Times New Roman" w:cs="Times New Roman"/>
          <w:smallCaps/>
        </w:rPr>
        <w:t>2c</w:t>
      </w:r>
      <w:r w:rsidRPr="005A50F3">
        <w:rPr>
          <w:rFonts w:ascii="Times New Roman" w:hAnsi="Times New Roman" w:cs="Times New Roman"/>
        </w:rPr>
        <w:t>) A reference in sub-section (</w:t>
      </w:r>
      <w:r w:rsidRPr="00983E32">
        <w:rPr>
          <w:rFonts w:ascii="Times New Roman" w:hAnsi="Times New Roman" w:cs="Times New Roman"/>
          <w:smallCaps/>
        </w:rPr>
        <w:t>2b</w:t>
      </w:r>
      <w:r w:rsidRPr="005A50F3">
        <w:rPr>
          <w:rFonts w:ascii="Times New Roman" w:hAnsi="Times New Roman" w:cs="Times New Roman"/>
        </w:rPr>
        <w:t>) to a covering includes a reference to a stopper, glass, bottle, vessel, box, capsule, case, frame or wrapper and a reference in that sub-section to a label includes a reference to a band or ticket.</w:t>
      </w:r>
    </w:p>
    <w:p w14:paraId="6B315910" w14:textId="77777777" w:rsidR="00021BE3" w:rsidRPr="005A50F3" w:rsidRDefault="00983E32" w:rsidP="00B3456A">
      <w:pPr>
        <w:tabs>
          <w:tab w:val="left" w:pos="594"/>
        </w:tabs>
        <w:spacing w:after="120"/>
        <w:ind w:firstLine="274"/>
        <w:rPr>
          <w:rFonts w:ascii="Times New Roman" w:hAnsi="Times New Roman" w:cs="Times New Roman"/>
        </w:rPr>
      </w:pPr>
      <w:r w:rsidRPr="00B3456A">
        <w:rPr>
          <w:rFonts w:ascii="Times New Roman" w:hAnsi="Times New Roman" w:cs="Times New Roman"/>
          <w:b/>
        </w:rPr>
        <w:t>6.</w:t>
      </w:r>
      <w:r w:rsidR="00B3456A">
        <w:rPr>
          <w:rFonts w:ascii="Times New Roman" w:hAnsi="Times New Roman" w:cs="Times New Roman"/>
        </w:rPr>
        <w:tab/>
      </w:r>
      <w:r w:rsidR="00E716D7" w:rsidRPr="005A50F3">
        <w:rPr>
          <w:rFonts w:ascii="Times New Roman" w:hAnsi="Times New Roman" w:cs="Times New Roman"/>
        </w:rPr>
        <w:t>After section 63 of the Principal Act the following section is inserted:—</w:t>
      </w:r>
    </w:p>
    <w:p w14:paraId="5F32A62F" w14:textId="77777777" w:rsidR="00021BE3" w:rsidRPr="00B3456A" w:rsidRDefault="00E716D7" w:rsidP="00B3456A">
      <w:pPr>
        <w:spacing w:before="120" w:after="60"/>
        <w:rPr>
          <w:rFonts w:ascii="Times New Roman" w:hAnsi="Times New Roman" w:cs="Times New Roman"/>
          <w:b/>
          <w:sz w:val="20"/>
        </w:rPr>
      </w:pPr>
      <w:r w:rsidRPr="00B3456A">
        <w:rPr>
          <w:rFonts w:ascii="Times New Roman" w:hAnsi="Times New Roman" w:cs="Times New Roman"/>
          <w:b/>
          <w:sz w:val="20"/>
        </w:rPr>
        <w:t>Unsolicited credit cards.</w:t>
      </w:r>
    </w:p>
    <w:p w14:paraId="351E3E27" w14:textId="77777777" w:rsidR="00021BE3" w:rsidRPr="005A50F3" w:rsidRDefault="00E716D7" w:rsidP="00B3456A">
      <w:pPr>
        <w:ind w:firstLine="274"/>
        <w:rPr>
          <w:rFonts w:ascii="Times New Roman" w:hAnsi="Times New Roman" w:cs="Times New Roman"/>
        </w:rPr>
      </w:pPr>
      <w:r w:rsidRPr="005A50F3">
        <w:rPr>
          <w:rFonts w:ascii="Times New Roman" w:hAnsi="Times New Roman" w:cs="Times New Roman"/>
        </w:rPr>
        <w:t>“</w:t>
      </w:r>
      <w:r w:rsidRPr="00983E32">
        <w:rPr>
          <w:rFonts w:ascii="Times New Roman" w:hAnsi="Times New Roman" w:cs="Times New Roman"/>
          <w:smallCaps/>
        </w:rPr>
        <w:t>63a</w:t>
      </w:r>
      <w:r w:rsidRPr="005A50F3">
        <w:rPr>
          <w:rFonts w:ascii="Times New Roman" w:hAnsi="Times New Roman" w:cs="Times New Roman"/>
        </w:rPr>
        <w:t>. (1) A corporation shall not send a credit card to a person except—</w:t>
      </w:r>
    </w:p>
    <w:p w14:paraId="64433947" w14:textId="77777777" w:rsidR="00021BE3" w:rsidRPr="005A50F3" w:rsidRDefault="00983E32" w:rsidP="00B3456A">
      <w:pPr>
        <w:spacing w:after="120"/>
        <w:ind w:left="603" w:hanging="329"/>
        <w:rPr>
          <w:rFonts w:ascii="Times New Roman" w:hAnsi="Times New Roman" w:cs="Times New Roman"/>
        </w:rPr>
      </w:pPr>
      <w:r>
        <w:rPr>
          <w:rFonts w:ascii="Times New Roman" w:hAnsi="Times New Roman" w:cs="Times New Roman"/>
        </w:rPr>
        <w:t xml:space="preserve">(a) </w:t>
      </w:r>
      <w:r w:rsidR="00E716D7" w:rsidRPr="005A50F3">
        <w:rPr>
          <w:rFonts w:ascii="Times New Roman" w:hAnsi="Times New Roman" w:cs="Times New Roman"/>
        </w:rPr>
        <w:t>in pursuance of a request in writing by the person who will be under a liability to the person who issued the card in respect of the use of the card; or</w:t>
      </w:r>
    </w:p>
    <w:p w14:paraId="01F95434" w14:textId="77777777" w:rsidR="00021BE3" w:rsidRPr="005A50F3" w:rsidRDefault="00983E32" w:rsidP="00B3456A">
      <w:pPr>
        <w:spacing w:after="120"/>
        <w:ind w:left="603" w:hanging="329"/>
        <w:rPr>
          <w:rFonts w:ascii="Times New Roman" w:hAnsi="Times New Roman" w:cs="Times New Roman"/>
        </w:rPr>
      </w:pPr>
      <w:r>
        <w:rPr>
          <w:rFonts w:ascii="Times New Roman" w:hAnsi="Times New Roman" w:cs="Times New Roman"/>
        </w:rPr>
        <w:t xml:space="preserve">(b) </w:t>
      </w:r>
      <w:r w:rsidR="00E716D7" w:rsidRPr="005A50F3">
        <w:rPr>
          <w:rFonts w:ascii="Times New Roman" w:hAnsi="Times New Roman" w:cs="Times New Roman"/>
        </w:rPr>
        <w:t>in renewal or replacement of, or in substitution for—</w:t>
      </w:r>
    </w:p>
    <w:p w14:paraId="55200896" w14:textId="77777777" w:rsidR="00021BE3" w:rsidRPr="005A50F3" w:rsidRDefault="00983E32" w:rsidP="00B3456A">
      <w:pPr>
        <w:spacing w:after="120"/>
        <w:ind w:left="1179" w:hanging="288"/>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E716D7" w:rsidRPr="005A50F3">
        <w:rPr>
          <w:rFonts w:ascii="Times New Roman" w:hAnsi="Times New Roman" w:cs="Times New Roman"/>
        </w:rPr>
        <w:t>a credit card previously sent to the first-mentioned person in pursuance of a request in writing by the person who was under a liability to the person who issued the card previously so sent in respect of the use of that card; or</w:t>
      </w:r>
    </w:p>
    <w:p w14:paraId="48F63717" w14:textId="77777777" w:rsidR="00021BE3" w:rsidRPr="005A50F3" w:rsidRDefault="00983E32" w:rsidP="00B3456A">
      <w:pPr>
        <w:ind w:left="1179" w:hanging="288"/>
        <w:rPr>
          <w:rFonts w:ascii="Times New Roman" w:hAnsi="Times New Roman" w:cs="Times New Roman"/>
        </w:rPr>
      </w:pPr>
      <w:r>
        <w:rPr>
          <w:rFonts w:ascii="Times New Roman" w:hAnsi="Times New Roman" w:cs="Times New Roman"/>
        </w:rPr>
        <w:t xml:space="preserve">(ii) </w:t>
      </w:r>
      <w:r w:rsidR="00E716D7" w:rsidRPr="005A50F3">
        <w:rPr>
          <w:rFonts w:ascii="Times New Roman" w:hAnsi="Times New Roman" w:cs="Times New Roman"/>
        </w:rPr>
        <w:t>a credit card previously sent to the first-mentioned person and used for a purpose for which it was intended to be used.</w:t>
      </w:r>
    </w:p>
    <w:p w14:paraId="28AC3A9C" w14:textId="77777777" w:rsidR="00021BE3" w:rsidRPr="005A50F3" w:rsidRDefault="00E716D7" w:rsidP="00B3456A">
      <w:pPr>
        <w:spacing w:after="120"/>
        <w:ind w:firstLine="274"/>
        <w:rPr>
          <w:rFonts w:ascii="Times New Roman" w:hAnsi="Times New Roman" w:cs="Times New Roman"/>
        </w:rPr>
      </w:pPr>
      <w:r w:rsidRPr="005A50F3">
        <w:rPr>
          <w:rFonts w:ascii="Times New Roman" w:hAnsi="Times New Roman" w:cs="Times New Roman"/>
        </w:rPr>
        <w:t>“(2) Sub-section (1) applies only in relation to the sending of a credit card by or on behalf of the person who issued the card.</w:t>
      </w:r>
    </w:p>
    <w:p w14:paraId="7251308F" w14:textId="77777777" w:rsidR="00021BE3" w:rsidRPr="005A50F3" w:rsidRDefault="00E716D7" w:rsidP="00B3456A">
      <w:pPr>
        <w:spacing w:after="120"/>
        <w:ind w:firstLine="274"/>
        <w:rPr>
          <w:rFonts w:ascii="Times New Roman" w:hAnsi="Times New Roman" w:cs="Times New Roman"/>
        </w:rPr>
      </w:pPr>
      <w:r w:rsidRPr="005A50F3">
        <w:rPr>
          <w:rFonts w:ascii="Times New Roman" w:hAnsi="Times New Roman" w:cs="Times New Roman"/>
        </w:rPr>
        <w:t>“(3) In this section—</w:t>
      </w:r>
    </w:p>
    <w:p w14:paraId="2FC0DF80" w14:textId="77777777" w:rsidR="00021BE3" w:rsidRPr="005A50F3" w:rsidRDefault="00E716D7" w:rsidP="00B3456A">
      <w:pPr>
        <w:spacing w:after="120"/>
        <w:ind w:firstLine="274"/>
        <w:rPr>
          <w:rFonts w:ascii="Times New Roman" w:hAnsi="Times New Roman" w:cs="Times New Roman"/>
        </w:rPr>
      </w:pPr>
      <w:r w:rsidRPr="005A50F3">
        <w:rPr>
          <w:rFonts w:ascii="Times New Roman" w:hAnsi="Times New Roman" w:cs="Times New Roman"/>
        </w:rPr>
        <w:t>‘article’ includes a token, card or document;</w:t>
      </w:r>
    </w:p>
    <w:p w14:paraId="0A4917E8" w14:textId="2B3E7032" w:rsidR="00021BE3" w:rsidRDefault="005A4E90" w:rsidP="005A4E90">
      <w:pPr>
        <w:ind w:left="783" w:hanging="509"/>
        <w:rPr>
          <w:rFonts w:ascii="Times New Roman" w:hAnsi="Times New Roman" w:cs="Times New Roman"/>
        </w:rPr>
      </w:pPr>
      <w:r>
        <w:rPr>
          <w:rFonts w:ascii="Times New Roman" w:hAnsi="Times New Roman" w:cs="Times New Roman"/>
        </w:rPr>
        <w:t>‘credit card</w:t>
      </w:r>
      <w:r w:rsidR="00E716D7" w:rsidRPr="005A50F3">
        <w:rPr>
          <w:rFonts w:ascii="Times New Roman" w:hAnsi="Times New Roman" w:cs="Times New Roman"/>
        </w:rPr>
        <w:t>’ means any article of a kind commonly known as a credit card or any similar article intended for use in obtaining cash, services or goods or other property on credit, and includes any</w:t>
      </w:r>
      <w:r>
        <w:rPr>
          <w:rFonts w:ascii="Times New Roman" w:hAnsi="Times New Roman" w:cs="Times New Roman"/>
        </w:rPr>
        <w:t xml:space="preserve"> </w:t>
      </w:r>
      <w:r w:rsidR="00E716D7" w:rsidRPr="005A50F3">
        <w:rPr>
          <w:rFonts w:ascii="Times New Roman" w:hAnsi="Times New Roman" w:cs="Times New Roman"/>
        </w:rPr>
        <w:t>article of a kind commonly issued by persons carrying on business to customers or prospective customers of those persons for use in obtaining services or goods or other propert</w:t>
      </w:r>
      <w:r w:rsidR="006109E4">
        <w:rPr>
          <w:rFonts w:ascii="Times New Roman" w:hAnsi="Times New Roman" w:cs="Times New Roman"/>
        </w:rPr>
        <w:t>y from those persons on credit.</w:t>
      </w:r>
      <w:r w:rsidR="00E716D7" w:rsidRPr="005A50F3">
        <w:rPr>
          <w:rFonts w:ascii="Times New Roman" w:hAnsi="Times New Roman" w:cs="Times New Roman"/>
        </w:rPr>
        <w:t>”.</w:t>
      </w:r>
    </w:p>
    <w:p w14:paraId="3126D275" w14:textId="77777777" w:rsidR="00983E32" w:rsidRPr="005A50F3" w:rsidRDefault="00983E32" w:rsidP="00B5607F">
      <w:pPr>
        <w:pBdr>
          <w:bottom w:val="single" w:sz="12" w:space="1" w:color="auto"/>
        </w:pBdr>
        <w:rPr>
          <w:rFonts w:ascii="Times New Roman" w:hAnsi="Times New Roman" w:cs="Times New Roman"/>
        </w:rPr>
      </w:pPr>
    </w:p>
    <w:sectPr w:rsidR="00983E32" w:rsidRPr="005A50F3" w:rsidSect="00B5607F">
      <w:headerReference w:type="even" r:id="rId9"/>
      <w:headerReference w:type="default" r:id="rId10"/>
      <w:type w:val="continuous"/>
      <w:pgSz w:w="11909" w:h="18000" w:code="9"/>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E0917E" w15:done="0"/>
  <w15:commentEx w15:paraId="65811D3C" w15:done="0"/>
  <w15:commentEx w15:paraId="0E936D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0917E" w16cid:durableId="1F537363"/>
  <w16cid:commentId w16cid:paraId="65811D3C" w16cid:durableId="1F537380"/>
  <w16cid:commentId w16cid:paraId="0E936D8F" w16cid:durableId="1F5373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DAFD2" w14:textId="77777777" w:rsidR="000453FD" w:rsidRDefault="000453FD">
      <w:r>
        <w:separator/>
      </w:r>
    </w:p>
  </w:endnote>
  <w:endnote w:type="continuationSeparator" w:id="0">
    <w:p w14:paraId="6E1FBDB6" w14:textId="77777777" w:rsidR="000453FD" w:rsidRDefault="0004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DA4AB" w14:textId="77777777" w:rsidR="000453FD" w:rsidRDefault="000453FD"/>
  </w:footnote>
  <w:footnote w:type="continuationSeparator" w:id="0">
    <w:p w14:paraId="2D7A94A4" w14:textId="77777777" w:rsidR="000453FD" w:rsidRDefault="000453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1108E" w14:textId="10C61729" w:rsidR="00B5607F" w:rsidRPr="00B5607F" w:rsidRDefault="00B5607F" w:rsidP="00B5607F">
    <w:pPr>
      <w:pStyle w:val="Header"/>
      <w:tabs>
        <w:tab w:val="clear" w:pos="4680"/>
        <w:tab w:val="clear" w:pos="9360"/>
        <w:tab w:val="center" w:pos="5040"/>
        <w:tab w:val="right" w:pos="9630"/>
      </w:tabs>
      <w:rPr>
        <w:rFonts w:ascii="Times New Roman" w:hAnsi="Times New Roman" w:cs="Times New Roman"/>
        <w:sz w:val="22"/>
        <w:szCs w:val="22"/>
      </w:rPr>
    </w:pPr>
    <w:r w:rsidRPr="00B5607F">
      <w:rPr>
        <w:rFonts w:ascii="Times New Roman" w:hAnsi="Times New Roman" w:cs="Times New Roman"/>
        <w:sz w:val="22"/>
        <w:szCs w:val="22"/>
      </w:rPr>
      <w:t>1975</w:t>
    </w:r>
    <w:r w:rsidRPr="00B5607F">
      <w:rPr>
        <w:rFonts w:ascii="Times New Roman" w:hAnsi="Times New Roman" w:cs="Times New Roman"/>
        <w:sz w:val="22"/>
        <w:szCs w:val="22"/>
      </w:rPr>
      <w:tab/>
    </w:r>
    <w:r w:rsidRPr="00B5607F">
      <w:rPr>
        <w:rFonts w:ascii="Times New Roman" w:hAnsi="Times New Roman" w:cs="Times New Roman"/>
        <w:i/>
        <w:iCs/>
        <w:color w:val="auto"/>
        <w:sz w:val="22"/>
        <w:szCs w:val="22"/>
      </w:rPr>
      <w:t>Trade Practices</w:t>
    </w:r>
    <w:r w:rsidRPr="00B5607F">
      <w:rPr>
        <w:rFonts w:ascii="Times New Roman" w:hAnsi="Times New Roman" w:cs="Times New Roman"/>
        <w:i/>
        <w:iCs/>
        <w:color w:val="auto"/>
        <w:sz w:val="22"/>
        <w:szCs w:val="22"/>
      </w:rPr>
      <w:tab/>
    </w:r>
    <w:r w:rsidR="005A4E90">
      <w:rPr>
        <w:rFonts w:ascii="Times New Roman" w:hAnsi="Times New Roman" w:cs="Times New Roman"/>
        <w:iCs/>
        <w:color w:val="auto"/>
        <w:sz w:val="22"/>
        <w:szCs w:val="22"/>
      </w:rPr>
      <w:t>No</w:t>
    </w:r>
    <w:r w:rsidRPr="00B5607F">
      <w:rPr>
        <w:rFonts w:ascii="Times New Roman" w:hAnsi="Times New Roman" w:cs="Times New Roman"/>
        <w:iCs/>
        <w:color w:val="auto"/>
        <w:sz w:val="22"/>
        <w:szCs w:val="22"/>
      </w:rPr>
      <w:t>. 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C912A" w14:textId="77777777" w:rsidR="00B5607F" w:rsidRPr="00B5607F" w:rsidRDefault="00B5607F" w:rsidP="00B5607F">
    <w:pPr>
      <w:pStyle w:val="Header"/>
      <w:tabs>
        <w:tab w:val="clear" w:pos="4680"/>
        <w:tab w:val="clear" w:pos="9360"/>
        <w:tab w:val="center" w:pos="5040"/>
        <w:tab w:val="right" w:pos="9630"/>
      </w:tabs>
      <w:rPr>
        <w:rFonts w:ascii="Times New Roman" w:hAnsi="Times New Roman" w:cs="Times New Roman"/>
        <w:sz w:val="22"/>
        <w:szCs w:val="22"/>
      </w:rPr>
    </w:pPr>
    <w:r w:rsidRPr="00B5607F">
      <w:rPr>
        <w:rFonts w:ascii="Times New Roman" w:hAnsi="Times New Roman" w:cs="Times New Roman"/>
        <w:sz w:val="22"/>
        <w:szCs w:val="22"/>
      </w:rPr>
      <w:t>NO. 63</w:t>
    </w:r>
    <w:r w:rsidRPr="00B5607F">
      <w:rPr>
        <w:rFonts w:ascii="Times New Roman" w:hAnsi="Times New Roman" w:cs="Times New Roman"/>
        <w:sz w:val="22"/>
        <w:szCs w:val="22"/>
      </w:rPr>
      <w:tab/>
    </w:r>
    <w:r w:rsidRPr="00B5607F">
      <w:rPr>
        <w:rFonts w:ascii="Times New Roman" w:hAnsi="Times New Roman" w:cs="Times New Roman"/>
        <w:i/>
        <w:iCs/>
        <w:color w:val="auto"/>
        <w:sz w:val="22"/>
        <w:szCs w:val="22"/>
      </w:rPr>
      <w:t>Trade Practices</w:t>
    </w:r>
    <w:r w:rsidRPr="00B5607F">
      <w:rPr>
        <w:rFonts w:ascii="Times New Roman" w:hAnsi="Times New Roman" w:cs="Times New Roman"/>
        <w:i/>
        <w:iCs/>
        <w:color w:val="auto"/>
        <w:sz w:val="22"/>
        <w:szCs w:val="22"/>
      </w:rPr>
      <w:tab/>
    </w:r>
    <w:r w:rsidRPr="00B5607F">
      <w:rPr>
        <w:rFonts w:ascii="Times New Roman" w:hAnsi="Times New Roman" w:cs="Times New Roman"/>
        <w:iCs/>
        <w:color w:val="auto"/>
        <w:sz w:val="22"/>
        <w:szCs w:val="22"/>
      </w:rPr>
      <w:t>1975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73AA"/>
    <w:multiLevelType w:val="multilevel"/>
    <w:tmpl w:val="45D0A4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24145C"/>
    <w:multiLevelType w:val="multilevel"/>
    <w:tmpl w:val="9D22C1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8B6B2E"/>
    <w:multiLevelType w:val="multilevel"/>
    <w:tmpl w:val="445E1DC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46680D"/>
    <w:multiLevelType w:val="multilevel"/>
    <w:tmpl w:val="18106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EC5D12"/>
    <w:multiLevelType w:val="multilevel"/>
    <w:tmpl w:val="6CBE2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2C738D"/>
    <w:multiLevelType w:val="multilevel"/>
    <w:tmpl w:val="593E11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4E7219"/>
    <w:multiLevelType w:val="multilevel"/>
    <w:tmpl w:val="D8082F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21BE3"/>
    <w:rsid w:val="00021BE3"/>
    <w:rsid w:val="000453FD"/>
    <w:rsid w:val="005A4E90"/>
    <w:rsid w:val="005A50F3"/>
    <w:rsid w:val="006109E4"/>
    <w:rsid w:val="00983E32"/>
    <w:rsid w:val="009E0911"/>
    <w:rsid w:val="00A12FEB"/>
    <w:rsid w:val="00A81526"/>
    <w:rsid w:val="00B3456A"/>
    <w:rsid w:val="00B5607F"/>
    <w:rsid w:val="00CB68FD"/>
    <w:rsid w:val="00E033DF"/>
    <w:rsid w:val="00E7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6"/>
      <w:szCs w:val="26"/>
      <w:u w:val="none"/>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1"/>
      <w:szCs w:val="21"/>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paragraph" w:customStyle="1" w:styleId="Bodytext40">
    <w:name w:val="Body text (4)"/>
    <w:basedOn w:val="Normal"/>
    <w:link w:val="Bodytext4"/>
    <w:pPr>
      <w:spacing w:line="173" w:lineRule="exact"/>
      <w:jc w:val="both"/>
    </w:pPr>
    <w:rPr>
      <w:rFonts w:ascii="Times New Roman" w:eastAsia="Times New Roman" w:hAnsi="Times New Roman" w:cs="Times New Roman"/>
      <w:sz w:val="16"/>
      <w:szCs w:val="16"/>
    </w:rPr>
  </w:style>
  <w:style w:type="paragraph" w:customStyle="1" w:styleId="Heading10">
    <w:name w:val="Heading #1"/>
    <w:basedOn w:val="Normal"/>
    <w:link w:val="Heading1"/>
    <w:pPr>
      <w:spacing w:line="0" w:lineRule="atLeast"/>
      <w:jc w:val="center"/>
      <w:outlineLvl w:val="0"/>
    </w:pPr>
    <w:rPr>
      <w:rFonts w:ascii="Arial" w:eastAsia="Arial" w:hAnsi="Arial" w:cs="Arial"/>
      <w:b/>
      <w:bCs/>
      <w:spacing w:val="10"/>
      <w:sz w:val="26"/>
      <w:szCs w:val="26"/>
    </w:rPr>
  </w:style>
  <w:style w:type="paragraph" w:customStyle="1" w:styleId="BodyText2">
    <w:name w:val="Body Text2"/>
    <w:basedOn w:val="Normal"/>
    <w:link w:val="Bodytext"/>
    <w:pPr>
      <w:spacing w:line="240" w:lineRule="exact"/>
      <w:ind w:hanging="440"/>
      <w:jc w:val="both"/>
    </w:pPr>
    <w:rPr>
      <w:rFonts w:ascii="Times New Roman" w:eastAsia="Times New Roman" w:hAnsi="Times New Roman" w:cs="Times New Roman"/>
      <w:sz w:val="21"/>
      <w:szCs w:val="21"/>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i/>
      <w:iCs/>
      <w:sz w:val="21"/>
      <w:szCs w:val="21"/>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B5607F"/>
    <w:pPr>
      <w:tabs>
        <w:tab w:val="center" w:pos="4680"/>
        <w:tab w:val="right" w:pos="9360"/>
      </w:tabs>
    </w:pPr>
  </w:style>
  <w:style w:type="character" w:customStyle="1" w:styleId="HeaderChar">
    <w:name w:val="Header Char"/>
    <w:basedOn w:val="DefaultParagraphFont"/>
    <w:link w:val="Header"/>
    <w:uiPriority w:val="99"/>
    <w:rsid w:val="00B5607F"/>
    <w:rPr>
      <w:color w:val="000000"/>
    </w:rPr>
  </w:style>
  <w:style w:type="paragraph" w:styleId="Footer">
    <w:name w:val="footer"/>
    <w:basedOn w:val="Normal"/>
    <w:link w:val="FooterChar"/>
    <w:uiPriority w:val="99"/>
    <w:unhideWhenUsed/>
    <w:rsid w:val="00B5607F"/>
    <w:pPr>
      <w:tabs>
        <w:tab w:val="center" w:pos="4680"/>
        <w:tab w:val="right" w:pos="9360"/>
      </w:tabs>
    </w:pPr>
  </w:style>
  <w:style w:type="character" w:customStyle="1" w:styleId="FooterChar">
    <w:name w:val="Footer Char"/>
    <w:basedOn w:val="DefaultParagraphFont"/>
    <w:link w:val="Footer"/>
    <w:uiPriority w:val="99"/>
    <w:rsid w:val="00B5607F"/>
    <w:rPr>
      <w:color w:val="000000"/>
    </w:rPr>
  </w:style>
  <w:style w:type="character" w:styleId="CommentReference">
    <w:name w:val="annotation reference"/>
    <w:basedOn w:val="DefaultParagraphFont"/>
    <w:uiPriority w:val="99"/>
    <w:semiHidden/>
    <w:unhideWhenUsed/>
    <w:rsid w:val="00A12FEB"/>
    <w:rPr>
      <w:sz w:val="16"/>
      <w:szCs w:val="16"/>
    </w:rPr>
  </w:style>
  <w:style w:type="paragraph" w:styleId="CommentText">
    <w:name w:val="annotation text"/>
    <w:basedOn w:val="Normal"/>
    <w:link w:val="CommentTextChar"/>
    <w:uiPriority w:val="99"/>
    <w:semiHidden/>
    <w:unhideWhenUsed/>
    <w:rsid w:val="00A12FEB"/>
    <w:rPr>
      <w:sz w:val="20"/>
      <w:szCs w:val="20"/>
    </w:rPr>
  </w:style>
  <w:style w:type="character" w:customStyle="1" w:styleId="CommentTextChar">
    <w:name w:val="Comment Text Char"/>
    <w:basedOn w:val="DefaultParagraphFont"/>
    <w:link w:val="CommentText"/>
    <w:uiPriority w:val="99"/>
    <w:semiHidden/>
    <w:rsid w:val="00A12FEB"/>
    <w:rPr>
      <w:color w:val="000000"/>
      <w:sz w:val="20"/>
      <w:szCs w:val="20"/>
    </w:rPr>
  </w:style>
  <w:style w:type="paragraph" w:styleId="CommentSubject">
    <w:name w:val="annotation subject"/>
    <w:basedOn w:val="CommentText"/>
    <w:next w:val="CommentText"/>
    <w:link w:val="CommentSubjectChar"/>
    <w:uiPriority w:val="99"/>
    <w:semiHidden/>
    <w:unhideWhenUsed/>
    <w:rsid w:val="00A12FEB"/>
    <w:rPr>
      <w:b/>
      <w:bCs/>
    </w:rPr>
  </w:style>
  <w:style w:type="character" w:customStyle="1" w:styleId="CommentSubjectChar">
    <w:name w:val="Comment Subject Char"/>
    <w:basedOn w:val="CommentTextChar"/>
    <w:link w:val="CommentSubject"/>
    <w:uiPriority w:val="99"/>
    <w:semiHidden/>
    <w:rsid w:val="00A12FEB"/>
    <w:rPr>
      <w:b/>
      <w:bCs/>
      <w:color w:val="000000"/>
      <w:sz w:val="20"/>
      <w:szCs w:val="20"/>
    </w:rPr>
  </w:style>
  <w:style w:type="paragraph" w:styleId="BalloonText">
    <w:name w:val="Balloon Text"/>
    <w:basedOn w:val="Normal"/>
    <w:link w:val="BalloonTextChar"/>
    <w:uiPriority w:val="99"/>
    <w:semiHidden/>
    <w:unhideWhenUsed/>
    <w:rsid w:val="00A12F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FEB"/>
    <w:rPr>
      <w:rFonts w:ascii="Segoe UI" w:hAnsi="Segoe UI" w:cs="Segoe UI"/>
      <w:color w:val="000000"/>
      <w:sz w:val="18"/>
      <w:szCs w:val="18"/>
    </w:rPr>
  </w:style>
  <w:style w:type="paragraph" w:styleId="Revision">
    <w:name w:val="Revision"/>
    <w:hidden/>
    <w:uiPriority w:val="99"/>
    <w:semiHidden/>
    <w:rsid w:val="005A4E90"/>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38BCA-A9E0-4D77-B724-6CC9FA64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2018-09-24T04:31:00Z</dcterms:created>
  <dcterms:modified xsi:type="dcterms:W3CDTF">2019-07-16T01:58:00Z</dcterms:modified>
</cp:coreProperties>
</file>