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79D9">
      <w:pPr>
        <w:pStyle w:val="ShortT"/>
      </w:pPr>
      <w:r>
        <w:rPr>
          <w:sz w:val="20"/>
          <w:szCs w:val="20"/>
        </w:rP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v:imagedata r:id="rId8" o:title=""/>
          </v:shape>
          <o:OLEObject Type="Embed" ProgID="Word.Picture.8" ShapeID="_x0000_i1025" DrawAspect="Content" ObjectID="_1629894008" r:id="rId9"/>
        </w:object>
      </w:r>
    </w:p>
    <w:p w:rsidR="00000000" w:rsidRDefault="008979D9">
      <w:pPr>
        <w:rPr>
          <w:sz w:val="19"/>
          <w:szCs w:val="19"/>
        </w:rPr>
      </w:pPr>
    </w:p>
    <w:p w:rsidR="00000000" w:rsidRDefault="008979D9">
      <w:pPr>
        <w:rPr>
          <w:sz w:val="19"/>
          <w:szCs w:val="19"/>
        </w:rPr>
      </w:pPr>
    </w:p>
    <w:p w:rsidR="00000000" w:rsidRDefault="008979D9">
      <w:pPr>
        <w:rPr>
          <w:sz w:val="19"/>
          <w:szCs w:val="19"/>
        </w:rPr>
      </w:pPr>
    </w:p>
    <w:p w:rsidR="00000000" w:rsidRDefault="008979D9">
      <w:pPr>
        <w:rPr>
          <w:sz w:val="19"/>
          <w:szCs w:val="19"/>
        </w:rPr>
      </w:pPr>
    </w:p>
    <w:p w:rsidR="00000000" w:rsidRDefault="008979D9">
      <w:pPr>
        <w:pStyle w:val="ShortT"/>
      </w:pPr>
      <w:r>
        <w:t>States Grants (General Purposes) Amendment Act 1998</w:t>
      </w:r>
    </w:p>
    <w:p w:rsidR="00000000" w:rsidRDefault="008979D9"/>
    <w:p w:rsidR="00000000" w:rsidRDefault="008979D9">
      <w:pPr>
        <w:pStyle w:val="Actno"/>
        <w:spacing w:before="400"/>
      </w:pPr>
      <w:r>
        <w:t>No. 109, 1998</w:t>
      </w:r>
    </w:p>
    <w:p w:rsidR="00000000" w:rsidRDefault="008979D9">
      <w:pPr>
        <w:sectPr w:rsidR="00000000">
          <w:headerReference w:type="even" r:id="rId10"/>
          <w:headerReference w:type="default" r:id="rId11"/>
          <w:footerReference w:type="even" r:id="rId12"/>
          <w:footerReference w:type="default" r:id="rId13"/>
          <w:headerReference w:type="first" r:id="rId14"/>
          <w:footerReference w:type="first" r:id="rId15"/>
          <w:pgSz w:w="11906" w:h="16838" w:code="9"/>
          <w:pgMar w:top="1418" w:right="2410" w:bottom="3544" w:left="2410" w:header="720" w:footer="4111" w:gutter="0"/>
          <w:cols w:space="720"/>
        </w:sectPr>
      </w:pPr>
    </w:p>
    <w:p w:rsidR="00000000" w:rsidRDefault="008979D9">
      <w:pPr>
        <w:spacing w:line="240" w:lineRule="auto"/>
        <w:rPr>
          <w:sz w:val="19"/>
          <w:szCs w:val="19"/>
        </w:rPr>
      </w:pPr>
      <w:r>
        <w:rPr>
          <w:sz w:val="20"/>
          <w:szCs w:val="20"/>
        </w:rPr>
        <w:object w:dxaOrig="2146" w:dyaOrig="1561">
          <v:shape id="_x0000_i1026" type="#_x0000_t75" style="width:107.25pt;height:78pt" o:ole="">
            <v:imagedata r:id="rId8" o:title=""/>
          </v:shape>
          <o:OLEObject Type="Embed" ProgID="Word.Picture.8" ShapeID="_x0000_i1026" DrawAspect="Content" ObjectID="_1629894009" r:id="rId16"/>
        </w:object>
      </w:r>
    </w:p>
    <w:p w:rsidR="00000000" w:rsidRDefault="008979D9">
      <w:pPr>
        <w:rPr>
          <w:sz w:val="19"/>
          <w:szCs w:val="19"/>
        </w:rPr>
      </w:pPr>
    </w:p>
    <w:p w:rsidR="00000000" w:rsidRDefault="008979D9">
      <w:pPr>
        <w:rPr>
          <w:sz w:val="19"/>
          <w:szCs w:val="19"/>
        </w:rPr>
      </w:pPr>
    </w:p>
    <w:p w:rsidR="00000000" w:rsidRDefault="008979D9">
      <w:pPr>
        <w:rPr>
          <w:sz w:val="19"/>
          <w:szCs w:val="19"/>
        </w:rPr>
      </w:pPr>
    </w:p>
    <w:p w:rsidR="00000000" w:rsidRDefault="008979D9">
      <w:pPr>
        <w:rPr>
          <w:sz w:val="19"/>
          <w:szCs w:val="19"/>
        </w:rPr>
      </w:pPr>
    </w:p>
    <w:p w:rsidR="00000000" w:rsidRDefault="008979D9">
      <w:pPr>
        <w:pStyle w:val="ShortT"/>
      </w:pPr>
      <w:r>
        <w:t>States Grants (General Purposes) Amendment Act 1998</w:t>
      </w:r>
    </w:p>
    <w:p w:rsidR="00000000" w:rsidRDefault="008979D9"/>
    <w:p w:rsidR="00000000" w:rsidRDefault="008979D9">
      <w:pPr>
        <w:pStyle w:val="Actno"/>
        <w:spacing w:before="400"/>
      </w:pPr>
      <w:r>
        <w:t>No. 109, 1998</w:t>
      </w:r>
    </w:p>
    <w:p w:rsidR="00000000" w:rsidRDefault="008979D9">
      <w:pPr>
        <w:pStyle w:val="LongT"/>
      </w:pPr>
    </w:p>
    <w:p w:rsidR="00000000" w:rsidRDefault="008979D9">
      <w:pPr>
        <w:pStyle w:val="LongT"/>
      </w:pPr>
    </w:p>
    <w:p w:rsidR="00000000" w:rsidRDefault="008979D9">
      <w:pPr>
        <w:pStyle w:val="LongT"/>
      </w:pPr>
    </w:p>
    <w:p w:rsidR="00000000" w:rsidRDefault="008979D9">
      <w:pPr>
        <w:pStyle w:val="LongT"/>
      </w:pPr>
      <w:r>
        <w:t xml:space="preserve">An Act to amend the </w:t>
      </w:r>
      <w:r>
        <w:rPr>
          <w:i/>
          <w:iCs/>
        </w:rPr>
        <w:t>States Grants (General Purposes) Act 1994</w:t>
      </w:r>
      <w:r>
        <w:t>, and for related purposes</w:t>
      </w:r>
    </w:p>
    <w:p w:rsidR="00000000" w:rsidRDefault="008979D9">
      <w:pPr>
        <w:pStyle w:val="Header"/>
      </w:pPr>
      <w:r>
        <w:rPr>
          <w:rStyle w:val="CharAmSchNo"/>
        </w:rPr>
        <w:t xml:space="preserve"> </w:t>
      </w:r>
      <w:r>
        <w:rPr>
          <w:rStyle w:val="CharAmSchText"/>
        </w:rPr>
        <w:t xml:space="preserve"> </w:t>
      </w:r>
    </w:p>
    <w:p w:rsidR="00000000" w:rsidRDefault="008979D9">
      <w:pPr>
        <w:pStyle w:val="Header"/>
      </w:pPr>
      <w:r>
        <w:rPr>
          <w:rStyle w:val="CharAmPartNo"/>
        </w:rPr>
        <w:t xml:space="preserve"> </w:t>
      </w:r>
      <w:r>
        <w:rPr>
          <w:rStyle w:val="CharAmPartText"/>
        </w:rPr>
        <w:t xml:space="preserve"> </w:t>
      </w:r>
    </w:p>
    <w:p w:rsidR="00000000" w:rsidRDefault="008979D9">
      <w:pPr>
        <w:sectPr w:rsidR="00000000">
          <w:headerReference w:type="even" r:id="rId17"/>
          <w:headerReference w:type="default" r:id="rId18"/>
          <w:footerReference w:type="even" r:id="rId19"/>
          <w:footerReference w:type="default" r:id="rId20"/>
          <w:pgSz w:w="11906" w:h="16838" w:code="9"/>
          <w:pgMar w:top="1418" w:right="2410" w:bottom="3544" w:left="2410" w:header="720" w:footer="4111" w:gutter="0"/>
          <w:cols w:space="720"/>
        </w:sectPr>
      </w:pPr>
    </w:p>
    <w:p w:rsidR="00000000" w:rsidRDefault="008979D9">
      <w:pPr>
        <w:rPr>
          <w:sz w:val="36"/>
          <w:szCs w:val="36"/>
        </w:rPr>
      </w:pPr>
      <w:r>
        <w:rPr>
          <w:sz w:val="36"/>
          <w:szCs w:val="36"/>
        </w:rPr>
        <w:lastRenderedPageBreak/>
        <w:t>Contents</w:t>
      </w:r>
    </w:p>
    <w:p w:rsidR="00000000" w:rsidRDefault="008979D9">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_Toc434997437 \h </w:instrText>
      </w:r>
      <w:r>
        <w:rPr>
          <w:noProof/>
          <w:sz w:val="20"/>
          <w:szCs w:val="20"/>
        </w:rPr>
      </w:r>
      <w:r>
        <w:rPr>
          <w:noProof/>
        </w:rPr>
        <w:fldChar w:fldCharType="separate"/>
      </w:r>
      <w:r>
        <w:rPr>
          <w:noProof/>
        </w:rPr>
        <w:t>0</w:t>
      </w:r>
      <w:r>
        <w:rPr>
          <w:noProof/>
        </w:rPr>
        <w:fldChar w:fldCharType="end"/>
      </w:r>
    </w:p>
    <w:p w:rsidR="00000000" w:rsidRDefault="008979D9">
      <w:pPr>
        <w:pStyle w:val="TOC5"/>
        <w:rPr>
          <w:noProof/>
        </w:rPr>
      </w:pPr>
      <w:r>
        <w:rPr>
          <w:noProof/>
        </w:rPr>
        <w:t>2</w:t>
      </w:r>
      <w:r>
        <w:rPr>
          <w:noProof/>
        </w:rPr>
        <w:tab/>
        <w:t>Commencement</w:t>
      </w:r>
      <w:r>
        <w:rPr>
          <w:noProof/>
        </w:rPr>
        <w:tab/>
      </w:r>
      <w:r>
        <w:rPr>
          <w:noProof/>
        </w:rPr>
        <w:fldChar w:fldCharType="begin"/>
      </w:r>
      <w:r>
        <w:rPr>
          <w:noProof/>
        </w:rPr>
        <w:instrText xml:space="preserve"> PAGEREF _Toc434997438 \h </w:instrText>
      </w:r>
      <w:r>
        <w:rPr>
          <w:noProof/>
          <w:sz w:val="20"/>
          <w:szCs w:val="20"/>
        </w:rPr>
      </w:r>
      <w:r>
        <w:rPr>
          <w:noProof/>
        </w:rPr>
        <w:fldChar w:fldCharType="separate"/>
      </w:r>
      <w:r>
        <w:rPr>
          <w:noProof/>
        </w:rPr>
        <w:t>0</w:t>
      </w:r>
      <w:r>
        <w:rPr>
          <w:noProof/>
        </w:rPr>
        <w:fldChar w:fldCharType="end"/>
      </w:r>
    </w:p>
    <w:p w:rsidR="00000000" w:rsidRDefault="008979D9">
      <w:pPr>
        <w:pStyle w:val="TOC5"/>
        <w:rPr>
          <w:noProof/>
        </w:rPr>
      </w:pPr>
      <w:r>
        <w:rPr>
          <w:noProof/>
        </w:rPr>
        <w:t>3</w:t>
      </w:r>
      <w:r>
        <w:rPr>
          <w:noProof/>
        </w:rPr>
        <w:tab/>
        <w:t>Schedule(s)</w:t>
      </w:r>
      <w:r>
        <w:rPr>
          <w:noProof/>
        </w:rPr>
        <w:tab/>
      </w:r>
      <w:r>
        <w:rPr>
          <w:noProof/>
        </w:rPr>
        <w:fldChar w:fldCharType="begin"/>
      </w:r>
      <w:r>
        <w:rPr>
          <w:noProof/>
        </w:rPr>
        <w:instrText xml:space="preserve"> PAGEREF _Toc434997439 \h </w:instrText>
      </w:r>
      <w:r>
        <w:rPr>
          <w:noProof/>
          <w:sz w:val="20"/>
          <w:szCs w:val="20"/>
        </w:rPr>
      </w:r>
      <w:r>
        <w:rPr>
          <w:noProof/>
        </w:rPr>
        <w:fldChar w:fldCharType="separate"/>
      </w:r>
      <w:r>
        <w:rPr>
          <w:noProof/>
        </w:rPr>
        <w:t>0</w:t>
      </w:r>
      <w:r>
        <w:rPr>
          <w:noProof/>
        </w:rPr>
        <w:fldChar w:fldCharType="end"/>
      </w:r>
    </w:p>
    <w:p w:rsidR="00000000" w:rsidRDefault="008979D9">
      <w:pPr>
        <w:pStyle w:val="TOC6"/>
        <w:rPr>
          <w:noProof/>
        </w:rPr>
      </w:pPr>
      <w:r>
        <w:rPr>
          <w:noProof/>
        </w:rPr>
        <w:t>Schedule 1—Amendment of the States</w:t>
      </w:r>
      <w:r>
        <w:rPr>
          <w:noProof/>
        </w:rPr>
        <w:t xml:space="preserve"> Grants (General Purposes) Act 1994</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_Toc434997440 \h </w:instrText>
      </w:r>
      <w:r>
        <w:rPr>
          <w:b w:val="0"/>
          <w:bCs w:val="0"/>
          <w:noProof/>
          <w:sz w:val="20"/>
          <w:szCs w:val="20"/>
        </w:rPr>
      </w:r>
      <w:r>
        <w:rPr>
          <w:b w:val="0"/>
          <w:bCs w:val="0"/>
          <w:noProof/>
          <w:sz w:val="18"/>
          <w:szCs w:val="18"/>
        </w:rPr>
        <w:fldChar w:fldCharType="separate"/>
      </w:r>
      <w:r>
        <w:rPr>
          <w:b w:val="0"/>
          <w:bCs w:val="0"/>
          <w:noProof/>
          <w:sz w:val="18"/>
          <w:szCs w:val="18"/>
        </w:rPr>
        <w:t>0</w:t>
      </w:r>
      <w:r>
        <w:rPr>
          <w:b w:val="0"/>
          <w:bCs w:val="0"/>
          <w:noProof/>
          <w:sz w:val="18"/>
          <w:szCs w:val="18"/>
        </w:rPr>
        <w:fldChar w:fldCharType="end"/>
      </w:r>
    </w:p>
    <w:p w:rsidR="00000000" w:rsidRDefault="008979D9">
      <w:r>
        <w:fldChar w:fldCharType="end"/>
      </w:r>
    </w:p>
    <w:p w:rsidR="00000000" w:rsidRDefault="008979D9">
      <w:pPr>
        <w:sectPr w:rsidR="00000000">
          <w:headerReference w:type="even" r:id="rId21"/>
          <w:headerReference w:type="default" r:id="rId22"/>
          <w:footerReference w:type="even" r:id="rId23"/>
          <w:footerReference w:type="default" r:id="rId24"/>
          <w:pgSz w:w="11906" w:h="16838" w:code="9"/>
          <w:pgMar w:top="2381" w:right="2410" w:bottom="3544" w:left="2410" w:header="720" w:footer="4111" w:gutter="0"/>
          <w:pgNumType w:fmt="lowerRoman" w:start="1"/>
          <w:cols w:space="720"/>
        </w:sectPr>
      </w:pPr>
    </w:p>
    <w:p w:rsidR="00000000" w:rsidRDefault="008979D9">
      <w:pPr>
        <w:spacing w:line="240" w:lineRule="auto"/>
      </w:pPr>
      <w:r>
        <w:rPr>
          <w:sz w:val="20"/>
          <w:szCs w:val="20"/>
        </w:rPr>
        <w:object w:dxaOrig="2146" w:dyaOrig="1561">
          <v:shape id="_x0000_i1027" type="#_x0000_t75" style="width:107.25pt;height:78pt" o:ole="">
            <v:imagedata r:id="rId8" o:title=""/>
          </v:shape>
          <o:OLEObject Type="Embed" ProgID="Word.Picture.8" ShapeID="_x0000_i1027" DrawAspect="Content" ObjectID="_1629894010" r:id="rId25"/>
        </w:object>
      </w:r>
    </w:p>
    <w:p w:rsidR="00000000" w:rsidRDefault="008979D9">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States Grants (General Purposes) Amendmen</w:t>
      </w:r>
      <w:r>
        <w:rPr>
          <w:b/>
          <w:bCs/>
          <w:noProof/>
          <w:sz w:val="40"/>
          <w:szCs w:val="40"/>
        </w:rPr>
        <w:t>t Act 1998</w:t>
      </w:r>
      <w:r>
        <w:rPr>
          <w:b/>
          <w:bCs/>
          <w:sz w:val="40"/>
          <w:szCs w:val="40"/>
        </w:rPr>
        <w:fldChar w:fldCharType="end"/>
      </w:r>
    </w:p>
    <w:p w:rsidR="00000000" w:rsidRDefault="008979D9">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109, 1998</w:t>
      </w:r>
      <w:r>
        <w:rPr>
          <w:b/>
          <w:bCs/>
          <w:sz w:val="28"/>
          <w:szCs w:val="28"/>
        </w:rPr>
        <w:fldChar w:fldCharType="end"/>
      </w:r>
    </w:p>
    <w:p w:rsidR="00000000" w:rsidRDefault="008979D9">
      <w:pPr>
        <w:pBdr>
          <w:bottom w:val="single" w:sz="6" w:space="0" w:color="auto"/>
        </w:pBdr>
        <w:spacing w:before="400" w:line="240" w:lineRule="auto"/>
        <w:rPr>
          <w:b/>
          <w:bCs/>
          <w:sz w:val="28"/>
          <w:szCs w:val="28"/>
        </w:rPr>
      </w:pPr>
    </w:p>
    <w:p w:rsidR="00000000" w:rsidRDefault="008979D9">
      <w:pPr>
        <w:spacing w:line="40" w:lineRule="exact"/>
        <w:rPr>
          <w:b/>
          <w:bCs/>
          <w:sz w:val="28"/>
          <w:szCs w:val="28"/>
        </w:rPr>
      </w:pPr>
    </w:p>
    <w:p w:rsidR="00000000" w:rsidRDefault="008979D9">
      <w:pPr>
        <w:pBdr>
          <w:top w:val="single" w:sz="12" w:space="0" w:color="auto"/>
        </w:pBdr>
        <w:spacing w:line="240" w:lineRule="auto"/>
        <w:rPr>
          <w:b/>
          <w:bCs/>
          <w:sz w:val="28"/>
          <w:szCs w:val="28"/>
        </w:rPr>
      </w:pPr>
    </w:p>
    <w:p w:rsidR="00000000" w:rsidRDefault="008979D9">
      <w:pPr>
        <w:pStyle w:val="Page1"/>
      </w:pPr>
      <w:r>
        <w:t xml:space="preserve">An Act to amend the </w:t>
      </w:r>
      <w:r>
        <w:rPr>
          <w:i/>
          <w:iCs/>
        </w:rPr>
        <w:t>States Grants (General Purposes) Act 1994</w:t>
      </w:r>
      <w:r>
        <w:t>, and for related purposes</w:t>
      </w:r>
    </w:p>
    <w:p w:rsidR="00000000" w:rsidRDefault="008979D9">
      <w:pPr>
        <w:spacing w:before="120"/>
        <w:rPr>
          <w:sz w:val="24"/>
          <w:szCs w:val="24"/>
        </w:rPr>
      </w:pPr>
      <w:r>
        <w:rPr>
          <w:sz w:val="24"/>
          <w:szCs w:val="24"/>
        </w:rPr>
        <w:t>[</w:t>
      </w:r>
      <w:r>
        <w:rPr>
          <w:i/>
          <w:iCs/>
          <w:sz w:val="24"/>
          <w:szCs w:val="24"/>
        </w:rPr>
        <w:t>Assented to 7 December 1998</w:t>
      </w:r>
      <w:r>
        <w:rPr>
          <w:sz w:val="24"/>
          <w:szCs w:val="24"/>
        </w:rPr>
        <w:t>]</w:t>
      </w:r>
    </w:p>
    <w:p w:rsidR="00000000" w:rsidRDefault="008979D9">
      <w:pPr>
        <w:spacing w:before="240" w:line="240" w:lineRule="auto"/>
        <w:rPr>
          <w:sz w:val="32"/>
          <w:szCs w:val="32"/>
        </w:rPr>
      </w:pPr>
      <w:r>
        <w:rPr>
          <w:sz w:val="32"/>
          <w:szCs w:val="32"/>
        </w:rPr>
        <w:t>The Parliament of Australia enacts:</w:t>
      </w:r>
    </w:p>
    <w:p w:rsidR="00000000" w:rsidRDefault="008979D9">
      <w:pPr>
        <w:pStyle w:val="Heading5"/>
      </w:pPr>
      <w:bookmarkStart w:id="1" w:name="_Toc313538257"/>
      <w:bookmarkStart w:id="2" w:name="_Toc313693988"/>
      <w:bookmarkStart w:id="3" w:name="_Toc317143067"/>
      <w:bookmarkStart w:id="4" w:name="_Toc317251939"/>
      <w:bookmarkStart w:id="5" w:name="_Toc420825140"/>
      <w:bookmarkStart w:id="6" w:name="_Toc421425096"/>
      <w:bookmarkStart w:id="7" w:name="_Toc421597099"/>
      <w:bookmarkStart w:id="8" w:name="_Toc421597719"/>
      <w:bookmarkStart w:id="9" w:name="_Toc422101860"/>
      <w:bookmarkStart w:id="10" w:name="_Toc422644229"/>
      <w:bookmarkStart w:id="11" w:name="_Toc423142121"/>
      <w:bookmarkStart w:id="12" w:name="_Toc434046880"/>
      <w:bookmarkStart w:id="13" w:name="_Toc434725726"/>
      <w:bookmarkStart w:id="14" w:name="_Toc434995252"/>
      <w:bookmarkStart w:id="15" w:name="_Toc434997437"/>
      <w:bookmarkStart w:id="16" w:name="_Toc318795567"/>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00000" w:rsidRDefault="008979D9">
      <w:pPr>
        <w:pStyle w:val="Subsection"/>
      </w:pPr>
      <w:r>
        <w:tab/>
      </w:r>
      <w:r>
        <w:tab/>
        <w:t xml:space="preserve">This Act may be cited as the </w:t>
      </w:r>
      <w:r>
        <w:rPr>
          <w:i/>
          <w:iCs/>
        </w:rPr>
        <w:t>States Grants (General Purposes) Amendment Act 1998</w:t>
      </w:r>
      <w:r>
        <w:t>.</w:t>
      </w:r>
    </w:p>
    <w:p w:rsidR="00000000" w:rsidRDefault="008979D9">
      <w:pPr>
        <w:pStyle w:val="Heading5"/>
      </w:pPr>
      <w:bookmarkStart w:id="17" w:name="_FOPNextObject"/>
      <w:bookmarkStart w:id="18" w:name="_Toc313692954"/>
      <w:bookmarkStart w:id="19" w:name="_Toc313695428"/>
      <w:bookmarkStart w:id="20" w:name="_Toc317653189"/>
      <w:bookmarkStart w:id="21" w:name="_Toc318795378"/>
      <w:bookmarkStart w:id="22" w:name="_Toc320629538"/>
      <w:bookmarkStart w:id="23" w:name="_Toc320629619"/>
      <w:bookmarkStart w:id="24" w:name="_Toc320629673"/>
      <w:bookmarkStart w:id="25" w:name="_Toc320629808"/>
      <w:bookmarkStart w:id="26" w:name="_Toc420825141"/>
      <w:bookmarkStart w:id="27" w:name="_Toc421425097"/>
      <w:bookmarkStart w:id="28" w:name="_Toc421597100"/>
      <w:bookmarkStart w:id="29" w:name="_Toc421597720"/>
      <w:bookmarkStart w:id="30" w:name="_Toc422101861"/>
      <w:bookmarkStart w:id="31" w:name="_Toc422644230"/>
      <w:bookmarkStart w:id="32" w:name="_Toc423142122"/>
      <w:bookmarkStart w:id="33" w:name="_Toc434046881"/>
      <w:bookmarkStart w:id="34" w:name="_Toc434725727"/>
      <w:bookmarkStart w:id="35" w:name="_Toc434995253"/>
      <w:bookmarkStart w:id="36" w:name="_Toc434997438"/>
      <w:bookmarkEnd w:id="16"/>
      <w:bookmarkEnd w:id="17"/>
      <w:r>
        <w:rPr>
          <w:rStyle w:val="CharSectno"/>
        </w:rPr>
        <w:t>2</w:t>
      </w:r>
      <w:r>
        <w:t xml:space="preserve">  Commencement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00000" w:rsidRDefault="008979D9">
      <w:pPr>
        <w:pStyle w:val="Subsection"/>
      </w:pPr>
      <w:r>
        <w:tab/>
      </w:r>
      <w:r>
        <w:tab/>
        <w:t>This Act commences on</w:t>
      </w:r>
      <w:r>
        <w:t xml:space="preserve"> the day on which it receives the Royal Assent.</w:t>
      </w:r>
    </w:p>
    <w:p w:rsidR="00000000" w:rsidRDefault="008979D9">
      <w:pPr>
        <w:pStyle w:val="Heading5"/>
      </w:pPr>
      <w:bookmarkStart w:id="37" w:name="_Toc313692955"/>
      <w:bookmarkStart w:id="38" w:name="_Toc313695429"/>
      <w:bookmarkStart w:id="39" w:name="_Toc317653190"/>
      <w:bookmarkStart w:id="40" w:name="_Toc318795379"/>
      <w:bookmarkStart w:id="41" w:name="_Toc320629539"/>
      <w:bookmarkStart w:id="42" w:name="_Toc320629620"/>
      <w:bookmarkStart w:id="43" w:name="_Toc320629674"/>
      <w:bookmarkStart w:id="44" w:name="_Toc320629809"/>
      <w:bookmarkStart w:id="45" w:name="_Toc420825142"/>
      <w:bookmarkStart w:id="46" w:name="_Toc421425098"/>
      <w:bookmarkStart w:id="47" w:name="_Toc421597101"/>
      <w:bookmarkStart w:id="48" w:name="_Toc421597721"/>
      <w:bookmarkStart w:id="49" w:name="_Toc422101862"/>
      <w:bookmarkStart w:id="50" w:name="_Toc422644231"/>
      <w:bookmarkStart w:id="51" w:name="_Toc423142123"/>
      <w:bookmarkStart w:id="52" w:name="_Toc434046882"/>
      <w:bookmarkStart w:id="53" w:name="_Toc434725728"/>
      <w:bookmarkStart w:id="54" w:name="_Toc434995254"/>
      <w:bookmarkStart w:id="55" w:name="_Toc434997439"/>
      <w:r>
        <w:rPr>
          <w:rStyle w:val="CharSectno"/>
        </w:rPr>
        <w:lastRenderedPageBreak/>
        <w:t>3</w:t>
      </w:r>
      <w:r>
        <w:t xml:space="preserve">  Schedule(s</w:t>
      </w:r>
      <w:bookmarkEnd w:id="37"/>
      <w:bookmarkEnd w:id="38"/>
      <w:bookmarkEnd w:id="39"/>
      <w:bookmarkEnd w:id="40"/>
      <w:bookmarkEnd w:id="41"/>
      <w:bookmarkEnd w:id="42"/>
      <w:bookmarkEnd w:id="43"/>
      <w:bookmarkEnd w:id="44"/>
      <w:r>
        <w:t>)</w:t>
      </w:r>
      <w:bookmarkEnd w:id="45"/>
      <w:bookmarkEnd w:id="46"/>
      <w:bookmarkEnd w:id="47"/>
      <w:bookmarkEnd w:id="48"/>
      <w:bookmarkEnd w:id="49"/>
      <w:bookmarkEnd w:id="50"/>
      <w:bookmarkEnd w:id="51"/>
      <w:bookmarkEnd w:id="52"/>
      <w:bookmarkEnd w:id="53"/>
      <w:bookmarkEnd w:id="54"/>
      <w:bookmarkEnd w:id="55"/>
    </w:p>
    <w:p w:rsidR="00000000" w:rsidRDefault="008979D9">
      <w:pPr>
        <w:pStyle w:val="Subsection"/>
      </w:pPr>
      <w:r>
        <w:tab/>
      </w:r>
      <w:r>
        <w:tab/>
        <w:t>Each Act that is specified in a Schedule to this Act is amended or repealed as set out in the applicable items in the Schedule concerned, and any other item in a Schedule to this Act has effect according to it</w:t>
      </w:r>
      <w:r>
        <w:t>s terms.</w:t>
      </w:r>
    </w:p>
    <w:p w:rsidR="00000000" w:rsidRDefault="008979D9">
      <w:pPr>
        <w:pStyle w:val="PageBreak"/>
      </w:pPr>
      <w:r>
        <w:br w:type="page"/>
      </w:r>
    </w:p>
    <w:p w:rsidR="00000000" w:rsidRDefault="008979D9">
      <w:pPr>
        <w:pStyle w:val="Heading6"/>
      </w:pPr>
      <w:bookmarkStart w:id="56" w:name="_Toc420825143"/>
      <w:bookmarkStart w:id="57" w:name="_Toc421425099"/>
      <w:bookmarkStart w:id="58" w:name="_Toc421597102"/>
      <w:bookmarkStart w:id="59" w:name="_Toc421597722"/>
      <w:bookmarkStart w:id="60" w:name="_Toc422101863"/>
      <w:bookmarkStart w:id="61" w:name="_Toc422644232"/>
      <w:bookmarkStart w:id="62" w:name="_Toc423142124"/>
      <w:bookmarkStart w:id="63" w:name="_Toc434046883"/>
      <w:bookmarkStart w:id="64" w:name="_Toc434725729"/>
      <w:bookmarkStart w:id="65" w:name="_Toc434995255"/>
      <w:bookmarkStart w:id="66" w:name="_Toc434997440"/>
      <w:r>
        <w:rPr>
          <w:rStyle w:val="CharAmSchNo"/>
        </w:rPr>
        <w:lastRenderedPageBreak/>
        <w:t>Schedule 1</w:t>
      </w:r>
      <w:r>
        <w:t>—</w:t>
      </w:r>
      <w:r>
        <w:rPr>
          <w:rStyle w:val="CharAmSchText"/>
        </w:rPr>
        <w:t>Amendment of the States Grants (General Purposes) Act 1994</w:t>
      </w:r>
      <w:bookmarkEnd w:id="56"/>
      <w:bookmarkEnd w:id="57"/>
      <w:bookmarkEnd w:id="58"/>
      <w:bookmarkEnd w:id="59"/>
      <w:bookmarkEnd w:id="60"/>
      <w:bookmarkEnd w:id="61"/>
      <w:bookmarkEnd w:id="62"/>
      <w:bookmarkEnd w:id="63"/>
      <w:bookmarkEnd w:id="64"/>
      <w:bookmarkEnd w:id="65"/>
      <w:bookmarkEnd w:id="66"/>
    </w:p>
    <w:p w:rsidR="00000000" w:rsidRDefault="008979D9">
      <w:pPr>
        <w:pStyle w:val="Header"/>
      </w:pPr>
      <w:r>
        <w:rPr>
          <w:rStyle w:val="CharAmPartNo"/>
        </w:rPr>
        <w:t xml:space="preserve"> </w:t>
      </w:r>
      <w:r>
        <w:rPr>
          <w:rStyle w:val="CharAmPartText"/>
        </w:rPr>
        <w:t xml:space="preserve"> </w:t>
      </w:r>
    </w:p>
    <w:p w:rsidR="00000000" w:rsidRDefault="008979D9">
      <w:pPr>
        <w:pStyle w:val="ItemHead"/>
        <w:tabs>
          <w:tab w:val="left" w:pos="284"/>
        </w:tabs>
      </w:pPr>
      <w:r>
        <w:t>1  Subsection 4(1)</w:t>
      </w:r>
    </w:p>
    <w:p w:rsidR="00000000" w:rsidRDefault="008979D9">
      <w:pPr>
        <w:pStyle w:val="Item"/>
      </w:pPr>
      <w:r>
        <w:t>Insert:</w:t>
      </w:r>
    </w:p>
    <w:p w:rsidR="00000000" w:rsidRDefault="008979D9">
      <w:pPr>
        <w:pStyle w:val="Definition"/>
      </w:pPr>
      <w:r>
        <w:rPr>
          <w:b/>
          <w:bCs/>
          <w:i/>
          <w:iCs/>
        </w:rPr>
        <w:t>Torres Strait Treaty</w:t>
      </w:r>
      <w:r>
        <w:t xml:space="preserve"> means the Treaty between Australia and the Independent State of Papua New Guinea concerning So</w:t>
      </w:r>
      <w:r>
        <w:t>vereignty and Maritime Boundaries in the area between the 2 countries, including the area known as Torres Strait, and Related Matters, signed at Sydney, Australia on 18 December 1978.</w:t>
      </w:r>
    </w:p>
    <w:p w:rsidR="00000000" w:rsidRDefault="008979D9">
      <w:pPr>
        <w:pStyle w:val="notetext"/>
      </w:pPr>
      <w:r>
        <w:t>Note:</w:t>
      </w:r>
      <w:r>
        <w:tab/>
        <w:t xml:space="preserve">The text of the Treaty is set out in the Australian Treaty Series </w:t>
      </w:r>
      <w:r>
        <w:t>1985 No. 4.</w:t>
      </w:r>
    </w:p>
    <w:p w:rsidR="00000000" w:rsidRDefault="008979D9">
      <w:pPr>
        <w:pStyle w:val="ItemHead"/>
        <w:tabs>
          <w:tab w:val="left" w:pos="284"/>
        </w:tabs>
      </w:pPr>
      <w:r>
        <w:t>2  Subsection 5(1)</w:t>
      </w:r>
    </w:p>
    <w:p w:rsidR="00000000" w:rsidRDefault="008979D9">
      <w:pPr>
        <w:pStyle w:val="Item"/>
      </w:pPr>
      <w:r>
        <w:t>Omit all the words after “where:”, substitute:</w:t>
      </w:r>
    </w:p>
    <w:p w:rsidR="00000000" w:rsidRDefault="008979D9">
      <w:pPr>
        <w:pStyle w:val="Definition"/>
      </w:pPr>
      <w:r>
        <w:rPr>
          <w:b/>
          <w:bCs/>
          <w:i/>
          <w:iCs/>
        </w:rPr>
        <w:t>RCC</w:t>
      </w:r>
      <w:r>
        <w:t xml:space="preserve"> (reduction in certain circumstances) means the amount determined by the Health Minister before 10 June in the grant year to be the estimate of the reduction in the amount oth</w:t>
      </w:r>
      <w:r>
        <w:t>erwise payable to the State during the grant year under a health care grant (being a reduction required by the conditions of the grant).</w:t>
      </w:r>
    </w:p>
    <w:p w:rsidR="00000000" w:rsidRDefault="008979D9">
      <w:pPr>
        <w:pStyle w:val="Definition"/>
      </w:pPr>
      <w:r>
        <w:rPr>
          <w:b/>
          <w:bCs/>
          <w:i/>
          <w:iCs/>
        </w:rPr>
        <w:t xml:space="preserve">SDA </w:t>
      </w:r>
      <w:r>
        <w:t xml:space="preserve">(sum of deductible amounts) means the amount determined by the Health Minister before 10 June in the grant year to </w:t>
      </w:r>
      <w:r>
        <w:t>be the estimate of such part of TAP as is the sum of the following amounts:</w:t>
      </w:r>
    </w:p>
    <w:p w:rsidR="00000000" w:rsidRDefault="008979D9">
      <w:pPr>
        <w:pStyle w:val="indenta"/>
      </w:pPr>
      <w:r>
        <w:tab/>
        <w:t xml:space="preserve">(a) </w:t>
      </w:r>
      <w:r>
        <w:tab/>
        <w:t>the sum of the deductible amounts</w:t>
      </w:r>
      <w:r>
        <w:rPr>
          <w:b/>
          <w:bCs/>
          <w:i/>
          <w:iCs/>
        </w:rPr>
        <w:t xml:space="preserve"> </w:t>
      </w:r>
      <w:r>
        <w:t>payable to the State during the grant year;</w:t>
      </w:r>
    </w:p>
    <w:p w:rsidR="00000000" w:rsidRDefault="008979D9">
      <w:pPr>
        <w:pStyle w:val="indenta"/>
      </w:pPr>
      <w:r>
        <w:tab/>
        <w:t>(b)</w:t>
      </w:r>
      <w:r>
        <w:tab/>
        <w:t>the sum of the deductible amounts</w:t>
      </w:r>
      <w:r>
        <w:rPr>
          <w:b/>
          <w:bCs/>
          <w:i/>
          <w:iCs/>
        </w:rPr>
        <w:t xml:space="preserve"> </w:t>
      </w:r>
      <w:r>
        <w:t>payable to a hospital, or to another person, durin</w:t>
      </w:r>
      <w:r>
        <w:rPr>
          <w:i/>
          <w:iCs/>
        </w:rPr>
        <w:t>g</w:t>
      </w:r>
      <w:r>
        <w:t xml:space="preserve"> the g</w:t>
      </w:r>
      <w:r>
        <w:t xml:space="preserve">rant year, being amounts that would have been payable to the State had the Health Minister been satisfied that the State was adhering to the principles set out in subsection 6(2) of the </w:t>
      </w:r>
      <w:r>
        <w:rPr>
          <w:i/>
          <w:iCs/>
        </w:rPr>
        <w:t>Health Care (Appropriation) Act 1998</w:t>
      </w:r>
      <w:r>
        <w:t>.</w:t>
      </w:r>
    </w:p>
    <w:p w:rsidR="00000000" w:rsidRDefault="008979D9">
      <w:pPr>
        <w:pStyle w:val="Definition"/>
      </w:pPr>
      <w:r>
        <w:rPr>
          <w:b/>
          <w:bCs/>
          <w:i/>
          <w:iCs/>
        </w:rPr>
        <w:t>TAP</w:t>
      </w:r>
      <w:r>
        <w:t xml:space="preserve"> (total amount payable) means</w:t>
      </w:r>
      <w:r>
        <w:t xml:space="preserve"> the amount determined by the Health Minister before 10 June in the grant year to be the estimate of the sum of the following amounts:</w:t>
      </w:r>
    </w:p>
    <w:p w:rsidR="00000000" w:rsidRDefault="008979D9">
      <w:pPr>
        <w:pStyle w:val="indenta"/>
      </w:pPr>
      <w:r>
        <w:lastRenderedPageBreak/>
        <w:tab/>
        <w:t>(a)</w:t>
      </w:r>
      <w:r>
        <w:tab/>
        <w:t>the amount payable to the State during the grant year under a health care grant;</w:t>
      </w:r>
    </w:p>
    <w:p w:rsidR="00000000" w:rsidRDefault="008979D9">
      <w:pPr>
        <w:pStyle w:val="indenta"/>
      </w:pPr>
      <w:r>
        <w:rPr>
          <w:i/>
          <w:iCs/>
        </w:rPr>
        <w:tab/>
      </w:r>
      <w:r>
        <w:t>(b)</w:t>
      </w:r>
      <w:r>
        <w:tab/>
        <w:t>the amount payable to a hospit</w:t>
      </w:r>
      <w:r>
        <w:t xml:space="preserve">al, or to another person, during the grant year under a health care grant, being an amount that would have been payable to the State had the Health Minister been satisfied that the State was adhering to the principles set out in subsection 6(2) of the </w:t>
      </w:r>
      <w:r>
        <w:rPr>
          <w:i/>
          <w:iCs/>
        </w:rPr>
        <w:t>Heal</w:t>
      </w:r>
      <w:r>
        <w:rPr>
          <w:i/>
          <w:iCs/>
        </w:rPr>
        <w:t>th Care (Appropriation) Act 1998.</w:t>
      </w:r>
    </w:p>
    <w:p w:rsidR="00000000" w:rsidRDefault="008979D9">
      <w:pPr>
        <w:pStyle w:val="ItemHead"/>
      </w:pPr>
      <w:r>
        <w:t>3  Subsection 5(2)</w:t>
      </w:r>
    </w:p>
    <w:p w:rsidR="00000000" w:rsidRDefault="008979D9">
      <w:pPr>
        <w:pStyle w:val="Item"/>
      </w:pPr>
      <w:r>
        <w:t>Repeal the subsection, substitute:</w:t>
      </w:r>
    </w:p>
    <w:p w:rsidR="00000000" w:rsidRDefault="008979D9">
      <w:pPr>
        <w:pStyle w:val="Subsection"/>
      </w:pPr>
      <w:r>
        <w:tab/>
        <w:t>(2)</w:t>
      </w:r>
      <w:r>
        <w:tab/>
        <w:t>For the purposes of this section:</w:t>
      </w:r>
    </w:p>
    <w:p w:rsidR="00000000" w:rsidRDefault="008979D9">
      <w:pPr>
        <w:pStyle w:val="Definition"/>
      </w:pPr>
      <w:r>
        <w:rPr>
          <w:b/>
          <w:bCs/>
          <w:i/>
          <w:iCs/>
        </w:rPr>
        <w:t>deductible amounts</w:t>
      </w:r>
      <w:r>
        <w:t xml:space="preserve"> are amounts that relate to the following:</w:t>
      </w:r>
    </w:p>
    <w:p w:rsidR="00000000" w:rsidRDefault="008979D9">
      <w:pPr>
        <w:pStyle w:val="indenta"/>
      </w:pPr>
      <w:r>
        <w:tab/>
        <w:t>(a)</w:t>
      </w:r>
      <w:r>
        <w:tab/>
        <w:t>mental health services;</w:t>
      </w:r>
    </w:p>
    <w:p w:rsidR="00000000" w:rsidRDefault="008979D9">
      <w:pPr>
        <w:pStyle w:val="indenta"/>
      </w:pPr>
      <w:r>
        <w:tab/>
        <w:t>(b)</w:t>
      </w:r>
      <w:r>
        <w:tab/>
      </w:r>
      <w:r>
        <w:t xml:space="preserve">projects or programs of a kind referred to in paragraph 4(1)(b) of the </w:t>
      </w:r>
      <w:r>
        <w:rPr>
          <w:i/>
          <w:iCs/>
        </w:rPr>
        <w:t>Health Care (Appropriation) Act 1998</w:t>
      </w:r>
      <w:r>
        <w:t>;</w:t>
      </w:r>
    </w:p>
    <w:p w:rsidR="00000000" w:rsidRDefault="008979D9">
      <w:pPr>
        <w:pStyle w:val="indenta"/>
      </w:pPr>
      <w:r>
        <w:tab/>
        <w:t>(c)</w:t>
      </w:r>
      <w:r>
        <w:tab/>
        <w:t>the critical and urgent treatment incentive program;</w:t>
      </w:r>
    </w:p>
    <w:p w:rsidR="00000000" w:rsidRDefault="008979D9">
      <w:pPr>
        <w:pStyle w:val="indenta"/>
      </w:pPr>
      <w:r>
        <w:tab/>
        <w:t>(d)</w:t>
      </w:r>
      <w:r>
        <w:tab/>
        <w:t>the recognition of special demands arising from the Torres Strait Treaty;</w:t>
      </w:r>
    </w:p>
    <w:p w:rsidR="00000000" w:rsidRDefault="008979D9">
      <w:pPr>
        <w:pStyle w:val="indenta"/>
        <w:rPr>
          <w:i/>
          <w:iCs/>
        </w:rPr>
      </w:pPr>
      <w:r>
        <w:tab/>
        <w:t>(e)</w:t>
      </w:r>
      <w:r>
        <w:tab/>
        <w:t>the t</w:t>
      </w:r>
      <w:r>
        <w:t>ransition from a 1993</w:t>
      </w:r>
      <w:r>
        <w:noBreakHyphen/>
        <w:t>98 Medicare Agreement to another agreement or arrangement between the Commonwealth and a State, being an agreement or arrangement that specifies conditions applying to health care grants;</w:t>
      </w:r>
    </w:p>
    <w:p w:rsidR="00000000" w:rsidRDefault="008979D9">
      <w:pPr>
        <w:pStyle w:val="indenta"/>
      </w:pPr>
      <w:r>
        <w:tab/>
        <w:t>(f)</w:t>
      </w:r>
      <w:r>
        <w:tab/>
        <w:t>a service, project or program, or a compo</w:t>
      </w:r>
      <w:r>
        <w:t>nent of a health care grant, that is determined by the Health Minister to be a service, project, program or component in relation to which an amount payable is to be treated as a deductible amount.</w:t>
      </w:r>
    </w:p>
    <w:p w:rsidR="00000000" w:rsidRDefault="008979D9">
      <w:pPr>
        <w:pStyle w:val="Definition"/>
      </w:pPr>
      <w:r>
        <w:rPr>
          <w:b/>
          <w:bCs/>
          <w:i/>
          <w:iCs/>
        </w:rPr>
        <w:t>health care grant</w:t>
      </w:r>
      <w:r>
        <w:t xml:space="preserve"> means a grant of financial assistance un</w:t>
      </w:r>
      <w:r>
        <w:t xml:space="preserve">der section 4 of the </w:t>
      </w:r>
      <w:r>
        <w:rPr>
          <w:i/>
          <w:iCs/>
        </w:rPr>
        <w:t>Health Care (Appropriation) Act 1998</w:t>
      </w:r>
      <w:r>
        <w:t>.</w:t>
      </w:r>
    </w:p>
    <w:p w:rsidR="00000000" w:rsidRDefault="008979D9">
      <w:pPr>
        <w:pStyle w:val="ItemHead"/>
        <w:keepNext/>
      </w:pPr>
      <w:r>
        <w:t>4  Section 10</w:t>
      </w:r>
    </w:p>
    <w:p w:rsidR="00000000" w:rsidRDefault="008979D9">
      <w:pPr>
        <w:pStyle w:val="Item"/>
      </w:pPr>
      <w:r>
        <w:t>Omit “the grant year commencing 1 July 1997”, substitute “a grant year”.</w:t>
      </w:r>
    </w:p>
    <w:p w:rsidR="00000000" w:rsidRDefault="008979D9">
      <w:pPr>
        <w:pStyle w:val="ItemHead"/>
      </w:pPr>
      <w:r>
        <w:t>5  After section 11</w:t>
      </w:r>
    </w:p>
    <w:p w:rsidR="00000000" w:rsidRDefault="008979D9">
      <w:pPr>
        <w:pStyle w:val="Item"/>
      </w:pPr>
      <w:r>
        <w:t>Insert:</w:t>
      </w:r>
    </w:p>
    <w:p w:rsidR="00000000" w:rsidRDefault="008979D9">
      <w:pPr>
        <w:pStyle w:val="Heading5"/>
      </w:pPr>
      <w:bookmarkStart w:id="67" w:name="_Toc422101864"/>
      <w:bookmarkStart w:id="68" w:name="_Toc422644233"/>
      <w:bookmarkStart w:id="69" w:name="_Toc423142125"/>
      <w:bookmarkStart w:id="70" w:name="_Toc434046884"/>
      <w:bookmarkStart w:id="71" w:name="_Toc434725730"/>
      <w:bookmarkStart w:id="72" w:name="_Toc434995256"/>
      <w:bookmarkStart w:id="73" w:name="_Toc434997441"/>
      <w:r>
        <w:rPr>
          <w:rStyle w:val="CharSectno"/>
        </w:rPr>
        <w:lastRenderedPageBreak/>
        <w:t>11AA</w:t>
      </w:r>
      <w:r>
        <w:t xml:space="preserve">  Payments in relation to excess State fiscal contributions—1998</w:t>
      </w:r>
      <w:r>
        <w:noBreakHyphen/>
        <w:t>99</w:t>
      </w:r>
      <w:bookmarkEnd w:id="67"/>
      <w:bookmarkEnd w:id="68"/>
      <w:bookmarkEnd w:id="69"/>
      <w:bookmarkEnd w:id="70"/>
      <w:bookmarkEnd w:id="71"/>
      <w:bookmarkEnd w:id="72"/>
      <w:bookmarkEnd w:id="73"/>
    </w:p>
    <w:p w:rsidR="00000000" w:rsidRDefault="008979D9">
      <w:pPr>
        <w:pStyle w:val="Subsection"/>
      </w:pPr>
      <w:r>
        <w:tab/>
        <w:t>(1)</w:t>
      </w:r>
      <w:r>
        <w:tab/>
        <w:t>This section applies if the amounts paid, or taken (under this Act or any other</w:t>
      </w:r>
      <w:r>
        <w:t xml:space="preserve"> Act) to have been paid, by a State during the grant year commencing on 1 July 1998 in satisfaction of the State’s 1998</w:t>
      </w:r>
      <w:r>
        <w:noBreakHyphen/>
        <w:t>99 fiscal contribution (within the meaning of section 15C), exceed the amount of the State’s 1998</w:t>
      </w:r>
      <w:r>
        <w:noBreakHyphen/>
        <w:t xml:space="preserve">99 fiscal contribution. </w:t>
      </w:r>
    </w:p>
    <w:p w:rsidR="00000000" w:rsidRDefault="008979D9">
      <w:pPr>
        <w:pStyle w:val="Subsection"/>
      </w:pPr>
      <w:r>
        <w:tab/>
        <w:t>(2)</w:t>
      </w:r>
      <w:r>
        <w:tab/>
        <w:t>The Trea</w:t>
      </w:r>
      <w:r>
        <w:t>surer may pay an amount by way of financial assistance to the State during the grant year commencing on 1 July 1998, or during the next grant year, that is equal to the amount of the excess.</w:t>
      </w:r>
    </w:p>
    <w:p w:rsidR="00000000" w:rsidRDefault="008979D9">
      <w:pPr>
        <w:pStyle w:val="ItemHead"/>
      </w:pPr>
      <w:r>
        <w:t>6  Section 12A</w:t>
      </w:r>
    </w:p>
    <w:p w:rsidR="00000000" w:rsidRDefault="008979D9">
      <w:pPr>
        <w:pStyle w:val="Item"/>
      </w:pPr>
      <w:r>
        <w:t>Omit “the grant year commencing on 1 July 1997”, s</w:t>
      </w:r>
      <w:r>
        <w:t>ubstitute “a grant year”.</w:t>
      </w:r>
    </w:p>
    <w:p w:rsidR="00000000" w:rsidRDefault="008979D9">
      <w:pPr>
        <w:pStyle w:val="notemargin"/>
      </w:pPr>
      <w:r>
        <w:t>Note:</w:t>
      </w:r>
      <w:r>
        <w:tab/>
        <w:t>The heading to section 10 is altered by omitting “</w:t>
      </w:r>
      <w:r>
        <w:rPr>
          <w:b/>
          <w:bCs/>
        </w:rPr>
        <w:t>—1997</w:t>
      </w:r>
      <w:r>
        <w:rPr>
          <w:b/>
          <w:bCs/>
        </w:rPr>
        <w:noBreakHyphen/>
        <w:t>98</w:t>
      </w:r>
      <w:r>
        <w:t>”.</w:t>
      </w:r>
    </w:p>
    <w:p w:rsidR="00000000" w:rsidRDefault="008979D9">
      <w:pPr>
        <w:pStyle w:val="ItemHead"/>
      </w:pPr>
      <w:r>
        <w:t>7  After section 15B</w:t>
      </w:r>
    </w:p>
    <w:p w:rsidR="00000000" w:rsidRDefault="008979D9">
      <w:pPr>
        <w:pStyle w:val="Item"/>
      </w:pPr>
      <w:r>
        <w:t>Insert:</w:t>
      </w:r>
    </w:p>
    <w:p w:rsidR="00000000" w:rsidRDefault="008979D9">
      <w:pPr>
        <w:pStyle w:val="Heading5"/>
      </w:pPr>
      <w:bookmarkStart w:id="74" w:name="_Toc420825144"/>
      <w:bookmarkStart w:id="75" w:name="_Toc421425100"/>
      <w:bookmarkStart w:id="76" w:name="_Toc421597103"/>
      <w:bookmarkStart w:id="77" w:name="_Toc421597723"/>
      <w:bookmarkStart w:id="78" w:name="_Toc422101865"/>
      <w:bookmarkStart w:id="79" w:name="_Toc422644234"/>
      <w:bookmarkStart w:id="80" w:name="_Toc423142126"/>
      <w:bookmarkStart w:id="81" w:name="_Toc434046885"/>
      <w:bookmarkStart w:id="82" w:name="_Toc434725731"/>
      <w:bookmarkStart w:id="83" w:name="_Toc434995257"/>
      <w:bookmarkStart w:id="84" w:name="_Toc434997442"/>
      <w:r>
        <w:rPr>
          <w:rStyle w:val="CharSectno"/>
        </w:rPr>
        <w:t>15C</w:t>
      </w:r>
      <w:r>
        <w:t xml:space="preserve">  State fiscal contribution</w:t>
      </w:r>
      <w:bookmarkEnd w:id="74"/>
      <w:bookmarkEnd w:id="75"/>
      <w:bookmarkEnd w:id="76"/>
      <w:bookmarkEnd w:id="77"/>
      <w:r>
        <w:t>—1998</w:t>
      </w:r>
      <w:r>
        <w:noBreakHyphen/>
        <w:t>99</w:t>
      </w:r>
      <w:bookmarkEnd w:id="78"/>
      <w:bookmarkEnd w:id="79"/>
      <w:bookmarkEnd w:id="80"/>
      <w:bookmarkEnd w:id="81"/>
      <w:bookmarkEnd w:id="82"/>
      <w:bookmarkEnd w:id="83"/>
      <w:bookmarkEnd w:id="84"/>
    </w:p>
    <w:p w:rsidR="00000000" w:rsidRDefault="008979D9">
      <w:pPr>
        <w:pStyle w:val="Subsection"/>
        <w:spacing w:before="240"/>
      </w:pPr>
      <w:r>
        <w:tab/>
        <w:t>(1)</w:t>
      </w:r>
      <w:r>
        <w:tab/>
        <w:t>Financial assistance to which a State is entitled under sect</w:t>
      </w:r>
      <w:r>
        <w:t>ion 9 (a</w:t>
      </w:r>
      <w:r>
        <w:rPr>
          <w:i/>
          <w:iCs/>
        </w:rPr>
        <w:t xml:space="preserve"> </w:t>
      </w:r>
      <w:r>
        <w:rPr>
          <w:b/>
          <w:bCs/>
          <w:i/>
          <w:iCs/>
        </w:rPr>
        <w:t>financial assistance grant</w:t>
      </w:r>
      <w:r>
        <w:t>) in relation to the grant year commencing on 1 July 1998 is granted on condition that the State will pay to the Commonwealth an amount of fiscal contribution (</w:t>
      </w:r>
      <w:r>
        <w:rPr>
          <w:b/>
          <w:bCs/>
          <w:i/>
          <w:iCs/>
        </w:rPr>
        <w:t>1998</w:t>
      </w:r>
      <w:r>
        <w:rPr>
          <w:b/>
          <w:bCs/>
          <w:i/>
          <w:iCs/>
        </w:rPr>
        <w:noBreakHyphen/>
        <w:t>99 fiscal contribution</w:t>
      </w:r>
      <w:r>
        <w:t>) worked out in accordance with th</w:t>
      </w:r>
      <w:r>
        <w:t>e applicable Schedule.</w:t>
      </w:r>
    </w:p>
    <w:p w:rsidR="00000000" w:rsidRDefault="008979D9">
      <w:pPr>
        <w:pStyle w:val="Subsection"/>
      </w:pPr>
      <w:r>
        <w:tab/>
        <w:t>(2)</w:t>
      </w:r>
      <w:r>
        <w:tab/>
        <w:t>The Treasurer may deduct from a financial assistance grant to a State in relation to the grant year commencing on 1 July 1998:</w:t>
      </w:r>
    </w:p>
    <w:p w:rsidR="00000000" w:rsidRDefault="008979D9">
      <w:pPr>
        <w:pStyle w:val="indenta"/>
      </w:pPr>
      <w:r>
        <w:tab/>
        <w:t>(a)</w:t>
      </w:r>
      <w:r>
        <w:tab/>
        <w:t>an amount that does not exceed the unpaid amount of the State’s 1998</w:t>
      </w:r>
      <w:r>
        <w:noBreakHyphen/>
        <w:t>99 fiscal contribution; and</w:t>
      </w:r>
    </w:p>
    <w:p w:rsidR="00000000" w:rsidRDefault="008979D9">
      <w:pPr>
        <w:pStyle w:val="indenta"/>
      </w:pPr>
      <w:r>
        <w:tab/>
        <w:t>(b)</w:t>
      </w:r>
      <w:r>
        <w:tab/>
        <w:t>if part of the State’s 1997</w:t>
      </w:r>
      <w:r>
        <w:noBreakHyphen/>
        <w:t>98 fiscal contribution (within the meaning of section 15B) remained unpaid on 1 July 1998—an amount that does not exceed the unpaid amount of the State’s 1997</w:t>
      </w:r>
      <w:r>
        <w:noBreakHyphen/>
        <w:t>98 fiscal contribution.</w:t>
      </w:r>
    </w:p>
    <w:p w:rsidR="00000000" w:rsidRDefault="008979D9">
      <w:pPr>
        <w:pStyle w:val="Subsection"/>
      </w:pPr>
      <w:r>
        <w:lastRenderedPageBreak/>
        <w:tab/>
        <w:t>(3)</w:t>
      </w:r>
      <w:r>
        <w:tab/>
        <w:t>An amount deducted under subsectio</w:t>
      </w:r>
      <w:r>
        <w:t>n (2) is taken to have been paid by the State to the Commonwealth in satisfaction of whichever of the following fiscal contributions is applicable:</w:t>
      </w:r>
    </w:p>
    <w:p w:rsidR="00000000" w:rsidRDefault="008979D9">
      <w:pPr>
        <w:pStyle w:val="indenta"/>
      </w:pPr>
      <w:r>
        <w:tab/>
        <w:t>(a)</w:t>
      </w:r>
      <w:r>
        <w:tab/>
        <w:t>if the amount was deducted under paragraph (2)(a)—the State’s 1998</w:t>
      </w:r>
      <w:r>
        <w:noBreakHyphen/>
        <w:t>99 fiscal contribution;</w:t>
      </w:r>
    </w:p>
    <w:p w:rsidR="00000000" w:rsidRDefault="008979D9">
      <w:pPr>
        <w:pStyle w:val="indenta"/>
      </w:pPr>
      <w:r>
        <w:tab/>
        <w:t>(b)</w:t>
      </w:r>
      <w:r>
        <w:tab/>
      </w:r>
      <w:r>
        <w:t>if the amount was deducted under paragraph (2)(b)—the State’s 1997</w:t>
      </w:r>
      <w:r>
        <w:noBreakHyphen/>
        <w:t>98 fiscal contribution.</w:t>
      </w:r>
    </w:p>
    <w:p w:rsidR="00000000" w:rsidRDefault="008979D9">
      <w:pPr>
        <w:pStyle w:val="Subsection"/>
      </w:pPr>
      <w:r>
        <w:tab/>
        <w:t>(4)</w:t>
      </w:r>
      <w:r>
        <w:tab/>
        <w:t>A reference in this section to an unpaid amount of a State’s fiscal contribution for a grant year does not include a reference to an amount taken (under this Ac</w:t>
      </w:r>
      <w:r>
        <w:t>t or any other Act) to have been paid by the State in satisfaction of the State’s fiscal contribution for the grant year.</w:t>
      </w:r>
    </w:p>
    <w:p w:rsidR="00000000" w:rsidRDefault="008979D9">
      <w:pPr>
        <w:pStyle w:val="ItemHead"/>
      </w:pPr>
      <w:r>
        <w:t>8  Subsection 20(1)</w:t>
      </w:r>
    </w:p>
    <w:p w:rsidR="00000000" w:rsidRDefault="008979D9">
      <w:pPr>
        <w:pStyle w:val="Item"/>
      </w:pPr>
      <w:r>
        <w:t>After “15B,” insert “15C,”</w:t>
      </w:r>
    </w:p>
    <w:p w:rsidR="00000000" w:rsidRDefault="008979D9">
      <w:pPr>
        <w:pStyle w:val="ItemHead"/>
      </w:pPr>
      <w:r>
        <w:t>9  At the end of the Act</w:t>
      </w:r>
    </w:p>
    <w:p w:rsidR="00000000" w:rsidRDefault="008979D9">
      <w:pPr>
        <w:pStyle w:val="Item"/>
      </w:pPr>
      <w:r>
        <w:t>Add:</w:t>
      </w:r>
    </w:p>
    <w:p w:rsidR="00000000" w:rsidRDefault="008979D9">
      <w:pPr>
        <w:pStyle w:val="Heading1"/>
        <w:spacing w:before="360"/>
      </w:pPr>
      <w:bookmarkStart w:id="85" w:name="_Toc420825145"/>
      <w:bookmarkStart w:id="86" w:name="_Toc421425101"/>
      <w:bookmarkStart w:id="87" w:name="_Toc421597104"/>
      <w:bookmarkStart w:id="88" w:name="_Toc421597724"/>
      <w:bookmarkStart w:id="89" w:name="_Toc422101866"/>
      <w:bookmarkStart w:id="90" w:name="_Toc422644235"/>
      <w:bookmarkStart w:id="91" w:name="_Toc423142127"/>
      <w:bookmarkStart w:id="92" w:name="_Toc434046886"/>
      <w:bookmarkStart w:id="93" w:name="_Toc434725732"/>
      <w:bookmarkStart w:id="94" w:name="_Toc434995258"/>
      <w:bookmarkStart w:id="95" w:name="_Toc434997443"/>
      <w:r>
        <w:rPr>
          <w:rStyle w:val="CharChapNo"/>
        </w:rPr>
        <w:t>Schedule 5</w:t>
      </w:r>
      <w:r>
        <w:t>—</w:t>
      </w:r>
      <w:r>
        <w:rPr>
          <w:rStyle w:val="CharChapText"/>
        </w:rPr>
        <w:t>Grant year commencing 1 July 1998</w:t>
      </w:r>
      <w:bookmarkEnd w:id="85"/>
      <w:bookmarkEnd w:id="86"/>
      <w:bookmarkEnd w:id="87"/>
      <w:bookmarkEnd w:id="88"/>
      <w:bookmarkEnd w:id="89"/>
      <w:bookmarkEnd w:id="90"/>
      <w:bookmarkEnd w:id="91"/>
      <w:bookmarkEnd w:id="92"/>
      <w:bookmarkEnd w:id="93"/>
      <w:bookmarkEnd w:id="94"/>
      <w:bookmarkEnd w:id="95"/>
    </w:p>
    <w:p w:rsidR="00000000" w:rsidRDefault="008979D9">
      <w:pPr>
        <w:pStyle w:val="Header"/>
      </w:pPr>
      <w:bookmarkStart w:id="96" w:name="_Toc420825146"/>
      <w:bookmarkStart w:id="97" w:name="_Toc421425102"/>
      <w:bookmarkStart w:id="98" w:name="_Toc421597105"/>
      <w:bookmarkStart w:id="99" w:name="_Toc421597725"/>
      <w:r>
        <w:rPr>
          <w:rStyle w:val="CharPartNo"/>
        </w:rPr>
        <w:t xml:space="preserve"> </w:t>
      </w:r>
      <w:r>
        <w:rPr>
          <w:rStyle w:val="CharPartText"/>
        </w:rPr>
        <w:t xml:space="preserve"> </w:t>
      </w:r>
    </w:p>
    <w:p w:rsidR="00000000" w:rsidRDefault="008979D9">
      <w:pPr>
        <w:pStyle w:val="Header"/>
      </w:pPr>
      <w:r>
        <w:rPr>
          <w:rStyle w:val="CharDivNo"/>
        </w:rPr>
        <w:t xml:space="preserve"> </w:t>
      </w:r>
      <w:r>
        <w:rPr>
          <w:rStyle w:val="CharDivText"/>
        </w:rPr>
        <w:t xml:space="preserve"> </w:t>
      </w:r>
    </w:p>
    <w:p w:rsidR="00000000" w:rsidRDefault="008979D9">
      <w:pPr>
        <w:pStyle w:val="Heading5"/>
      </w:pPr>
      <w:bookmarkStart w:id="100" w:name="_Toc422101867"/>
      <w:bookmarkStart w:id="101" w:name="_Toc422644236"/>
      <w:bookmarkStart w:id="102" w:name="_Toc423142128"/>
      <w:bookmarkStart w:id="103" w:name="_Toc434046887"/>
      <w:bookmarkStart w:id="104" w:name="_Toc434725733"/>
      <w:bookmarkStart w:id="105" w:name="_Toc434995259"/>
      <w:bookmarkStart w:id="106" w:name="_Toc434997444"/>
      <w:r>
        <w:rPr>
          <w:rStyle w:val="CharSectno"/>
        </w:rPr>
        <w:t>1</w:t>
      </w:r>
      <w:r>
        <w:t xml:space="preserve">  Application</w:t>
      </w:r>
      <w:bookmarkEnd w:id="96"/>
      <w:bookmarkEnd w:id="97"/>
      <w:bookmarkEnd w:id="98"/>
      <w:bookmarkEnd w:id="99"/>
      <w:bookmarkEnd w:id="100"/>
      <w:bookmarkEnd w:id="101"/>
      <w:bookmarkEnd w:id="102"/>
      <w:bookmarkEnd w:id="103"/>
      <w:bookmarkEnd w:id="104"/>
      <w:bookmarkEnd w:id="105"/>
      <w:bookmarkEnd w:id="106"/>
    </w:p>
    <w:p w:rsidR="00000000" w:rsidRDefault="008979D9">
      <w:pPr>
        <w:pStyle w:val="Subsection"/>
      </w:pPr>
      <w:r>
        <w:tab/>
      </w:r>
      <w:r>
        <w:tab/>
        <w:t>This Schedule relates to the grant year commencing on 1 July 1998.</w:t>
      </w:r>
    </w:p>
    <w:p w:rsidR="00000000" w:rsidRDefault="008979D9">
      <w:pPr>
        <w:pStyle w:val="Heading5"/>
      </w:pPr>
      <w:bookmarkStart w:id="107" w:name="_Toc420825147"/>
      <w:bookmarkStart w:id="108" w:name="_Toc421425103"/>
      <w:bookmarkStart w:id="109" w:name="_Toc421597106"/>
      <w:bookmarkStart w:id="110" w:name="_Toc421597726"/>
      <w:bookmarkStart w:id="111" w:name="_Toc422101868"/>
      <w:bookmarkStart w:id="112" w:name="_Toc422644237"/>
      <w:bookmarkStart w:id="113" w:name="_Toc423142129"/>
      <w:bookmarkStart w:id="114" w:name="_Toc434046888"/>
      <w:bookmarkStart w:id="115" w:name="_Toc434725734"/>
      <w:bookmarkStart w:id="116" w:name="_Toc434995260"/>
      <w:bookmarkStart w:id="117" w:name="_Toc434997445"/>
      <w:r>
        <w:rPr>
          <w:rStyle w:val="CharSectno"/>
        </w:rPr>
        <w:t>2</w:t>
      </w:r>
      <w:r>
        <w:t xml:space="preserve">  </w:t>
      </w:r>
      <w:bookmarkEnd w:id="107"/>
      <w:bookmarkEnd w:id="108"/>
      <w:bookmarkEnd w:id="109"/>
      <w:bookmarkEnd w:id="110"/>
      <w:bookmarkEnd w:id="111"/>
      <w:r>
        <w:t>Definitions</w:t>
      </w:r>
      <w:bookmarkEnd w:id="112"/>
      <w:bookmarkEnd w:id="113"/>
      <w:bookmarkEnd w:id="114"/>
      <w:bookmarkEnd w:id="115"/>
      <w:bookmarkEnd w:id="116"/>
      <w:bookmarkEnd w:id="117"/>
    </w:p>
    <w:p w:rsidR="00000000" w:rsidRDefault="008979D9">
      <w:pPr>
        <w:pStyle w:val="Subsection"/>
      </w:pPr>
      <w:r>
        <w:tab/>
        <w:t>(1)</w:t>
      </w:r>
      <w:r>
        <w:tab/>
        <w:t>In this Schedule:</w:t>
      </w:r>
    </w:p>
    <w:p w:rsidR="00000000" w:rsidRDefault="008979D9">
      <w:pPr>
        <w:pStyle w:val="Definition"/>
      </w:pPr>
      <w:r>
        <w:rPr>
          <w:b/>
          <w:bCs/>
          <w:i/>
          <w:iCs/>
        </w:rPr>
        <w:t>base assistance amount</w:t>
      </w:r>
      <w:r>
        <w:t xml:space="preserve"> has the meaning g</w:t>
      </w:r>
      <w:r>
        <w:t>iven by subclause (2).</w:t>
      </w:r>
    </w:p>
    <w:p w:rsidR="00000000" w:rsidRDefault="008979D9">
      <w:pPr>
        <w:pStyle w:val="Definition"/>
      </w:pPr>
      <w:r>
        <w:rPr>
          <w:b/>
          <w:bCs/>
          <w:i/>
          <w:iCs/>
        </w:rPr>
        <w:t>CEO</w:t>
      </w:r>
      <w:r>
        <w:t xml:space="preserve"> means the Chief Executive Officer of Customs.</w:t>
      </w:r>
    </w:p>
    <w:p w:rsidR="00000000" w:rsidRDefault="008979D9">
      <w:pPr>
        <w:pStyle w:val="Definition"/>
      </w:pPr>
      <w:r>
        <w:rPr>
          <w:b/>
          <w:bCs/>
          <w:i/>
          <w:iCs/>
        </w:rPr>
        <w:t>Commissioner</w:t>
      </w:r>
      <w:r>
        <w:t xml:space="preserve"> means the Commissioner of Taxation.</w:t>
      </w:r>
    </w:p>
    <w:p w:rsidR="00000000" w:rsidRDefault="008979D9">
      <w:pPr>
        <w:pStyle w:val="Definition"/>
      </w:pPr>
      <w:r>
        <w:rPr>
          <w:b/>
          <w:bCs/>
          <w:i/>
          <w:iCs/>
        </w:rPr>
        <w:lastRenderedPageBreak/>
        <w:t>June 1998 ABA amount</w:t>
      </w:r>
      <w:r>
        <w:t xml:space="preserve"> means the amount determined by the Commissioner, before 15 June 1999, to be the additional amount of sales tax on</w:t>
      </w:r>
      <w:r>
        <w:t xml:space="preserve"> taxable dealings to which the Sales Tax Surcharge Acts relate that was collected during the month of June 1998 because of a Commonwealth surcharge.</w:t>
      </w:r>
    </w:p>
    <w:p w:rsidR="00000000" w:rsidRDefault="008979D9">
      <w:pPr>
        <w:pStyle w:val="Definition"/>
      </w:pPr>
      <w:r>
        <w:rPr>
          <w:b/>
          <w:bCs/>
          <w:i/>
          <w:iCs/>
        </w:rPr>
        <w:t>June 1998 ABA estimate amount</w:t>
      </w:r>
      <w:r>
        <w:t xml:space="preserve"> means the amount determined by the Commissioner under paragraph (b) of the de</w:t>
      </w:r>
      <w:r>
        <w:t xml:space="preserve">finition of </w:t>
      </w:r>
      <w:r>
        <w:rPr>
          <w:b/>
          <w:bCs/>
          <w:i/>
          <w:iCs/>
        </w:rPr>
        <w:t>ABA</w:t>
      </w:r>
      <w:r>
        <w:t xml:space="preserve"> in subclause 5(1) of Schedule 4.</w:t>
      </w:r>
    </w:p>
    <w:p w:rsidR="00000000" w:rsidRDefault="008979D9">
      <w:pPr>
        <w:pStyle w:val="Definition"/>
      </w:pPr>
      <w:r>
        <w:rPr>
          <w:b/>
          <w:bCs/>
          <w:i/>
          <w:iCs/>
        </w:rPr>
        <w:t>June 1998 PBA amount</w:t>
      </w:r>
      <w:r>
        <w:t xml:space="preserve"> means the sum of the amounts determined by the CEO, before 15 June 1999, to be:</w:t>
      </w:r>
    </w:p>
    <w:p w:rsidR="00000000" w:rsidRDefault="008979D9">
      <w:pPr>
        <w:pStyle w:val="indenta"/>
      </w:pPr>
      <w:r>
        <w:tab/>
        <w:t>(a)</w:t>
      </w:r>
      <w:r>
        <w:tab/>
        <w:t xml:space="preserve">the additional amount of customs duty falling to subheadings of Chapter 27 of Schedule 3 to the </w:t>
      </w:r>
      <w:r>
        <w:rPr>
          <w:i/>
          <w:iCs/>
        </w:rPr>
        <w:t>Custo</w:t>
      </w:r>
      <w:r>
        <w:rPr>
          <w:i/>
          <w:iCs/>
        </w:rPr>
        <w:t>ms Tariff Act 1995</w:t>
      </w:r>
      <w:r>
        <w:t xml:space="preserve"> that was collected during the month of June 1998 because of a Commonwealth surcharge; and</w:t>
      </w:r>
    </w:p>
    <w:p w:rsidR="00000000" w:rsidRDefault="008979D9">
      <w:pPr>
        <w:pStyle w:val="indenta"/>
      </w:pPr>
      <w:r>
        <w:tab/>
        <w:t>(b)</w:t>
      </w:r>
      <w:r>
        <w:tab/>
        <w:t xml:space="preserve">the additional amount of excise duty falling to items 11 and 12 of the Schedule to the </w:t>
      </w:r>
      <w:r>
        <w:rPr>
          <w:i/>
          <w:iCs/>
        </w:rPr>
        <w:t>Excise Tariff Act 1921</w:t>
      </w:r>
      <w:r>
        <w:t xml:space="preserve"> that was collected during the mo</w:t>
      </w:r>
      <w:r>
        <w:t>nth of June 1998 because of a Commonwealth surcharge.</w:t>
      </w:r>
    </w:p>
    <w:p w:rsidR="00000000" w:rsidRDefault="008979D9">
      <w:pPr>
        <w:pStyle w:val="Definition"/>
      </w:pPr>
      <w:r>
        <w:rPr>
          <w:b/>
          <w:bCs/>
          <w:i/>
          <w:iCs/>
        </w:rPr>
        <w:t>June 1998 PBA estimate amount</w:t>
      </w:r>
      <w:r>
        <w:t xml:space="preserve"> means the sum of the amounts determined by the CEO under paragraphs (b) and (d) of the definition of </w:t>
      </w:r>
      <w:r>
        <w:rPr>
          <w:b/>
          <w:bCs/>
          <w:i/>
          <w:iCs/>
        </w:rPr>
        <w:t>PBA</w:t>
      </w:r>
      <w:r>
        <w:t xml:space="preserve"> in subclause 5(1) of Schedule 4.</w:t>
      </w:r>
    </w:p>
    <w:p w:rsidR="00000000" w:rsidRDefault="008979D9">
      <w:pPr>
        <w:pStyle w:val="Definition"/>
      </w:pPr>
      <w:r>
        <w:rPr>
          <w:b/>
          <w:bCs/>
          <w:i/>
          <w:iCs/>
        </w:rPr>
        <w:t>June 1998 TBA amount</w:t>
      </w:r>
      <w:r>
        <w:t xml:space="preserve"> means the sum</w:t>
      </w:r>
      <w:r>
        <w:t xml:space="preserve"> of the amounts determined by the CEO, before 15 June 1999, to be:</w:t>
      </w:r>
    </w:p>
    <w:p w:rsidR="00000000" w:rsidRDefault="008979D9">
      <w:pPr>
        <w:pStyle w:val="indenta"/>
      </w:pPr>
      <w:r>
        <w:tab/>
        <w:t>(a)</w:t>
      </w:r>
      <w:r>
        <w:tab/>
        <w:t xml:space="preserve">the additional amount of customs duty falling to subheadings of Chapter 24 of Schedule 3 to the </w:t>
      </w:r>
      <w:r>
        <w:rPr>
          <w:i/>
          <w:iCs/>
        </w:rPr>
        <w:t>Customs Tariff Act 1995</w:t>
      </w:r>
      <w:r>
        <w:t xml:space="preserve"> that was collected during the month of June 1998 because of a Co</w:t>
      </w:r>
      <w:r>
        <w:t>mmonwealth surcharge; and</w:t>
      </w:r>
    </w:p>
    <w:p w:rsidR="00000000" w:rsidRDefault="008979D9">
      <w:pPr>
        <w:pStyle w:val="indenta"/>
      </w:pPr>
      <w:r>
        <w:tab/>
        <w:t>(b)</w:t>
      </w:r>
      <w:r>
        <w:tab/>
        <w:t xml:space="preserve">the additional amount of excise duty falling to items 6, 7 and 8 of the Schedule to the </w:t>
      </w:r>
      <w:r>
        <w:rPr>
          <w:i/>
          <w:iCs/>
        </w:rPr>
        <w:t>Excise Tariff Act 1921</w:t>
      </w:r>
      <w:r>
        <w:t xml:space="preserve"> that was collected during the month of June 1998 because of a Commonwealth surcharge.</w:t>
      </w:r>
    </w:p>
    <w:p w:rsidR="00000000" w:rsidRDefault="008979D9">
      <w:pPr>
        <w:pStyle w:val="Definition"/>
      </w:pPr>
      <w:r>
        <w:rPr>
          <w:b/>
          <w:bCs/>
          <w:i/>
          <w:iCs/>
        </w:rPr>
        <w:t>June 1998 TBA estimate amoun</w:t>
      </w:r>
      <w:r>
        <w:rPr>
          <w:b/>
          <w:bCs/>
          <w:i/>
          <w:iCs/>
        </w:rPr>
        <w:t>t</w:t>
      </w:r>
      <w:r>
        <w:t xml:space="preserve"> means the sum of the amounts determined by the CEO under paragraphs (b) and (d) of the definition of </w:t>
      </w:r>
      <w:r>
        <w:rPr>
          <w:b/>
          <w:bCs/>
          <w:i/>
          <w:iCs/>
        </w:rPr>
        <w:t>TBA</w:t>
      </w:r>
      <w:r>
        <w:t xml:space="preserve"> in subclause 5(1) of Schedule 4.</w:t>
      </w:r>
    </w:p>
    <w:p w:rsidR="00000000" w:rsidRDefault="008979D9">
      <w:pPr>
        <w:pStyle w:val="Definition"/>
      </w:pPr>
      <w:r>
        <w:rPr>
          <w:b/>
          <w:bCs/>
          <w:i/>
          <w:iCs/>
        </w:rPr>
        <w:lastRenderedPageBreak/>
        <w:t>pre</w:t>
      </w:r>
      <w:r>
        <w:rPr>
          <w:b/>
          <w:bCs/>
          <w:i/>
          <w:iCs/>
        </w:rPr>
        <w:noBreakHyphen/>
        <w:t>1 June period</w:t>
      </w:r>
      <w:r>
        <w:t xml:space="preserve"> means the period from the beginning of 1 July 1998 to the end of 31 May 1999.</w:t>
      </w:r>
    </w:p>
    <w:p w:rsidR="00000000" w:rsidRDefault="008979D9">
      <w:pPr>
        <w:pStyle w:val="Definition"/>
      </w:pPr>
      <w:r>
        <w:rPr>
          <w:b/>
          <w:bCs/>
          <w:i/>
          <w:iCs/>
        </w:rPr>
        <w:t>previous year</w:t>
      </w:r>
      <w:r>
        <w:t xml:space="preserve"> means the financial year commencing on 1 July 1997.</w:t>
      </w:r>
    </w:p>
    <w:p w:rsidR="00000000" w:rsidRDefault="008979D9">
      <w:pPr>
        <w:pStyle w:val="Subsection"/>
      </w:pPr>
      <w:r>
        <w:tab/>
        <w:t>(2)</w:t>
      </w:r>
      <w:r>
        <w:tab/>
        <w:t>In this Schedule:</w:t>
      </w:r>
    </w:p>
    <w:p w:rsidR="00000000" w:rsidRDefault="008979D9">
      <w:pPr>
        <w:pStyle w:val="Definition"/>
      </w:pPr>
      <w:r>
        <w:rPr>
          <w:b/>
          <w:bCs/>
          <w:i/>
          <w:iCs/>
        </w:rPr>
        <w:t>base assistance amount</w:t>
      </w:r>
      <w:r>
        <w:t xml:space="preserve"> means the amount worked out using the formula:</w:t>
      </w:r>
    </w:p>
    <w:p w:rsidR="00000000" w:rsidRDefault="008979D9">
      <w:pPr>
        <w:pStyle w:val="Formula"/>
      </w:pPr>
      <w:r>
        <w:rPr>
          <w:position w:val="-30"/>
          <w:sz w:val="20"/>
          <w:szCs w:val="20"/>
        </w:rPr>
        <w:object w:dxaOrig="4140" w:dyaOrig="720">
          <v:shape id="_x0000_i1028" type="#_x0000_t75" style="width:207pt;height:36pt" o:ole="">
            <v:imagedata r:id="rId26" o:title=""/>
          </v:shape>
          <o:OLEObject Type="Embed" ProgID="Word.Picture.8" ShapeID="_x0000_i1028" DrawAspect="Content" ObjectID="_1629894011" r:id="rId27"/>
        </w:object>
      </w:r>
    </w:p>
    <w:p w:rsidR="00000000" w:rsidRDefault="008979D9">
      <w:pPr>
        <w:pStyle w:val="subsection2"/>
      </w:pPr>
      <w:r>
        <w:t>where:</w:t>
      </w:r>
    </w:p>
    <w:p w:rsidR="00000000" w:rsidRDefault="008979D9">
      <w:pPr>
        <w:pStyle w:val="Definition"/>
      </w:pPr>
      <w:r>
        <w:rPr>
          <w:b/>
          <w:bCs/>
          <w:i/>
          <w:iCs/>
        </w:rPr>
        <w:t>PYBAA</w:t>
      </w:r>
      <w:r>
        <w:t xml:space="preserve"> (previous year base assistance amount) means $15,828,423,529.</w:t>
      </w:r>
    </w:p>
    <w:p w:rsidR="00000000" w:rsidRDefault="008979D9">
      <w:pPr>
        <w:pStyle w:val="Definition"/>
      </w:pPr>
      <w:r>
        <w:rPr>
          <w:b/>
          <w:bCs/>
          <w:i/>
          <w:iCs/>
        </w:rPr>
        <w:t>PYIF</w:t>
      </w:r>
      <w:r>
        <w:t xml:space="preserve"> </w:t>
      </w:r>
      <w:r>
        <w:t>(previous year index factor) means the index factor for the previous year.</w:t>
      </w:r>
    </w:p>
    <w:p w:rsidR="00000000" w:rsidRDefault="008979D9">
      <w:pPr>
        <w:pStyle w:val="Definition"/>
      </w:pPr>
      <w:r>
        <w:rPr>
          <w:b/>
          <w:bCs/>
          <w:i/>
          <w:iCs/>
        </w:rPr>
        <w:t>PYPF</w:t>
      </w:r>
      <w:r>
        <w:t xml:space="preserve"> (previous year population factor) means the population factor for the previous year.</w:t>
      </w:r>
    </w:p>
    <w:p w:rsidR="00000000" w:rsidRDefault="008979D9">
      <w:pPr>
        <w:pStyle w:val="notetext"/>
      </w:pPr>
      <w:r>
        <w:t>Note:</w:t>
      </w:r>
      <w:r>
        <w:tab/>
        <w:t>$366,641,403 is an amount that was paid under section 12 in relation to the grant yea</w:t>
      </w:r>
      <w:r>
        <w:t>r commencing on 1 July 1996, which would otherwise have been paid under section 9.</w:t>
      </w:r>
    </w:p>
    <w:p w:rsidR="00000000" w:rsidRDefault="008979D9">
      <w:pPr>
        <w:pStyle w:val="Heading5"/>
      </w:pPr>
      <w:bookmarkStart w:id="118" w:name="_Toc420825148"/>
      <w:bookmarkStart w:id="119" w:name="_Toc421425104"/>
      <w:bookmarkStart w:id="120" w:name="_Toc421597107"/>
      <w:bookmarkStart w:id="121" w:name="_Toc421597727"/>
      <w:bookmarkStart w:id="122" w:name="_Toc422101869"/>
      <w:bookmarkStart w:id="123" w:name="_Toc422644238"/>
      <w:bookmarkStart w:id="124" w:name="_Toc423142130"/>
      <w:bookmarkStart w:id="125" w:name="_Toc434046889"/>
      <w:bookmarkStart w:id="126" w:name="_Toc434725735"/>
      <w:bookmarkStart w:id="127" w:name="_Toc434995261"/>
      <w:bookmarkStart w:id="128" w:name="_Toc434997446"/>
      <w:r>
        <w:rPr>
          <w:rStyle w:val="CharSectno"/>
        </w:rPr>
        <w:t>3</w:t>
      </w:r>
      <w:r>
        <w:t xml:space="preserve">  Relativities factors</w:t>
      </w:r>
      <w:bookmarkEnd w:id="118"/>
      <w:bookmarkEnd w:id="119"/>
      <w:bookmarkEnd w:id="120"/>
      <w:bookmarkEnd w:id="121"/>
      <w:bookmarkEnd w:id="122"/>
      <w:bookmarkEnd w:id="123"/>
      <w:bookmarkEnd w:id="124"/>
      <w:bookmarkEnd w:id="125"/>
      <w:bookmarkEnd w:id="126"/>
      <w:bookmarkEnd w:id="127"/>
      <w:bookmarkEnd w:id="128"/>
    </w:p>
    <w:p w:rsidR="00000000" w:rsidRDefault="008979D9">
      <w:pPr>
        <w:pStyle w:val="Subsection"/>
      </w:pPr>
      <w:r>
        <w:tab/>
      </w:r>
      <w:r>
        <w:tab/>
        <w:t>The relativities factor for each State for the grant year is as shown in the following table:</w:t>
      </w:r>
    </w:p>
    <w:p w:rsidR="00000000" w:rsidRDefault="008979D9">
      <w:pPr>
        <w:pStyle w:val="Table"/>
      </w:pPr>
    </w:p>
    <w:tbl>
      <w:tblPr>
        <w:tblW w:w="0" w:type="auto"/>
        <w:tblInd w:w="1242" w:type="dxa"/>
        <w:tblLayout w:type="fixed"/>
        <w:tblLook w:val="0000" w:firstRow="0" w:lastRow="0" w:firstColumn="0" w:lastColumn="0" w:noHBand="0" w:noVBand="0"/>
      </w:tblPr>
      <w:tblGrid>
        <w:gridCol w:w="709"/>
        <w:gridCol w:w="3260"/>
        <w:gridCol w:w="1985"/>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8979D9">
            <w:pPr>
              <w:pStyle w:val="Table"/>
              <w:keepNext/>
              <w:rPr>
                <w:b/>
                <w:bCs/>
              </w:rPr>
            </w:pPr>
            <w:r>
              <w:rPr>
                <w:b/>
                <w:bCs/>
              </w:rPr>
              <w:t>Relativities factors</w:t>
            </w:r>
          </w:p>
        </w:tc>
      </w:tr>
      <w:tr w:rsidR="00000000">
        <w:tblPrEx>
          <w:tblCellMar>
            <w:top w:w="0" w:type="dxa"/>
            <w:left w:w="107" w:type="dxa"/>
            <w:bottom w:w="0" w:type="dxa"/>
            <w:right w:w="107" w:type="dxa"/>
          </w:tblCellMar>
        </w:tblPrEx>
        <w:trPr>
          <w:cantSplit/>
          <w:tblHeader/>
        </w:trPr>
        <w:tc>
          <w:tcPr>
            <w:tcW w:w="709" w:type="dxa"/>
            <w:tcBorders>
              <w:top w:val="single" w:sz="6" w:space="0" w:color="000000"/>
              <w:left w:val="nil"/>
              <w:bottom w:val="single" w:sz="12" w:space="0" w:color="auto"/>
              <w:right w:val="nil"/>
            </w:tcBorders>
          </w:tcPr>
          <w:p w:rsidR="00000000" w:rsidRDefault="008979D9">
            <w:pPr>
              <w:pStyle w:val="Table"/>
              <w:keepNext/>
              <w:rPr>
                <w:b/>
                <w:bCs/>
              </w:rPr>
            </w:pPr>
            <w:r>
              <w:rPr>
                <w:b/>
                <w:bCs/>
              </w:rPr>
              <w:t>Item</w:t>
            </w:r>
          </w:p>
        </w:tc>
        <w:tc>
          <w:tcPr>
            <w:tcW w:w="3260" w:type="dxa"/>
            <w:tcBorders>
              <w:top w:val="single" w:sz="6" w:space="0" w:color="000000"/>
              <w:left w:val="nil"/>
              <w:bottom w:val="single" w:sz="12" w:space="0" w:color="auto"/>
              <w:right w:val="nil"/>
            </w:tcBorders>
          </w:tcPr>
          <w:p w:rsidR="00000000" w:rsidRDefault="008979D9">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000000" w:rsidRDefault="008979D9">
            <w:pPr>
              <w:pStyle w:val="Table"/>
              <w:keepNext/>
              <w:jc w:val="center"/>
              <w:rPr>
                <w:b/>
                <w:bCs/>
              </w:rPr>
            </w:pPr>
            <w:r>
              <w:rPr>
                <w:b/>
                <w:bCs/>
              </w:rPr>
              <w:t>Relativities factor</w:t>
            </w:r>
          </w:p>
        </w:tc>
      </w:tr>
      <w:tr w:rsidR="00000000">
        <w:tblPrEx>
          <w:tblCellMar>
            <w:top w:w="0" w:type="dxa"/>
            <w:left w:w="107" w:type="dxa"/>
            <w:bottom w:w="0" w:type="dxa"/>
            <w:right w:w="107" w:type="dxa"/>
          </w:tblCellMar>
        </w:tblPrEx>
        <w:trPr>
          <w:cantSplit/>
        </w:trPr>
        <w:tc>
          <w:tcPr>
            <w:tcW w:w="709" w:type="dxa"/>
            <w:tcBorders>
              <w:top w:val="nil"/>
              <w:left w:val="nil"/>
              <w:bottom w:val="dotted" w:sz="6" w:space="0" w:color="auto"/>
              <w:right w:val="nil"/>
            </w:tcBorders>
          </w:tcPr>
          <w:p w:rsidR="00000000" w:rsidRDefault="008979D9">
            <w:pPr>
              <w:pStyle w:val="Table"/>
            </w:pPr>
            <w:r>
              <w:t>1</w:t>
            </w:r>
          </w:p>
        </w:tc>
        <w:tc>
          <w:tcPr>
            <w:tcW w:w="3260" w:type="dxa"/>
            <w:tcBorders>
              <w:top w:val="nil"/>
              <w:left w:val="nil"/>
              <w:bottom w:val="dotted" w:sz="6" w:space="0" w:color="auto"/>
              <w:right w:val="nil"/>
            </w:tcBorders>
          </w:tcPr>
          <w:p w:rsidR="00000000" w:rsidRDefault="008979D9">
            <w:pPr>
              <w:pStyle w:val="Table"/>
            </w:pPr>
            <w:r>
              <w:t>New South Wales</w:t>
            </w:r>
          </w:p>
        </w:tc>
        <w:tc>
          <w:tcPr>
            <w:tcW w:w="1985" w:type="dxa"/>
            <w:tcBorders>
              <w:top w:val="nil"/>
              <w:left w:val="nil"/>
              <w:bottom w:val="dotted" w:sz="6" w:space="0" w:color="auto"/>
              <w:right w:val="nil"/>
            </w:tcBorders>
          </w:tcPr>
          <w:p w:rsidR="00000000" w:rsidRDefault="008979D9">
            <w:pPr>
              <w:pStyle w:val="Table"/>
              <w:tabs>
                <w:tab w:val="decimal" w:pos="680"/>
              </w:tabs>
            </w:pPr>
            <w:r>
              <w:t>0.87765</w:t>
            </w:r>
          </w:p>
        </w:tc>
      </w:tr>
      <w:tr w:rsidR="00000000">
        <w:tblPrEx>
          <w:tblCellMar>
            <w:top w:w="0" w:type="dxa"/>
            <w:left w:w="107" w:type="dxa"/>
            <w:bottom w:w="0" w:type="dxa"/>
            <w:right w:w="107" w:type="dxa"/>
          </w:tblCellMar>
        </w:tblPrEx>
        <w:trPr>
          <w:cantSplit/>
        </w:trPr>
        <w:tc>
          <w:tcPr>
            <w:tcW w:w="709" w:type="dxa"/>
            <w:tcBorders>
              <w:top w:val="dotted" w:sz="6" w:space="0" w:color="auto"/>
              <w:left w:val="nil"/>
              <w:bottom w:val="dotted" w:sz="6" w:space="0" w:color="auto"/>
              <w:right w:val="nil"/>
            </w:tcBorders>
          </w:tcPr>
          <w:p w:rsidR="00000000" w:rsidRDefault="008979D9">
            <w:pPr>
              <w:pStyle w:val="Table"/>
            </w:pPr>
            <w:r>
              <w:t>2</w:t>
            </w:r>
          </w:p>
        </w:tc>
        <w:tc>
          <w:tcPr>
            <w:tcW w:w="3260" w:type="dxa"/>
            <w:tcBorders>
              <w:top w:val="dotted" w:sz="6" w:space="0" w:color="auto"/>
              <w:left w:val="nil"/>
              <w:bottom w:val="dotted" w:sz="6" w:space="0" w:color="auto"/>
              <w:right w:val="nil"/>
            </w:tcBorders>
          </w:tcPr>
          <w:p w:rsidR="00000000" w:rsidRDefault="008979D9">
            <w:pPr>
              <w:pStyle w:val="Table"/>
            </w:pPr>
            <w:r>
              <w:t>Victoria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0.88042</w:t>
            </w:r>
          </w:p>
        </w:tc>
      </w:tr>
      <w:tr w:rsidR="00000000">
        <w:tblPrEx>
          <w:tblCellMar>
            <w:top w:w="0" w:type="dxa"/>
            <w:left w:w="107" w:type="dxa"/>
            <w:bottom w:w="0" w:type="dxa"/>
            <w:right w:w="107" w:type="dxa"/>
          </w:tblCellMar>
        </w:tblPrEx>
        <w:trPr>
          <w:cantSplit/>
        </w:trPr>
        <w:tc>
          <w:tcPr>
            <w:tcW w:w="709" w:type="dxa"/>
            <w:tcBorders>
              <w:top w:val="dotted" w:sz="6" w:space="0" w:color="auto"/>
              <w:left w:val="nil"/>
              <w:bottom w:val="dotted" w:sz="6" w:space="0" w:color="auto"/>
              <w:right w:val="nil"/>
            </w:tcBorders>
          </w:tcPr>
          <w:p w:rsidR="00000000" w:rsidRDefault="008979D9">
            <w:pPr>
              <w:pStyle w:val="Table"/>
            </w:pPr>
            <w:r>
              <w:t>3</w:t>
            </w:r>
          </w:p>
        </w:tc>
        <w:tc>
          <w:tcPr>
            <w:tcW w:w="3260" w:type="dxa"/>
            <w:tcBorders>
              <w:top w:val="dotted" w:sz="6" w:space="0" w:color="auto"/>
              <w:left w:val="nil"/>
              <w:bottom w:val="dotted" w:sz="6" w:space="0" w:color="auto"/>
              <w:right w:val="nil"/>
            </w:tcBorders>
          </w:tcPr>
          <w:p w:rsidR="00000000" w:rsidRDefault="008979D9">
            <w:pPr>
              <w:pStyle w:val="Table"/>
            </w:pPr>
            <w:r>
              <w:t>Queensland</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1.02186</w:t>
            </w:r>
          </w:p>
        </w:tc>
      </w:tr>
      <w:tr w:rsidR="00000000">
        <w:tblPrEx>
          <w:tblCellMar>
            <w:top w:w="0" w:type="dxa"/>
            <w:left w:w="107" w:type="dxa"/>
            <w:bottom w:w="0" w:type="dxa"/>
            <w:right w:w="107" w:type="dxa"/>
          </w:tblCellMar>
        </w:tblPrEx>
        <w:trPr>
          <w:cantSplit/>
        </w:trPr>
        <w:tc>
          <w:tcPr>
            <w:tcW w:w="709" w:type="dxa"/>
            <w:tcBorders>
              <w:top w:val="dotted" w:sz="6" w:space="0" w:color="auto"/>
              <w:left w:val="nil"/>
              <w:bottom w:val="dotted" w:sz="6" w:space="0" w:color="auto"/>
              <w:right w:val="nil"/>
            </w:tcBorders>
          </w:tcPr>
          <w:p w:rsidR="00000000" w:rsidRDefault="008979D9">
            <w:pPr>
              <w:pStyle w:val="Table"/>
            </w:pPr>
            <w:r>
              <w:t>4</w:t>
            </w:r>
          </w:p>
        </w:tc>
        <w:tc>
          <w:tcPr>
            <w:tcW w:w="3260" w:type="dxa"/>
            <w:tcBorders>
              <w:top w:val="dotted" w:sz="6" w:space="0" w:color="auto"/>
              <w:left w:val="nil"/>
              <w:bottom w:val="dotted" w:sz="6" w:space="0" w:color="auto"/>
              <w:right w:val="nil"/>
            </w:tcBorders>
          </w:tcPr>
          <w:p w:rsidR="00000000" w:rsidRDefault="008979D9">
            <w:pPr>
              <w:pStyle w:val="Table"/>
            </w:pPr>
            <w:r>
              <w:t>Western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0.98252</w:t>
            </w:r>
          </w:p>
        </w:tc>
      </w:tr>
      <w:tr w:rsidR="00000000">
        <w:tblPrEx>
          <w:tblCellMar>
            <w:top w:w="0" w:type="dxa"/>
            <w:left w:w="107" w:type="dxa"/>
            <w:bottom w:w="0" w:type="dxa"/>
            <w:right w:w="107" w:type="dxa"/>
          </w:tblCellMar>
        </w:tblPrEx>
        <w:trPr>
          <w:cantSplit/>
        </w:trPr>
        <w:tc>
          <w:tcPr>
            <w:tcW w:w="709" w:type="dxa"/>
            <w:tcBorders>
              <w:top w:val="dotted" w:sz="6" w:space="0" w:color="auto"/>
              <w:left w:val="nil"/>
              <w:bottom w:val="dotted" w:sz="6" w:space="0" w:color="auto"/>
              <w:right w:val="nil"/>
            </w:tcBorders>
          </w:tcPr>
          <w:p w:rsidR="00000000" w:rsidRDefault="008979D9">
            <w:pPr>
              <w:pStyle w:val="Table"/>
            </w:pPr>
            <w:r>
              <w:t>5</w:t>
            </w:r>
          </w:p>
        </w:tc>
        <w:tc>
          <w:tcPr>
            <w:tcW w:w="3260" w:type="dxa"/>
            <w:tcBorders>
              <w:top w:val="dotted" w:sz="6" w:space="0" w:color="auto"/>
              <w:left w:val="nil"/>
              <w:bottom w:val="dotted" w:sz="6" w:space="0" w:color="auto"/>
              <w:right w:val="nil"/>
            </w:tcBorders>
          </w:tcPr>
          <w:p w:rsidR="00000000" w:rsidRDefault="008979D9">
            <w:pPr>
              <w:pStyle w:val="Table"/>
            </w:pPr>
            <w:r>
              <w:t>South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1.22194</w:t>
            </w:r>
          </w:p>
        </w:tc>
      </w:tr>
      <w:tr w:rsidR="00000000">
        <w:tblPrEx>
          <w:tblCellMar>
            <w:top w:w="0" w:type="dxa"/>
            <w:left w:w="107" w:type="dxa"/>
            <w:bottom w:w="0" w:type="dxa"/>
            <w:right w:w="107" w:type="dxa"/>
          </w:tblCellMar>
        </w:tblPrEx>
        <w:trPr>
          <w:cantSplit/>
        </w:trPr>
        <w:tc>
          <w:tcPr>
            <w:tcW w:w="709" w:type="dxa"/>
            <w:tcBorders>
              <w:top w:val="dotted" w:sz="6" w:space="0" w:color="auto"/>
              <w:left w:val="nil"/>
              <w:bottom w:val="dotted" w:sz="6" w:space="0" w:color="auto"/>
              <w:right w:val="nil"/>
            </w:tcBorders>
          </w:tcPr>
          <w:p w:rsidR="00000000" w:rsidRDefault="008979D9">
            <w:pPr>
              <w:pStyle w:val="Table"/>
            </w:pPr>
            <w:r>
              <w:t>6</w:t>
            </w:r>
          </w:p>
        </w:tc>
        <w:tc>
          <w:tcPr>
            <w:tcW w:w="3260" w:type="dxa"/>
            <w:tcBorders>
              <w:top w:val="dotted" w:sz="6" w:space="0" w:color="auto"/>
              <w:left w:val="nil"/>
              <w:bottom w:val="dotted" w:sz="6" w:space="0" w:color="auto"/>
              <w:right w:val="nil"/>
            </w:tcBorders>
          </w:tcPr>
          <w:p w:rsidR="00000000" w:rsidRDefault="008979D9">
            <w:pPr>
              <w:pStyle w:val="Table"/>
            </w:pPr>
            <w:r>
              <w:t>Tasmania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1.55086</w:t>
            </w:r>
          </w:p>
        </w:tc>
      </w:tr>
      <w:tr w:rsidR="00000000">
        <w:tblPrEx>
          <w:tblCellMar>
            <w:top w:w="0" w:type="dxa"/>
            <w:left w:w="107" w:type="dxa"/>
            <w:bottom w:w="0" w:type="dxa"/>
            <w:right w:w="107" w:type="dxa"/>
          </w:tblCellMar>
        </w:tblPrEx>
        <w:trPr>
          <w:cantSplit/>
        </w:trPr>
        <w:tc>
          <w:tcPr>
            <w:tcW w:w="709" w:type="dxa"/>
            <w:tcBorders>
              <w:top w:val="dotted" w:sz="6" w:space="0" w:color="auto"/>
              <w:left w:val="nil"/>
              <w:bottom w:val="dotted" w:sz="6" w:space="0" w:color="auto"/>
              <w:right w:val="nil"/>
            </w:tcBorders>
          </w:tcPr>
          <w:p w:rsidR="00000000" w:rsidRDefault="008979D9">
            <w:pPr>
              <w:pStyle w:val="Table"/>
            </w:pPr>
            <w:r>
              <w:lastRenderedPageBreak/>
              <w:t>7</w:t>
            </w:r>
          </w:p>
        </w:tc>
        <w:tc>
          <w:tcPr>
            <w:tcW w:w="3260" w:type="dxa"/>
            <w:tcBorders>
              <w:top w:val="dotted" w:sz="6" w:space="0" w:color="auto"/>
              <w:left w:val="nil"/>
              <w:bottom w:val="dotted" w:sz="6" w:space="0" w:color="auto"/>
              <w:right w:val="nil"/>
            </w:tcBorders>
          </w:tcPr>
          <w:p w:rsidR="00000000" w:rsidRDefault="008979D9">
            <w:pPr>
              <w:pStyle w:val="Table"/>
            </w:pPr>
            <w:r>
              <w:t>Australian Capital Territory</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0.95145</w:t>
            </w:r>
          </w:p>
        </w:tc>
      </w:tr>
      <w:tr w:rsidR="00000000">
        <w:tblPrEx>
          <w:tblCellMar>
            <w:top w:w="0" w:type="dxa"/>
            <w:left w:w="107" w:type="dxa"/>
            <w:bottom w:w="0" w:type="dxa"/>
            <w:right w:w="107" w:type="dxa"/>
          </w:tblCellMar>
        </w:tblPrEx>
        <w:trPr>
          <w:cantSplit/>
        </w:trPr>
        <w:tc>
          <w:tcPr>
            <w:tcW w:w="709" w:type="dxa"/>
            <w:tcBorders>
              <w:top w:val="dotted" w:sz="6" w:space="0" w:color="auto"/>
              <w:left w:val="nil"/>
              <w:bottom w:val="single" w:sz="12" w:space="0" w:color="000000"/>
              <w:right w:val="nil"/>
            </w:tcBorders>
          </w:tcPr>
          <w:p w:rsidR="00000000" w:rsidRDefault="008979D9">
            <w:pPr>
              <w:pStyle w:val="Table"/>
            </w:pPr>
            <w:r>
              <w:t>8</w:t>
            </w:r>
          </w:p>
        </w:tc>
        <w:tc>
          <w:tcPr>
            <w:tcW w:w="3260" w:type="dxa"/>
            <w:tcBorders>
              <w:top w:val="dotted" w:sz="6" w:space="0" w:color="auto"/>
              <w:left w:val="nil"/>
              <w:bottom w:val="single" w:sz="12" w:space="0" w:color="000000"/>
              <w:right w:val="nil"/>
            </w:tcBorders>
          </w:tcPr>
          <w:p w:rsidR="00000000" w:rsidRDefault="008979D9">
            <w:pPr>
              <w:pStyle w:val="Table"/>
            </w:pPr>
            <w:r>
              <w:t>Northern Territory</w:t>
            </w:r>
          </w:p>
        </w:tc>
        <w:tc>
          <w:tcPr>
            <w:tcW w:w="1985" w:type="dxa"/>
            <w:tcBorders>
              <w:top w:val="dotted" w:sz="6" w:space="0" w:color="auto"/>
              <w:left w:val="nil"/>
              <w:bottom w:val="single" w:sz="12" w:space="0" w:color="000000"/>
              <w:right w:val="nil"/>
            </w:tcBorders>
          </w:tcPr>
          <w:p w:rsidR="00000000" w:rsidRDefault="008979D9">
            <w:pPr>
              <w:pStyle w:val="Table"/>
              <w:tabs>
                <w:tab w:val="decimal" w:pos="680"/>
              </w:tabs>
            </w:pPr>
            <w:r>
              <w:t>4.81869</w:t>
            </w:r>
          </w:p>
        </w:tc>
      </w:tr>
    </w:tbl>
    <w:p w:rsidR="00000000" w:rsidRDefault="008979D9">
      <w:pPr>
        <w:pStyle w:val="Heading5"/>
      </w:pPr>
      <w:bookmarkStart w:id="129" w:name="_Toc420825149"/>
      <w:bookmarkStart w:id="130" w:name="_Toc421425105"/>
      <w:bookmarkStart w:id="131" w:name="_Toc421597108"/>
      <w:bookmarkStart w:id="132" w:name="_Toc421597728"/>
      <w:bookmarkStart w:id="133" w:name="_Toc422101870"/>
      <w:bookmarkStart w:id="134" w:name="_Toc422644239"/>
      <w:bookmarkStart w:id="135" w:name="_Toc423142131"/>
      <w:bookmarkStart w:id="136" w:name="_Toc434046890"/>
      <w:bookmarkStart w:id="137" w:name="_Toc434725736"/>
      <w:bookmarkStart w:id="138" w:name="_Toc434995262"/>
      <w:bookmarkStart w:id="139" w:name="_Toc434997447"/>
      <w:r>
        <w:rPr>
          <w:rStyle w:val="CharSectno"/>
        </w:rPr>
        <w:t>4</w:t>
      </w:r>
      <w:r>
        <w:t xml:space="preserve">  Per capita growth deductions</w:t>
      </w:r>
      <w:bookmarkEnd w:id="129"/>
      <w:bookmarkEnd w:id="130"/>
      <w:bookmarkEnd w:id="131"/>
      <w:bookmarkEnd w:id="132"/>
      <w:bookmarkEnd w:id="133"/>
      <w:bookmarkEnd w:id="134"/>
      <w:bookmarkEnd w:id="135"/>
      <w:bookmarkEnd w:id="136"/>
      <w:bookmarkEnd w:id="137"/>
      <w:bookmarkEnd w:id="138"/>
      <w:bookmarkEnd w:id="139"/>
    </w:p>
    <w:p w:rsidR="00000000" w:rsidRDefault="008979D9">
      <w:pPr>
        <w:pStyle w:val="Subsection"/>
      </w:pPr>
      <w:r>
        <w:tab/>
      </w:r>
      <w:r>
        <w:tab/>
        <w:t>For the purposes of section 10, the maximum amount that may be deducted from the financial assistance grant payable to a State is the amount worked out using the formula:</w:t>
      </w:r>
    </w:p>
    <w:p w:rsidR="00000000" w:rsidRDefault="008979D9">
      <w:pPr>
        <w:pStyle w:val="subsection2"/>
      </w:pPr>
      <w:r>
        <w:rPr>
          <w:position w:val="-40"/>
          <w:sz w:val="20"/>
          <w:szCs w:val="20"/>
        </w:rPr>
        <w:object w:dxaOrig="4720" w:dyaOrig="920">
          <v:shape id="_x0000_i1029" type="#_x0000_t75" style="width:236.25pt;height:45.75pt" o:ole="">
            <v:imagedata r:id="rId28" o:title=""/>
          </v:shape>
          <o:OLEObject Type="Embed" ProgID="Word.Picture.8" ShapeID="_x0000_i1029" DrawAspect="Content" ObjectID="_1629894012" r:id="rId29"/>
        </w:object>
      </w:r>
    </w:p>
    <w:p w:rsidR="00000000" w:rsidRDefault="008979D9">
      <w:pPr>
        <w:pStyle w:val="subsection2"/>
      </w:pPr>
      <w:r>
        <w:t>where:</w:t>
      </w:r>
    </w:p>
    <w:p w:rsidR="00000000" w:rsidRDefault="008979D9">
      <w:pPr>
        <w:pStyle w:val="Definition"/>
      </w:pPr>
      <w:r>
        <w:rPr>
          <w:b/>
          <w:bCs/>
          <w:i/>
          <w:iCs/>
        </w:rPr>
        <w:t>ASP</w:t>
      </w:r>
      <w:r>
        <w:t xml:space="preserve"> (adjusted state population) means the adjusted population of the State in relation to the grant year.</w:t>
      </w:r>
    </w:p>
    <w:p w:rsidR="00000000" w:rsidRDefault="008979D9">
      <w:pPr>
        <w:pStyle w:val="Definition"/>
      </w:pPr>
      <w:r>
        <w:rPr>
          <w:b/>
          <w:bCs/>
          <w:i/>
          <w:iCs/>
        </w:rPr>
        <w:t>ATP</w:t>
      </w:r>
      <w:r>
        <w:t xml:space="preserve"> (adjusted total population) means the sum of the adjusted populations of all the States in relation to the grant year.</w:t>
      </w:r>
    </w:p>
    <w:p w:rsidR="00000000" w:rsidRDefault="008979D9">
      <w:pPr>
        <w:pStyle w:val="Definition"/>
      </w:pPr>
      <w:r>
        <w:rPr>
          <w:b/>
          <w:bCs/>
          <w:i/>
          <w:iCs/>
        </w:rPr>
        <w:t>BAA</w:t>
      </w:r>
      <w:r>
        <w:t xml:space="preserve"> (base as</w:t>
      </w:r>
      <w:r>
        <w:t>sistance amount) means the base assistance amount for the grant year.</w:t>
      </w:r>
    </w:p>
    <w:p w:rsidR="00000000" w:rsidRDefault="008979D9">
      <w:pPr>
        <w:pStyle w:val="Definition"/>
      </w:pPr>
      <w:r>
        <w:rPr>
          <w:b/>
          <w:bCs/>
          <w:i/>
          <w:iCs/>
        </w:rPr>
        <w:t>IF</w:t>
      </w:r>
      <w:r>
        <w:t xml:space="preserve"> (index factor) means the index factor for the grant year.</w:t>
      </w:r>
    </w:p>
    <w:p w:rsidR="00000000" w:rsidRDefault="008979D9">
      <w:pPr>
        <w:pStyle w:val="Definition"/>
      </w:pPr>
      <w:r>
        <w:rPr>
          <w:b/>
          <w:bCs/>
          <w:i/>
          <w:iCs/>
        </w:rPr>
        <w:t>PF</w:t>
      </w:r>
      <w:r>
        <w:t xml:space="preserve"> (population factor) means the population factor for the grant year.</w:t>
      </w:r>
    </w:p>
    <w:p w:rsidR="00000000" w:rsidRDefault="008979D9">
      <w:pPr>
        <w:pStyle w:val="Heading5"/>
      </w:pPr>
      <w:bookmarkStart w:id="140" w:name="_Toc420825150"/>
      <w:bookmarkStart w:id="141" w:name="_Toc421425106"/>
      <w:bookmarkStart w:id="142" w:name="_Toc421597109"/>
      <w:bookmarkStart w:id="143" w:name="_Toc421597729"/>
      <w:bookmarkStart w:id="144" w:name="_Toc422101871"/>
      <w:bookmarkStart w:id="145" w:name="_Toc422644240"/>
      <w:bookmarkStart w:id="146" w:name="_Toc423142132"/>
      <w:bookmarkStart w:id="147" w:name="_Toc434046891"/>
      <w:bookmarkStart w:id="148" w:name="_Toc434725737"/>
      <w:bookmarkStart w:id="149" w:name="_Toc434995263"/>
      <w:bookmarkStart w:id="150" w:name="_Toc434997448"/>
      <w:r>
        <w:rPr>
          <w:rStyle w:val="CharSectno"/>
        </w:rPr>
        <w:t>5</w:t>
      </w:r>
      <w:r>
        <w:t xml:space="preserve">  Revenue replacement payments</w:t>
      </w:r>
      <w:bookmarkEnd w:id="140"/>
      <w:bookmarkEnd w:id="141"/>
      <w:bookmarkEnd w:id="142"/>
      <w:bookmarkEnd w:id="143"/>
      <w:bookmarkEnd w:id="144"/>
      <w:bookmarkEnd w:id="145"/>
      <w:bookmarkEnd w:id="146"/>
      <w:bookmarkEnd w:id="147"/>
      <w:bookmarkEnd w:id="148"/>
      <w:bookmarkEnd w:id="149"/>
      <w:bookmarkEnd w:id="150"/>
    </w:p>
    <w:p w:rsidR="00000000" w:rsidRDefault="008979D9">
      <w:pPr>
        <w:pStyle w:val="Subsection"/>
      </w:pPr>
      <w:r>
        <w:tab/>
        <w:t>(1)</w:t>
      </w:r>
      <w:r>
        <w:tab/>
        <w:t>For the purposes of section 11A, the revenue replacement payment to be made to a State is worked out using the formula:</w:t>
      </w:r>
    </w:p>
    <w:p w:rsidR="00000000" w:rsidRDefault="008979D9">
      <w:pPr>
        <w:pStyle w:val="subsection2"/>
      </w:pPr>
      <w:r>
        <w:rPr>
          <w:position w:val="-24"/>
          <w:sz w:val="20"/>
          <w:szCs w:val="20"/>
        </w:rPr>
        <w:object w:dxaOrig="4720" w:dyaOrig="600">
          <v:shape id="_x0000_i1030" type="#_x0000_t75" style="width:236.25pt;height:30pt" o:ole="">
            <v:imagedata r:id="rId30" o:title=""/>
          </v:shape>
          <o:OLEObject Type="Embed" ProgID="Word.Picture.8" ShapeID="_x0000_i1030" DrawAspect="Content" ObjectID="_1629894013" r:id="rId31"/>
        </w:object>
      </w:r>
    </w:p>
    <w:p w:rsidR="00000000" w:rsidRDefault="008979D9">
      <w:pPr>
        <w:pStyle w:val="subsection2"/>
      </w:pPr>
      <w:r>
        <w:t>where:</w:t>
      </w:r>
    </w:p>
    <w:p w:rsidR="00000000" w:rsidRDefault="008979D9">
      <w:pPr>
        <w:pStyle w:val="Definition"/>
      </w:pPr>
      <w:r>
        <w:rPr>
          <w:b/>
          <w:bCs/>
          <w:i/>
          <w:iCs/>
        </w:rPr>
        <w:t>ABA</w:t>
      </w:r>
      <w:r>
        <w:t xml:space="preserve"> (alcohol base amount) means the sum of:</w:t>
      </w:r>
    </w:p>
    <w:p w:rsidR="00000000" w:rsidRDefault="008979D9">
      <w:pPr>
        <w:pStyle w:val="indenta"/>
      </w:pPr>
      <w:r>
        <w:lastRenderedPageBreak/>
        <w:tab/>
        <w:t>(a)</w:t>
      </w:r>
      <w:r>
        <w:tab/>
        <w:t>the amounts determined by the Commis</w:t>
      </w:r>
      <w:r>
        <w:t>sioner, before 15 June 1999, to be:</w:t>
      </w:r>
    </w:p>
    <w:p w:rsidR="00000000" w:rsidRDefault="008979D9">
      <w:pPr>
        <w:pStyle w:val="indentii"/>
      </w:pPr>
      <w:r>
        <w:tab/>
        <w:t>(i)</w:t>
      </w:r>
      <w:r>
        <w:tab/>
        <w:t>the additional amount of sales tax on taxable dealings to which the Sales Tax (Surcharge) Acts relate that was collected during the pre</w:t>
      </w:r>
      <w:r>
        <w:noBreakHyphen/>
        <w:t>1 June period because of a Commonwealth surcharge; and</w:t>
      </w:r>
    </w:p>
    <w:p w:rsidR="00000000" w:rsidRDefault="008979D9">
      <w:pPr>
        <w:pStyle w:val="indentii"/>
      </w:pPr>
      <w:r>
        <w:tab/>
        <w:t>(ii)</w:t>
      </w:r>
      <w:r>
        <w:tab/>
      </w:r>
      <w:r>
        <w:t>the additional amount of sales tax on taxable dealings to which the Sales Tax (Surcharge) Acts relate that the Commissioner estimates to be likely to be collected during the month of June 1999 because of a Commonwealth surcharge; and</w:t>
      </w:r>
    </w:p>
    <w:p w:rsidR="00000000" w:rsidRDefault="008979D9">
      <w:pPr>
        <w:pStyle w:val="indenta"/>
      </w:pPr>
      <w:r>
        <w:tab/>
        <w:t>(b)</w:t>
      </w:r>
      <w:r>
        <w:tab/>
        <w:t xml:space="preserve">if the June 1998 </w:t>
      </w:r>
      <w:r>
        <w:t>ABA amount exceeds the June 1998 ABA estimate amount—the amount of the excess;</w:t>
      </w:r>
    </w:p>
    <w:p w:rsidR="00000000" w:rsidRDefault="008979D9">
      <w:pPr>
        <w:pStyle w:val="subsection2"/>
      </w:pPr>
      <w:r>
        <w:t>less the sum of:</w:t>
      </w:r>
    </w:p>
    <w:p w:rsidR="00000000" w:rsidRDefault="008979D9">
      <w:pPr>
        <w:pStyle w:val="indenta"/>
      </w:pPr>
      <w:r>
        <w:tab/>
        <w:t>(c)</w:t>
      </w:r>
      <w:r>
        <w:tab/>
        <w:t>if the June 1998 ABA estimate amount exceeds the June 1998 ABA amount—the amount of the excess; and</w:t>
      </w:r>
    </w:p>
    <w:p w:rsidR="00000000" w:rsidRDefault="008979D9">
      <w:pPr>
        <w:pStyle w:val="indenta"/>
      </w:pPr>
      <w:r>
        <w:tab/>
        <w:t>(d)</w:t>
      </w:r>
      <w:r>
        <w:tab/>
        <w:t>the amount determined by the Commissioner to be th</w:t>
      </w:r>
      <w:r>
        <w:t>e additional administrative costs incurred by the Commonwealth in the grant year because of that surcharge or those surcharges.</w:t>
      </w:r>
    </w:p>
    <w:p w:rsidR="00000000" w:rsidRDefault="008979D9">
      <w:pPr>
        <w:pStyle w:val="Definition"/>
      </w:pPr>
      <w:r>
        <w:rPr>
          <w:b/>
          <w:bCs/>
          <w:i/>
          <w:iCs/>
        </w:rPr>
        <w:t>AS</w:t>
      </w:r>
      <w:r>
        <w:t xml:space="preserve"> (alcohol share) for a State means:</w:t>
      </w:r>
    </w:p>
    <w:p w:rsidR="00000000" w:rsidRDefault="008979D9">
      <w:pPr>
        <w:pStyle w:val="indenta"/>
      </w:pPr>
      <w:r>
        <w:tab/>
        <w:t>(a)</w:t>
      </w:r>
      <w:r>
        <w:tab/>
        <w:t xml:space="preserve">if paragraph (b) does not apply—the number set out opposite the name of the State in </w:t>
      </w:r>
      <w:r>
        <w:t>the table at the end of this definition; or</w:t>
      </w:r>
    </w:p>
    <w:p w:rsidR="00000000" w:rsidRDefault="008979D9">
      <w:pPr>
        <w:pStyle w:val="indenta"/>
      </w:pPr>
      <w:r>
        <w:tab/>
        <w:t>(b)</w:t>
      </w:r>
      <w:r>
        <w:tab/>
        <w:t>if the regulations prescribe a number as the alcohol share for each State for the purposes of this definition—the number so prescribed for the State.</w:t>
      </w:r>
    </w:p>
    <w:p w:rsidR="00000000" w:rsidRDefault="008979D9">
      <w:pPr>
        <w:pStyle w:val="Table"/>
      </w:pPr>
    </w:p>
    <w:tbl>
      <w:tblPr>
        <w:tblW w:w="0" w:type="auto"/>
        <w:tblInd w:w="1668" w:type="dxa"/>
        <w:tblLayout w:type="fixed"/>
        <w:tblLook w:val="0000" w:firstRow="0" w:lastRow="0" w:firstColumn="0" w:lastColumn="0" w:noHBand="0" w:noVBand="0"/>
      </w:tblPr>
      <w:tblGrid>
        <w:gridCol w:w="708"/>
        <w:gridCol w:w="2834"/>
        <w:gridCol w:w="1986"/>
      </w:tblGrid>
      <w:tr w:rsidR="00000000">
        <w:tblPrEx>
          <w:tblCellMar>
            <w:top w:w="0" w:type="dxa"/>
            <w:bottom w:w="0" w:type="dxa"/>
          </w:tblCellMar>
        </w:tblPrEx>
        <w:trPr>
          <w:cantSplit/>
          <w:tblHeader/>
        </w:trPr>
        <w:tc>
          <w:tcPr>
            <w:tcW w:w="5528" w:type="dxa"/>
            <w:gridSpan w:val="3"/>
            <w:tcBorders>
              <w:top w:val="single" w:sz="12" w:space="0" w:color="000000"/>
              <w:left w:val="nil"/>
              <w:bottom w:val="nil"/>
              <w:right w:val="nil"/>
            </w:tcBorders>
          </w:tcPr>
          <w:p w:rsidR="00000000" w:rsidRDefault="008979D9">
            <w:pPr>
              <w:pStyle w:val="Table"/>
              <w:keepNext/>
              <w:rPr>
                <w:b/>
                <w:bCs/>
              </w:rPr>
            </w:pPr>
            <w:r>
              <w:rPr>
                <w:b/>
                <w:bCs/>
              </w:rPr>
              <w:t>Revenue replacement payments—alcohol share</w:t>
            </w:r>
          </w:p>
        </w:tc>
      </w:tr>
      <w:tr w:rsidR="00000000">
        <w:tblPrEx>
          <w:tblCellMar>
            <w:top w:w="0" w:type="dxa"/>
            <w:left w:w="107" w:type="dxa"/>
            <w:bottom w:w="0" w:type="dxa"/>
            <w:right w:w="107" w:type="dxa"/>
          </w:tblCellMar>
        </w:tblPrEx>
        <w:trPr>
          <w:cantSplit/>
          <w:tblHeader/>
        </w:trPr>
        <w:tc>
          <w:tcPr>
            <w:tcW w:w="708" w:type="dxa"/>
            <w:tcBorders>
              <w:top w:val="single" w:sz="6" w:space="0" w:color="000000"/>
              <w:left w:val="nil"/>
              <w:bottom w:val="single" w:sz="12" w:space="0" w:color="auto"/>
              <w:right w:val="nil"/>
            </w:tcBorders>
          </w:tcPr>
          <w:p w:rsidR="00000000" w:rsidRDefault="008979D9">
            <w:pPr>
              <w:pStyle w:val="Table"/>
              <w:keepNext/>
              <w:rPr>
                <w:b/>
                <w:bCs/>
              </w:rPr>
            </w:pPr>
            <w:r>
              <w:rPr>
                <w:b/>
                <w:bCs/>
              </w:rPr>
              <w:t>Item</w:t>
            </w:r>
          </w:p>
        </w:tc>
        <w:tc>
          <w:tcPr>
            <w:tcW w:w="2834" w:type="dxa"/>
            <w:tcBorders>
              <w:top w:val="single" w:sz="6" w:space="0" w:color="000000"/>
              <w:left w:val="nil"/>
              <w:bottom w:val="single" w:sz="12" w:space="0" w:color="auto"/>
              <w:right w:val="nil"/>
            </w:tcBorders>
          </w:tcPr>
          <w:p w:rsidR="00000000" w:rsidRDefault="008979D9">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000000" w:rsidRDefault="008979D9">
            <w:pPr>
              <w:pStyle w:val="Table"/>
              <w:keepNext/>
              <w:jc w:val="center"/>
              <w:rPr>
                <w:b/>
                <w:bCs/>
              </w:rPr>
            </w:pPr>
            <w:r>
              <w:rPr>
                <w:b/>
                <w:bCs/>
              </w:rPr>
              <w:t>A</w:t>
            </w:r>
            <w:r>
              <w:rPr>
                <w:b/>
                <w:bCs/>
              </w:rPr>
              <w:t>lcohol share</w:t>
            </w:r>
          </w:p>
        </w:tc>
      </w:tr>
      <w:tr w:rsidR="00000000">
        <w:tblPrEx>
          <w:tblCellMar>
            <w:top w:w="0" w:type="dxa"/>
            <w:left w:w="107" w:type="dxa"/>
            <w:bottom w:w="0" w:type="dxa"/>
            <w:right w:w="107" w:type="dxa"/>
          </w:tblCellMar>
        </w:tblPrEx>
        <w:trPr>
          <w:cantSplit/>
        </w:trPr>
        <w:tc>
          <w:tcPr>
            <w:tcW w:w="708" w:type="dxa"/>
            <w:tcBorders>
              <w:top w:val="nil"/>
              <w:left w:val="nil"/>
              <w:bottom w:val="dotted" w:sz="6" w:space="0" w:color="auto"/>
              <w:right w:val="nil"/>
            </w:tcBorders>
          </w:tcPr>
          <w:p w:rsidR="00000000" w:rsidRDefault="008979D9">
            <w:pPr>
              <w:pStyle w:val="Table"/>
            </w:pPr>
            <w:r>
              <w:t>1</w:t>
            </w:r>
          </w:p>
        </w:tc>
        <w:tc>
          <w:tcPr>
            <w:tcW w:w="2834" w:type="dxa"/>
            <w:tcBorders>
              <w:top w:val="nil"/>
              <w:left w:val="nil"/>
              <w:bottom w:val="dotted" w:sz="6" w:space="0" w:color="auto"/>
              <w:right w:val="nil"/>
            </w:tcBorders>
          </w:tcPr>
          <w:p w:rsidR="00000000" w:rsidRDefault="008979D9">
            <w:pPr>
              <w:pStyle w:val="Table"/>
            </w:pPr>
            <w:r>
              <w:t>New South Wales</w:t>
            </w:r>
          </w:p>
        </w:tc>
        <w:tc>
          <w:tcPr>
            <w:tcW w:w="1985" w:type="dxa"/>
            <w:tcBorders>
              <w:top w:val="nil"/>
              <w:left w:val="nil"/>
              <w:bottom w:val="dotted" w:sz="6" w:space="0" w:color="auto"/>
              <w:right w:val="nil"/>
            </w:tcBorders>
          </w:tcPr>
          <w:p w:rsidR="00000000" w:rsidRDefault="008979D9">
            <w:pPr>
              <w:pStyle w:val="Table"/>
              <w:tabs>
                <w:tab w:val="decimal" w:pos="602"/>
              </w:tabs>
            </w:pPr>
            <w:r>
              <w:t>0.33796</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2</w:t>
            </w:r>
          </w:p>
        </w:tc>
        <w:tc>
          <w:tcPr>
            <w:tcW w:w="2834" w:type="dxa"/>
            <w:tcBorders>
              <w:top w:val="dotted" w:sz="6" w:space="0" w:color="auto"/>
              <w:left w:val="nil"/>
              <w:bottom w:val="dotted" w:sz="6" w:space="0" w:color="auto"/>
              <w:right w:val="nil"/>
            </w:tcBorders>
          </w:tcPr>
          <w:p w:rsidR="00000000" w:rsidRDefault="008979D9">
            <w:pPr>
              <w:pStyle w:val="Table"/>
            </w:pPr>
            <w:r>
              <w:t>Victoria</w:t>
            </w:r>
          </w:p>
        </w:tc>
        <w:tc>
          <w:tcPr>
            <w:tcW w:w="1985" w:type="dxa"/>
            <w:tcBorders>
              <w:top w:val="dotted" w:sz="6" w:space="0" w:color="auto"/>
              <w:left w:val="nil"/>
              <w:bottom w:val="dotted" w:sz="6" w:space="0" w:color="auto"/>
              <w:right w:val="nil"/>
            </w:tcBorders>
          </w:tcPr>
          <w:p w:rsidR="00000000" w:rsidRDefault="008979D9">
            <w:pPr>
              <w:pStyle w:val="Table"/>
              <w:tabs>
                <w:tab w:val="decimal" w:pos="602"/>
              </w:tabs>
            </w:pPr>
            <w:r>
              <w:t>0.22332</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3</w:t>
            </w:r>
          </w:p>
        </w:tc>
        <w:tc>
          <w:tcPr>
            <w:tcW w:w="2834" w:type="dxa"/>
            <w:tcBorders>
              <w:top w:val="dotted" w:sz="6" w:space="0" w:color="auto"/>
              <w:left w:val="nil"/>
              <w:bottom w:val="dotted" w:sz="6" w:space="0" w:color="auto"/>
              <w:right w:val="nil"/>
            </w:tcBorders>
          </w:tcPr>
          <w:p w:rsidR="00000000" w:rsidRDefault="008979D9">
            <w:pPr>
              <w:pStyle w:val="Table"/>
            </w:pPr>
            <w:r>
              <w:t>Queensland</w:t>
            </w:r>
          </w:p>
        </w:tc>
        <w:tc>
          <w:tcPr>
            <w:tcW w:w="1985" w:type="dxa"/>
            <w:tcBorders>
              <w:top w:val="dotted" w:sz="6" w:space="0" w:color="auto"/>
              <w:left w:val="nil"/>
              <w:bottom w:val="dotted" w:sz="6" w:space="0" w:color="auto"/>
              <w:right w:val="nil"/>
            </w:tcBorders>
          </w:tcPr>
          <w:p w:rsidR="00000000" w:rsidRDefault="008979D9">
            <w:pPr>
              <w:pStyle w:val="Table"/>
              <w:tabs>
                <w:tab w:val="decimal" w:pos="602"/>
              </w:tabs>
            </w:pPr>
            <w:r>
              <w:t>0.19314</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4</w:t>
            </w:r>
          </w:p>
        </w:tc>
        <w:tc>
          <w:tcPr>
            <w:tcW w:w="2834" w:type="dxa"/>
            <w:tcBorders>
              <w:top w:val="dotted" w:sz="6" w:space="0" w:color="auto"/>
              <w:left w:val="nil"/>
              <w:bottom w:val="dotted" w:sz="6" w:space="0" w:color="auto"/>
              <w:right w:val="nil"/>
            </w:tcBorders>
          </w:tcPr>
          <w:p w:rsidR="00000000" w:rsidRDefault="008979D9">
            <w:pPr>
              <w:pStyle w:val="Table"/>
            </w:pPr>
            <w:r>
              <w:t>Western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02"/>
              </w:tabs>
            </w:pPr>
            <w:r>
              <w:t>0.11147</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5</w:t>
            </w:r>
          </w:p>
        </w:tc>
        <w:tc>
          <w:tcPr>
            <w:tcW w:w="2834" w:type="dxa"/>
            <w:tcBorders>
              <w:top w:val="dotted" w:sz="6" w:space="0" w:color="auto"/>
              <w:left w:val="nil"/>
              <w:bottom w:val="dotted" w:sz="6" w:space="0" w:color="auto"/>
              <w:right w:val="nil"/>
            </w:tcBorders>
          </w:tcPr>
          <w:p w:rsidR="00000000" w:rsidRDefault="008979D9">
            <w:pPr>
              <w:pStyle w:val="Table"/>
            </w:pPr>
            <w:r>
              <w:t>South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02"/>
              </w:tabs>
            </w:pPr>
            <w:r>
              <w:t>0.07857</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lastRenderedPageBreak/>
              <w:t>6</w:t>
            </w:r>
          </w:p>
        </w:tc>
        <w:tc>
          <w:tcPr>
            <w:tcW w:w="2834" w:type="dxa"/>
            <w:tcBorders>
              <w:top w:val="dotted" w:sz="6" w:space="0" w:color="auto"/>
              <w:left w:val="nil"/>
              <w:bottom w:val="dotted" w:sz="6" w:space="0" w:color="auto"/>
              <w:right w:val="nil"/>
            </w:tcBorders>
          </w:tcPr>
          <w:p w:rsidR="00000000" w:rsidRDefault="008979D9">
            <w:pPr>
              <w:pStyle w:val="Table"/>
            </w:pPr>
            <w:r>
              <w:t>Tasmania</w:t>
            </w:r>
          </w:p>
        </w:tc>
        <w:tc>
          <w:tcPr>
            <w:tcW w:w="1985" w:type="dxa"/>
            <w:tcBorders>
              <w:top w:val="dotted" w:sz="6" w:space="0" w:color="auto"/>
              <w:left w:val="nil"/>
              <w:bottom w:val="dotted" w:sz="6" w:space="0" w:color="auto"/>
              <w:right w:val="nil"/>
            </w:tcBorders>
          </w:tcPr>
          <w:p w:rsidR="00000000" w:rsidRDefault="008979D9">
            <w:pPr>
              <w:pStyle w:val="Table"/>
              <w:tabs>
                <w:tab w:val="decimal" w:pos="602"/>
              </w:tabs>
            </w:pPr>
            <w:r>
              <w:t>0.02415</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7</w:t>
            </w:r>
          </w:p>
        </w:tc>
        <w:tc>
          <w:tcPr>
            <w:tcW w:w="2834" w:type="dxa"/>
            <w:tcBorders>
              <w:top w:val="dotted" w:sz="6" w:space="0" w:color="auto"/>
              <w:left w:val="nil"/>
              <w:bottom w:val="dotted" w:sz="6" w:space="0" w:color="auto"/>
              <w:right w:val="nil"/>
            </w:tcBorders>
          </w:tcPr>
          <w:p w:rsidR="00000000" w:rsidRDefault="008979D9">
            <w:pPr>
              <w:pStyle w:val="Table"/>
            </w:pPr>
            <w:r>
              <w:t>Australian Capital Territory</w:t>
            </w:r>
          </w:p>
        </w:tc>
        <w:tc>
          <w:tcPr>
            <w:tcW w:w="1985" w:type="dxa"/>
            <w:tcBorders>
              <w:top w:val="dotted" w:sz="6" w:space="0" w:color="auto"/>
              <w:left w:val="nil"/>
              <w:bottom w:val="dotted" w:sz="6" w:space="0" w:color="auto"/>
              <w:right w:val="nil"/>
            </w:tcBorders>
          </w:tcPr>
          <w:p w:rsidR="00000000" w:rsidRDefault="008979D9">
            <w:pPr>
              <w:pStyle w:val="Table"/>
              <w:tabs>
                <w:tab w:val="decimal" w:pos="602"/>
              </w:tabs>
            </w:pPr>
            <w:r>
              <w:t>0.01569</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single" w:sz="12" w:space="0" w:color="000000"/>
              <w:right w:val="nil"/>
            </w:tcBorders>
          </w:tcPr>
          <w:p w:rsidR="00000000" w:rsidRDefault="008979D9">
            <w:pPr>
              <w:pStyle w:val="Table"/>
            </w:pPr>
            <w:r>
              <w:t>8</w:t>
            </w:r>
          </w:p>
        </w:tc>
        <w:tc>
          <w:tcPr>
            <w:tcW w:w="2834" w:type="dxa"/>
            <w:tcBorders>
              <w:top w:val="dotted" w:sz="6" w:space="0" w:color="auto"/>
              <w:left w:val="nil"/>
              <w:bottom w:val="single" w:sz="12" w:space="0" w:color="000000"/>
              <w:right w:val="nil"/>
            </w:tcBorders>
          </w:tcPr>
          <w:p w:rsidR="00000000" w:rsidRDefault="008979D9">
            <w:pPr>
              <w:pStyle w:val="Table"/>
            </w:pPr>
            <w:r>
              <w:t>Northern Territory</w:t>
            </w:r>
          </w:p>
        </w:tc>
        <w:tc>
          <w:tcPr>
            <w:tcW w:w="1985" w:type="dxa"/>
            <w:tcBorders>
              <w:top w:val="dotted" w:sz="6" w:space="0" w:color="auto"/>
              <w:left w:val="nil"/>
              <w:bottom w:val="single" w:sz="12" w:space="0" w:color="000000"/>
              <w:right w:val="nil"/>
            </w:tcBorders>
          </w:tcPr>
          <w:p w:rsidR="00000000" w:rsidRDefault="008979D9">
            <w:pPr>
              <w:pStyle w:val="Table"/>
              <w:tabs>
                <w:tab w:val="decimal" w:pos="602"/>
              </w:tabs>
            </w:pPr>
            <w:r>
              <w:t>0.01569</w:t>
            </w:r>
          </w:p>
        </w:tc>
      </w:tr>
    </w:tbl>
    <w:p w:rsidR="00000000" w:rsidRDefault="008979D9">
      <w:pPr>
        <w:pStyle w:val="Definition"/>
      </w:pPr>
      <w:r>
        <w:rPr>
          <w:b/>
          <w:bCs/>
          <w:i/>
          <w:iCs/>
        </w:rPr>
        <w:t>PBA</w:t>
      </w:r>
      <w:r>
        <w:t xml:space="preserve"> (petroleum base amount) means the sum of:</w:t>
      </w:r>
    </w:p>
    <w:p w:rsidR="00000000" w:rsidRDefault="008979D9">
      <w:pPr>
        <w:pStyle w:val="indenta"/>
      </w:pPr>
      <w:r>
        <w:tab/>
        <w:t>(a)</w:t>
      </w:r>
      <w:r>
        <w:tab/>
        <w:t>the amounts determined by the CEO, before 15 June 1999, to be:</w:t>
      </w:r>
    </w:p>
    <w:p w:rsidR="00000000" w:rsidRDefault="008979D9">
      <w:pPr>
        <w:pStyle w:val="indentii"/>
      </w:pPr>
      <w:r>
        <w:tab/>
        <w:t>(i)</w:t>
      </w:r>
      <w:r>
        <w:tab/>
        <w:t xml:space="preserve">the additional amount of customs duty on goods falling to subheadings of Chapter 27 of Schedule 3 to the </w:t>
      </w:r>
      <w:r>
        <w:rPr>
          <w:i/>
          <w:iCs/>
        </w:rPr>
        <w:t>Customs Tariff Act 1995</w:t>
      </w:r>
      <w:r>
        <w:t xml:space="preserve"> that was co</w:t>
      </w:r>
      <w:r>
        <w:t>llected during the pre</w:t>
      </w:r>
      <w:r>
        <w:noBreakHyphen/>
        <w:t>1 June period because of a Commonwealth surcharge; and</w:t>
      </w:r>
    </w:p>
    <w:p w:rsidR="00000000" w:rsidRDefault="008979D9">
      <w:pPr>
        <w:pStyle w:val="notepara"/>
      </w:pPr>
      <w:r>
        <w:t>Note:</w:t>
      </w:r>
      <w:r>
        <w:tab/>
        <w:t xml:space="preserve">Chapter 27 of Schedule 3 to the </w:t>
      </w:r>
      <w:r>
        <w:rPr>
          <w:i/>
          <w:iCs/>
        </w:rPr>
        <w:t>Customs Tariff Act 1995</w:t>
      </w:r>
      <w:r>
        <w:t xml:space="preserve"> deals with petroleum products.</w:t>
      </w:r>
    </w:p>
    <w:p w:rsidR="00000000" w:rsidRDefault="008979D9">
      <w:pPr>
        <w:pStyle w:val="indentii"/>
      </w:pPr>
      <w:r>
        <w:tab/>
        <w:t>(ii)</w:t>
      </w:r>
      <w:r>
        <w:tab/>
        <w:t>the additional amount of customs duty on goods falling to subheadings of Chapte</w:t>
      </w:r>
      <w:r>
        <w:t xml:space="preserve">r 27 of Schedule 3 to the </w:t>
      </w:r>
      <w:r>
        <w:rPr>
          <w:i/>
          <w:iCs/>
        </w:rPr>
        <w:t>Customs Tariff Act 1995</w:t>
      </w:r>
      <w:r>
        <w:t xml:space="preserve"> that the CEO estimates to be likely to be collected during the month of June 1999 because of a Commonwealth surcharge; and</w:t>
      </w:r>
    </w:p>
    <w:p w:rsidR="00000000" w:rsidRDefault="008979D9">
      <w:pPr>
        <w:pStyle w:val="indentii"/>
      </w:pPr>
      <w:r>
        <w:tab/>
        <w:t>(iii)</w:t>
      </w:r>
      <w:r>
        <w:tab/>
        <w:t xml:space="preserve">the additional amount of excise duty on goods falling to items 11 and 12 of </w:t>
      </w:r>
      <w:r>
        <w:t xml:space="preserve">the Schedule to the </w:t>
      </w:r>
      <w:r>
        <w:rPr>
          <w:i/>
          <w:iCs/>
        </w:rPr>
        <w:t>Excise Tariff Act 1921</w:t>
      </w:r>
      <w:r>
        <w:t xml:space="preserve"> that was collected during the pre</w:t>
      </w:r>
      <w:r>
        <w:noBreakHyphen/>
        <w:t>1 June period because of a Commonwealth surcharge; and</w:t>
      </w:r>
    </w:p>
    <w:p w:rsidR="00000000" w:rsidRDefault="008979D9">
      <w:pPr>
        <w:pStyle w:val="notepara"/>
      </w:pPr>
      <w:r>
        <w:t>Note:</w:t>
      </w:r>
      <w:r>
        <w:tab/>
        <w:t xml:space="preserve">Items 11 and 12 of the Schedule to the </w:t>
      </w:r>
      <w:r>
        <w:rPr>
          <w:i/>
          <w:iCs/>
        </w:rPr>
        <w:t>Excise Tariff Act 1921</w:t>
      </w:r>
      <w:r>
        <w:t xml:space="preserve"> deals with petroleum products.</w:t>
      </w:r>
    </w:p>
    <w:p w:rsidR="00000000" w:rsidRDefault="008979D9">
      <w:pPr>
        <w:pStyle w:val="indentii"/>
      </w:pPr>
      <w:r>
        <w:tab/>
        <w:t>(iv)</w:t>
      </w:r>
      <w:r>
        <w:tab/>
        <w:t>the additional amou</w:t>
      </w:r>
      <w:r>
        <w:t xml:space="preserve">nt of excise duty on goods falling to items 11 and 12 of the Schedule to the </w:t>
      </w:r>
      <w:r>
        <w:rPr>
          <w:i/>
          <w:iCs/>
        </w:rPr>
        <w:t>Excise Tariff Act 1921</w:t>
      </w:r>
      <w:r>
        <w:t xml:space="preserve"> that the CEO estimates to be likely to be collected during the month of June 1999 because of a Commonwealth surcharge;</w:t>
      </w:r>
    </w:p>
    <w:p w:rsidR="00000000" w:rsidRDefault="008979D9">
      <w:pPr>
        <w:pStyle w:val="indenta"/>
      </w:pPr>
      <w:r>
        <w:tab/>
        <w:t>(b)</w:t>
      </w:r>
      <w:r>
        <w:tab/>
        <w:t>if the June 1998 PBA amount exce</w:t>
      </w:r>
      <w:r>
        <w:t>eds the June 1998 PBA estimate amount—the amount of the excess;</w:t>
      </w:r>
    </w:p>
    <w:p w:rsidR="00000000" w:rsidRDefault="008979D9">
      <w:pPr>
        <w:pStyle w:val="subsection2"/>
      </w:pPr>
      <w:r>
        <w:t>less the sum of:</w:t>
      </w:r>
    </w:p>
    <w:p w:rsidR="00000000" w:rsidRDefault="008979D9">
      <w:pPr>
        <w:pStyle w:val="indenta"/>
      </w:pPr>
      <w:r>
        <w:tab/>
        <w:t>(c)</w:t>
      </w:r>
      <w:r>
        <w:tab/>
        <w:t>if the June 1998 PBA estimate amount exceeds the June 1998 PBA amount—the amount of the excess; and</w:t>
      </w:r>
    </w:p>
    <w:p w:rsidR="00000000" w:rsidRDefault="008979D9">
      <w:pPr>
        <w:pStyle w:val="indenta"/>
      </w:pPr>
      <w:r>
        <w:lastRenderedPageBreak/>
        <w:tab/>
        <w:t>(d)</w:t>
      </w:r>
      <w:r>
        <w:tab/>
        <w:t>the amount determined by the CEO to be the additional administrat</w:t>
      </w:r>
      <w:r>
        <w:t>ive costs incurred by the Commonwealth in the grant year because of those surcharges.</w:t>
      </w:r>
    </w:p>
    <w:p w:rsidR="00000000" w:rsidRDefault="008979D9">
      <w:pPr>
        <w:pStyle w:val="Definition"/>
      </w:pPr>
      <w:r>
        <w:rPr>
          <w:b/>
          <w:bCs/>
          <w:i/>
          <w:iCs/>
        </w:rPr>
        <w:t>PS</w:t>
      </w:r>
      <w:r>
        <w:t xml:space="preserve"> (petroleum share) for a State means:</w:t>
      </w:r>
    </w:p>
    <w:p w:rsidR="00000000" w:rsidRDefault="008979D9">
      <w:pPr>
        <w:pStyle w:val="indenta"/>
      </w:pPr>
      <w:r>
        <w:tab/>
        <w:t>(a)</w:t>
      </w:r>
      <w:r>
        <w:tab/>
        <w:t>if paragraph (b) does not apply—the number set out opposite the name of the State in the table at the end of this definition;</w:t>
      </w:r>
      <w:r>
        <w:t xml:space="preserve"> or</w:t>
      </w:r>
    </w:p>
    <w:p w:rsidR="00000000" w:rsidRDefault="008979D9">
      <w:pPr>
        <w:pStyle w:val="indenta"/>
      </w:pPr>
      <w:r>
        <w:tab/>
        <w:t>(b)</w:t>
      </w:r>
      <w:r>
        <w:tab/>
        <w:t>if the regulations prescribe a number as the petroleum share for each State for the purposes of this definition—the number so prescribed for the State.</w:t>
      </w:r>
    </w:p>
    <w:p w:rsidR="00000000" w:rsidRDefault="008979D9">
      <w:pPr>
        <w:pStyle w:val="Table"/>
      </w:pPr>
    </w:p>
    <w:tbl>
      <w:tblPr>
        <w:tblW w:w="0" w:type="auto"/>
        <w:tblInd w:w="1668" w:type="dxa"/>
        <w:tblLayout w:type="fixed"/>
        <w:tblLook w:val="0000" w:firstRow="0" w:lastRow="0" w:firstColumn="0" w:lastColumn="0" w:noHBand="0" w:noVBand="0"/>
      </w:tblPr>
      <w:tblGrid>
        <w:gridCol w:w="708"/>
        <w:gridCol w:w="2834"/>
        <w:gridCol w:w="1986"/>
      </w:tblGrid>
      <w:tr w:rsidR="00000000">
        <w:tblPrEx>
          <w:tblCellMar>
            <w:top w:w="0" w:type="dxa"/>
            <w:bottom w:w="0" w:type="dxa"/>
          </w:tblCellMar>
        </w:tblPrEx>
        <w:trPr>
          <w:cantSplit/>
          <w:tblHeader/>
        </w:trPr>
        <w:tc>
          <w:tcPr>
            <w:tcW w:w="5528" w:type="dxa"/>
            <w:gridSpan w:val="3"/>
            <w:tcBorders>
              <w:top w:val="single" w:sz="12" w:space="0" w:color="000000"/>
              <w:left w:val="nil"/>
              <w:bottom w:val="nil"/>
              <w:right w:val="nil"/>
            </w:tcBorders>
          </w:tcPr>
          <w:p w:rsidR="00000000" w:rsidRDefault="008979D9">
            <w:pPr>
              <w:pStyle w:val="Table"/>
              <w:keepNext/>
              <w:rPr>
                <w:b/>
                <w:bCs/>
              </w:rPr>
            </w:pPr>
            <w:r>
              <w:rPr>
                <w:b/>
                <w:bCs/>
              </w:rPr>
              <w:t>Revenue replacement payments—petroleum share</w:t>
            </w:r>
          </w:p>
        </w:tc>
      </w:tr>
      <w:tr w:rsidR="00000000">
        <w:tblPrEx>
          <w:tblCellMar>
            <w:top w:w="0" w:type="dxa"/>
            <w:left w:w="107" w:type="dxa"/>
            <w:bottom w:w="0" w:type="dxa"/>
            <w:right w:w="107" w:type="dxa"/>
          </w:tblCellMar>
        </w:tblPrEx>
        <w:trPr>
          <w:cantSplit/>
          <w:tblHeader/>
        </w:trPr>
        <w:tc>
          <w:tcPr>
            <w:tcW w:w="708" w:type="dxa"/>
            <w:tcBorders>
              <w:top w:val="single" w:sz="6" w:space="0" w:color="000000"/>
              <w:left w:val="nil"/>
              <w:bottom w:val="single" w:sz="12" w:space="0" w:color="auto"/>
              <w:right w:val="nil"/>
            </w:tcBorders>
          </w:tcPr>
          <w:p w:rsidR="00000000" w:rsidRDefault="008979D9">
            <w:pPr>
              <w:pStyle w:val="Table"/>
              <w:keepNext/>
              <w:rPr>
                <w:b/>
                <w:bCs/>
              </w:rPr>
            </w:pPr>
            <w:r>
              <w:rPr>
                <w:b/>
                <w:bCs/>
              </w:rPr>
              <w:t>Item</w:t>
            </w:r>
          </w:p>
        </w:tc>
        <w:tc>
          <w:tcPr>
            <w:tcW w:w="2834" w:type="dxa"/>
            <w:tcBorders>
              <w:top w:val="single" w:sz="6" w:space="0" w:color="000000"/>
              <w:left w:val="nil"/>
              <w:bottom w:val="single" w:sz="12" w:space="0" w:color="auto"/>
              <w:right w:val="nil"/>
            </w:tcBorders>
          </w:tcPr>
          <w:p w:rsidR="00000000" w:rsidRDefault="008979D9">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000000" w:rsidRDefault="008979D9">
            <w:pPr>
              <w:pStyle w:val="Table"/>
              <w:keepNext/>
              <w:jc w:val="center"/>
              <w:rPr>
                <w:b/>
                <w:bCs/>
              </w:rPr>
            </w:pPr>
            <w:r>
              <w:rPr>
                <w:b/>
                <w:bCs/>
              </w:rPr>
              <w:t>Petroleum share</w:t>
            </w:r>
          </w:p>
        </w:tc>
      </w:tr>
      <w:tr w:rsidR="00000000">
        <w:tblPrEx>
          <w:tblCellMar>
            <w:top w:w="0" w:type="dxa"/>
            <w:left w:w="107" w:type="dxa"/>
            <w:bottom w:w="0" w:type="dxa"/>
            <w:right w:w="107" w:type="dxa"/>
          </w:tblCellMar>
        </w:tblPrEx>
        <w:trPr>
          <w:cantSplit/>
        </w:trPr>
        <w:tc>
          <w:tcPr>
            <w:tcW w:w="708" w:type="dxa"/>
            <w:tcBorders>
              <w:top w:val="nil"/>
              <w:left w:val="nil"/>
              <w:bottom w:val="dotted" w:sz="6" w:space="0" w:color="auto"/>
              <w:right w:val="nil"/>
            </w:tcBorders>
          </w:tcPr>
          <w:p w:rsidR="00000000" w:rsidRDefault="008979D9">
            <w:pPr>
              <w:pStyle w:val="Table"/>
            </w:pPr>
            <w:r>
              <w:t>1</w:t>
            </w:r>
          </w:p>
        </w:tc>
        <w:tc>
          <w:tcPr>
            <w:tcW w:w="2834" w:type="dxa"/>
            <w:tcBorders>
              <w:top w:val="nil"/>
              <w:left w:val="nil"/>
              <w:bottom w:val="dotted" w:sz="6" w:space="0" w:color="auto"/>
              <w:right w:val="nil"/>
            </w:tcBorders>
          </w:tcPr>
          <w:p w:rsidR="00000000" w:rsidRDefault="008979D9">
            <w:pPr>
              <w:pStyle w:val="Table"/>
            </w:pPr>
            <w:r>
              <w:t>New South Wales</w:t>
            </w:r>
          </w:p>
        </w:tc>
        <w:tc>
          <w:tcPr>
            <w:tcW w:w="1985" w:type="dxa"/>
            <w:tcBorders>
              <w:top w:val="nil"/>
              <w:left w:val="nil"/>
              <w:bottom w:val="dotted" w:sz="6" w:space="0" w:color="auto"/>
              <w:right w:val="nil"/>
            </w:tcBorders>
          </w:tcPr>
          <w:p w:rsidR="00000000" w:rsidRDefault="008979D9">
            <w:pPr>
              <w:pStyle w:val="Table"/>
              <w:tabs>
                <w:tab w:val="decimal" w:pos="680"/>
              </w:tabs>
            </w:pPr>
            <w:r>
              <w:t>0.30039</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2</w:t>
            </w:r>
          </w:p>
        </w:tc>
        <w:tc>
          <w:tcPr>
            <w:tcW w:w="2834" w:type="dxa"/>
            <w:tcBorders>
              <w:top w:val="dotted" w:sz="6" w:space="0" w:color="auto"/>
              <w:left w:val="nil"/>
              <w:bottom w:val="dotted" w:sz="6" w:space="0" w:color="auto"/>
              <w:right w:val="nil"/>
            </w:tcBorders>
          </w:tcPr>
          <w:p w:rsidR="00000000" w:rsidRDefault="008979D9">
            <w:pPr>
              <w:pStyle w:val="Table"/>
            </w:pPr>
            <w:r>
              <w:t>Victoria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0.20153</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3</w:t>
            </w:r>
          </w:p>
        </w:tc>
        <w:tc>
          <w:tcPr>
            <w:tcW w:w="2834" w:type="dxa"/>
            <w:tcBorders>
              <w:top w:val="dotted" w:sz="6" w:space="0" w:color="auto"/>
              <w:left w:val="nil"/>
              <w:bottom w:val="dotted" w:sz="6" w:space="0" w:color="auto"/>
              <w:right w:val="nil"/>
            </w:tcBorders>
          </w:tcPr>
          <w:p w:rsidR="00000000" w:rsidRDefault="008979D9">
            <w:pPr>
              <w:pStyle w:val="Table"/>
            </w:pPr>
            <w:r>
              <w:t>Queensland</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0.19593</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4</w:t>
            </w:r>
          </w:p>
        </w:tc>
        <w:tc>
          <w:tcPr>
            <w:tcW w:w="2834" w:type="dxa"/>
            <w:tcBorders>
              <w:top w:val="dotted" w:sz="6" w:space="0" w:color="auto"/>
              <w:left w:val="nil"/>
              <w:bottom w:val="dotted" w:sz="6" w:space="0" w:color="auto"/>
              <w:right w:val="nil"/>
            </w:tcBorders>
          </w:tcPr>
          <w:p w:rsidR="00000000" w:rsidRDefault="008979D9">
            <w:pPr>
              <w:pStyle w:val="Table"/>
            </w:pPr>
            <w:r>
              <w:t>Western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0.17118</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5</w:t>
            </w:r>
          </w:p>
        </w:tc>
        <w:tc>
          <w:tcPr>
            <w:tcW w:w="2834" w:type="dxa"/>
            <w:tcBorders>
              <w:top w:val="dotted" w:sz="6" w:space="0" w:color="auto"/>
              <w:left w:val="nil"/>
              <w:bottom w:val="dotted" w:sz="6" w:space="0" w:color="auto"/>
              <w:right w:val="nil"/>
            </w:tcBorders>
          </w:tcPr>
          <w:p w:rsidR="00000000" w:rsidRDefault="008979D9">
            <w:pPr>
              <w:pStyle w:val="Table"/>
            </w:pPr>
            <w:r>
              <w:t>South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0.07549</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6</w:t>
            </w:r>
          </w:p>
        </w:tc>
        <w:tc>
          <w:tcPr>
            <w:tcW w:w="2834" w:type="dxa"/>
            <w:tcBorders>
              <w:top w:val="dotted" w:sz="6" w:space="0" w:color="auto"/>
              <w:left w:val="nil"/>
              <w:bottom w:val="dotted" w:sz="6" w:space="0" w:color="auto"/>
              <w:right w:val="nil"/>
            </w:tcBorders>
          </w:tcPr>
          <w:p w:rsidR="00000000" w:rsidRDefault="008979D9">
            <w:pPr>
              <w:pStyle w:val="Table"/>
            </w:pPr>
            <w:r>
              <w:t>Tasmania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0.02453</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7</w:t>
            </w:r>
          </w:p>
        </w:tc>
        <w:tc>
          <w:tcPr>
            <w:tcW w:w="2834" w:type="dxa"/>
            <w:tcBorders>
              <w:top w:val="dotted" w:sz="6" w:space="0" w:color="auto"/>
              <w:left w:val="nil"/>
              <w:bottom w:val="dotted" w:sz="6" w:space="0" w:color="auto"/>
              <w:right w:val="nil"/>
            </w:tcBorders>
          </w:tcPr>
          <w:p w:rsidR="00000000" w:rsidRDefault="008979D9">
            <w:pPr>
              <w:pStyle w:val="Table"/>
            </w:pPr>
            <w:r>
              <w:t>Australian Capital Territory</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0.01291</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single" w:sz="12" w:space="0" w:color="000000"/>
              <w:right w:val="nil"/>
            </w:tcBorders>
          </w:tcPr>
          <w:p w:rsidR="00000000" w:rsidRDefault="008979D9">
            <w:pPr>
              <w:pStyle w:val="Table"/>
            </w:pPr>
            <w:r>
              <w:t>8</w:t>
            </w:r>
          </w:p>
        </w:tc>
        <w:tc>
          <w:tcPr>
            <w:tcW w:w="2834" w:type="dxa"/>
            <w:tcBorders>
              <w:top w:val="dotted" w:sz="6" w:space="0" w:color="auto"/>
              <w:left w:val="nil"/>
              <w:bottom w:val="single" w:sz="12" w:space="0" w:color="000000"/>
              <w:right w:val="nil"/>
            </w:tcBorders>
          </w:tcPr>
          <w:p w:rsidR="00000000" w:rsidRDefault="008979D9">
            <w:pPr>
              <w:pStyle w:val="Table"/>
            </w:pPr>
            <w:r>
              <w:t>Northern Territory</w:t>
            </w:r>
          </w:p>
        </w:tc>
        <w:tc>
          <w:tcPr>
            <w:tcW w:w="1985" w:type="dxa"/>
            <w:tcBorders>
              <w:top w:val="dotted" w:sz="6" w:space="0" w:color="auto"/>
              <w:left w:val="nil"/>
              <w:bottom w:val="single" w:sz="12" w:space="0" w:color="000000"/>
              <w:right w:val="nil"/>
            </w:tcBorders>
          </w:tcPr>
          <w:p w:rsidR="00000000" w:rsidRDefault="008979D9">
            <w:pPr>
              <w:pStyle w:val="Table"/>
              <w:tabs>
                <w:tab w:val="decimal" w:pos="680"/>
              </w:tabs>
            </w:pPr>
            <w:r>
              <w:t>0.01804</w:t>
            </w:r>
          </w:p>
        </w:tc>
      </w:tr>
    </w:tbl>
    <w:p w:rsidR="00000000" w:rsidRDefault="008979D9">
      <w:pPr>
        <w:pStyle w:val="Definition"/>
      </w:pPr>
      <w:r>
        <w:rPr>
          <w:b/>
          <w:bCs/>
          <w:i/>
          <w:iCs/>
        </w:rPr>
        <w:t>TBA</w:t>
      </w:r>
      <w:r>
        <w:t xml:space="preserve"> (tobacco base amount) means the sum of:</w:t>
      </w:r>
    </w:p>
    <w:p w:rsidR="00000000" w:rsidRDefault="008979D9">
      <w:pPr>
        <w:pStyle w:val="indenta"/>
      </w:pPr>
      <w:r>
        <w:tab/>
        <w:t>(a)</w:t>
      </w:r>
      <w:r>
        <w:tab/>
      </w:r>
      <w:r>
        <w:t>the amounts determined by the CEO, before 15 June 1999, to be:</w:t>
      </w:r>
    </w:p>
    <w:p w:rsidR="00000000" w:rsidRDefault="008979D9">
      <w:pPr>
        <w:pStyle w:val="indentii"/>
      </w:pPr>
      <w:r>
        <w:tab/>
        <w:t>(i)</w:t>
      </w:r>
      <w:r>
        <w:tab/>
        <w:t xml:space="preserve">the additional amount of customs duty on goods falling to subheadings of Chapter 24 of Schedule 3 to the </w:t>
      </w:r>
      <w:r>
        <w:rPr>
          <w:i/>
          <w:iCs/>
        </w:rPr>
        <w:t>Customs Tariff Act 1995</w:t>
      </w:r>
      <w:r>
        <w:t xml:space="preserve"> that was collected during the pre</w:t>
      </w:r>
      <w:r>
        <w:noBreakHyphen/>
        <w:t xml:space="preserve">1 June period because of </w:t>
      </w:r>
      <w:r>
        <w:t>a Commonwealth surcharge; and</w:t>
      </w:r>
    </w:p>
    <w:p w:rsidR="00000000" w:rsidRDefault="008979D9">
      <w:pPr>
        <w:pStyle w:val="notepara"/>
      </w:pPr>
      <w:r>
        <w:t>Note:</w:t>
      </w:r>
      <w:r>
        <w:tab/>
        <w:t xml:space="preserve">Chapter 24 of Schedule 3 to the </w:t>
      </w:r>
      <w:r>
        <w:rPr>
          <w:i/>
          <w:iCs/>
        </w:rPr>
        <w:t>Customs Tariff Act 1995</w:t>
      </w:r>
      <w:r>
        <w:t xml:space="preserve"> deals with tobacco and manufactured tobacco substitutes.</w:t>
      </w:r>
    </w:p>
    <w:p w:rsidR="00000000" w:rsidRDefault="008979D9">
      <w:pPr>
        <w:pStyle w:val="indentii"/>
      </w:pPr>
      <w:r>
        <w:tab/>
        <w:t>(ii)</w:t>
      </w:r>
      <w:r>
        <w:tab/>
        <w:t xml:space="preserve">the additional amount of customs duty on goods falling to subheadings of Chapter 24 of Schedule 3 to </w:t>
      </w:r>
      <w:r>
        <w:t xml:space="preserve">the </w:t>
      </w:r>
      <w:r>
        <w:rPr>
          <w:i/>
          <w:iCs/>
        </w:rPr>
        <w:t>Customs Tariff Act 1995</w:t>
      </w:r>
      <w:r>
        <w:t xml:space="preserve"> that the CEO estimates to be </w:t>
      </w:r>
      <w:r>
        <w:lastRenderedPageBreak/>
        <w:t>likely to be collected during the month of June 1999 because of a Commonwealth surcharge; and</w:t>
      </w:r>
    </w:p>
    <w:p w:rsidR="00000000" w:rsidRDefault="008979D9">
      <w:pPr>
        <w:pStyle w:val="indentii"/>
      </w:pPr>
      <w:r>
        <w:tab/>
        <w:t>(iii)</w:t>
      </w:r>
      <w:r>
        <w:tab/>
        <w:t xml:space="preserve">the additional amount of excise duty on goods falling to items 6, 7 and 8 of the Schedule to the </w:t>
      </w:r>
      <w:r>
        <w:rPr>
          <w:i/>
          <w:iCs/>
        </w:rPr>
        <w:t>E</w:t>
      </w:r>
      <w:r>
        <w:rPr>
          <w:i/>
          <w:iCs/>
        </w:rPr>
        <w:t>xcise Tariff Act 1921</w:t>
      </w:r>
      <w:r>
        <w:t xml:space="preserve"> that was collected during the pre</w:t>
      </w:r>
      <w:r>
        <w:noBreakHyphen/>
        <w:t>1 June period because of a Commonwealth surcharge; and</w:t>
      </w:r>
    </w:p>
    <w:p w:rsidR="00000000" w:rsidRDefault="008979D9">
      <w:pPr>
        <w:pStyle w:val="notepara"/>
      </w:pPr>
      <w:r>
        <w:t>Note:</w:t>
      </w:r>
      <w:r>
        <w:tab/>
        <w:t xml:space="preserve">Items 6, 7 and 8 of the Schedule to the </w:t>
      </w:r>
      <w:r>
        <w:rPr>
          <w:i/>
          <w:iCs/>
        </w:rPr>
        <w:t>Excise Tariff Act 1921</w:t>
      </w:r>
      <w:r>
        <w:t xml:space="preserve"> deal with tobacco, cigars and cigarettes.</w:t>
      </w:r>
    </w:p>
    <w:p w:rsidR="00000000" w:rsidRDefault="008979D9">
      <w:pPr>
        <w:pStyle w:val="indentii"/>
      </w:pPr>
      <w:r>
        <w:tab/>
        <w:t>(iv)</w:t>
      </w:r>
      <w:r>
        <w:tab/>
        <w:t>the additional amount of exc</w:t>
      </w:r>
      <w:r>
        <w:t xml:space="preserve">ise duty on goods falling to items 6, 7 and 8 of the Schedule to the </w:t>
      </w:r>
      <w:r>
        <w:rPr>
          <w:i/>
          <w:iCs/>
        </w:rPr>
        <w:t>Excise Tariff Act 1921</w:t>
      </w:r>
      <w:r>
        <w:t xml:space="preserve"> that the CEO estimates to be likely to be collected during the month of June 1999 because of a Commonwealth surcharge; and</w:t>
      </w:r>
    </w:p>
    <w:p w:rsidR="00000000" w:rsidRDefault="008979D9">
      <w:pPr>
        <w:pStyle w:val="indenta"/>
      </w:pPr>
      <w:r>
        <w:tab/>
        <w:t>(b)</w:t>
      </w:r>
      <w:r>
        <w:tab/>
        <w:t xml:space="preserve">if the June 1998 TBA amount exceeds </w:t>
      </w:r>
      <w:r>
        <w:t>the June 1998 TBA estimate amount—the amount of the excess;</w:t>
      </w:r>
    </w:p>
    <w:p w:rsidR="00000000" w:rsidRDefault="008979D9">
      <w:pPr>
        <w:pStyle w:val="subsection2"/>
      </w:pPr>
      <w:r>
        <w:t>less the sum of:</w:t>
      </w:r>
    </w:p>
    <w:p w:rsidR="00000000" w:rsidRDefault="008979D9">
      <w:pPr>
        <w:pStyle w:val="indenta"/>
      </w:pPr>
      <w:r>
        <w:tab/>
        <w:t>(c)</w:t>
      </w:r>
      <w:r>
        <w:tab/>
        <w:t>if the June 1998 TBA estimate amount exceeds the June 1998 TBA amount—the amount of the excess; and</w:t>
      </w:r>
    </w:p>
    <w:p w:rsidR="00000000" w:rsidRDefault="008979D9">
      <w:pPr>
        <w:pStyle w:val="indenta"/>
      </w:pPr>
      <w:r>
        <w:tab/>
        <w:t>(d)</w:t>
      </w:r>
      <w:r>
        <w:tab/>
        <w:t xml:space="preserve">the amount determined by the CEO to be the additional administrative </w:t>
      </w:r>
      <w:r>
        <w:t>costs incurred by the Commonwealth in the grant year because of those surcharges.</w:t>
      </w:r>
    </w:p>
    <w:p w:rsidR="00000000" w:rsidRDefault="008979D9">
      <w:pPr>
        <w:pStyle w:val="Definition"/>
      </w:pPr>
      <w:r>
        <w:rPr>
          <w:b/>
          <w:bCs/>
          <w:i/>
          <w:iCs/>
        </w:rPr>
        <w:t>TS</w:t>
      </w:r>
      <w:r>
        <w:t xml:space="preserve"> (tobacco share) for a State means:</w:t>
      </w:r>
    </w:p>
    <w:p w:rsidR="00000000" w:rsidRDefault="008979D9">
      <w:pPr>
        <w:pStyle w:val="indenta"/>
      </w:pPr>
      <w:r>
        <w:tab/>
        <w:t>(a)</w:t>
      </w:r>
      <w:r>
        <w:tab/>
        <w:t>if paragraph (b) does not apply—the number set out opposite the name of the State in the table at the end of this definition; or</w:t>
      </w:r>
    </w:p>
    <w:p w:rsidR="00000000" w:rsidRDefault="008979D9">
      <w:pPr>
        <w:pStyle w:val="indenta"/>
      </w:pPr>
      <w:r>
        <w:tab/>
        <w:t>(</w:t>
      </w:r>
      <w:r>
        <w:t>b)</w:t>
      </w:r>
      <w:r>
        <w:tab/>
        <w:t>if the regulations prescribe a number as the tobacco share for each State for the purposes of this definition—the number so prescribed for the State.</w:t>
      </w:r>
    </w:p>
    <w:p w:rsidR="00000000" w:rsidRDefault="008979D9">
      <w:pPr>
        <w:pStyle w:val="Table"/>
      </w:pPr>
    </w:p>
    <w:tbl>
      <w:tblPr>
        <w:tblW w:w="0" w:type="auto"/>
        <w:tblInd w:w="1668" w:type="dxa"/>
        <w:tblLayout w:type="fixed"/>
        <w:tblLook w:val="0000" w:firstRow="0" w:lastRow="0" w:firstColumn="0" w:lastColumn="0" w:noHBand="0" w:noVBand="0"/>
      </w:tblPr>
      <w:tblGrid>
        <w:gridCol w:w="708"/>
        <w:gridCol w:w="2834"/>
        <w:gridCol w:w="1986"/>
      </w:tblGrid>
      <w:tr w:rsidR="00000000">
        <w:tblPrEx>
          <w:tblCellMar>
            <w:top w:w="0" w:type="dxa"/>
            <w:bottom w:w="0" w:type="dxa"/>
          </w:tblCellMar>
        </w:tblPrEx>
        <w:trPr>
          <w:cantSplit/>
          <w:tblHeader/>
        </w:trPr>
        <w:tc>
          <w:tcPr>
            <w:tcW w:w="5528" w:type="dxa"/>
            <w:gridSpan w:val="3"/>
            <w:tcBorders>
              <w:top w:val="single" w:sz="12" w:space="0" w:color="000000"/>
              <w:left w:val="nil"/>
              <w:bottom w:val="nil"/>
              <w:right w:val="nil"/>
            </w:tcBorders>
          </w:tcPr>
          <w:p w:rsidR="00000000" w:rsidRDefault="008979D9">
            <w:pPr>
              <w:pStyle w:val="Table"/>
              <w:keepNext/>
              <w:rPr>
                <w:b/>
                <w:bCs/>
              </w:rPr>
            </w:pPr>
            <w:r>
              <w:rPr>
                <w:b/>
                <w:bCs/>
              </w:rPr>
              <w:t>Revenue replacement payments—tobacco share</w:t>
            </w:r>
          </w:p>
        </w:tc>
      </w:tr>
      <w:tr w:rsidR="00000000">
        <w:tblPrEx>
          <w:tblCellMar>
            <w:top w:w="0" w:type="dxa"/>
            <w:left w:w="107" w:type="dxa"/>
            <w:bottom w:w="0" w:type="dxa"/>
            <w:right w:w="107" w:type="dxa"/>
          </w:tblCellMar>
        </w:tblPrEx>
        <w:trPr>
          <w:cantSplit/>
          <w:tblHeader/>
        </w:trPr>
        <w:tc>
          <w:tcPr>
            <w:tcW w:w="708" w:type="dxa"/>
            <w:tcBorders>
              <w:top w:val="single" w:sz="6" w:space="0" w:color="000000"/>
              <w:left w:val="nil"/>
              <w:bottom w:val="single" w:sz="12" w:space="0" w:color="auto"/>
              <w:right w:val="nil"/>
            </w:tcBorders>
          </w:tcPr>
          <w:p w:rsidR="00000000" w:rsidRDefault="008979D9">
            <w:pPr>
              <w:pStyle w:val="Table"/>
              <w:keepNext/>
              <w:rPr>
                <w:b/>
                <w:bCs/>
              </w:rPr>
            </w:pPr>
            <w:r>
              <w:rPr>
                <w:b/>
                <w:bCs/>
              </w:rPr>
              <w:t>Item</w:t>
            </w:r>
          </w:p>
        </w:tc>
        <w:tc>
          <w:tcPr>
            <w:tcW w:w="2834" w:type="dxa"/>
            <w:tcBorders>
              <w:top w:val="single" w:sz="6" w:space="0" w:color="000000"/>
              <w:left w:val="nil"/>
              <w:bottom w:val="single" w:sz="12" w:space="0" w:color="auto"/>
              <w:right w:val="nil"/>
            </w:tcBorders>
          </w:tcPr>
          <w:p w:rsidR="00000000" w:rsidRDefault="008979D9">
            <w:pPr>
              <w:pStyle w:val="Table"/>
              <w:keepNext/>
              <w:rPr>
                <w:b/>
                <w:bCs/>
              </w:rPr>
            </w:pPr>
            <w:r>
              <w:rPr>
                <w:b/>
                <w:bCs/>
              </w:rPr>
              <w:t>State</w:t>
            </w:r>
          </w:p>
        </w:tc>
        <w:tc>
          <w:tcPr>
            <w:tcW w:w="1985" w:type="dxa"/>
            <w:tcBorders>
              <w:top w:val="single" w:sz="6" w:space="0" w:color="000000"/>
              <w:left w:val="nil"/>
              <w:bottom w:val="single" w:sz="12" w:space="0" w:color="auto"/>
              <w:right w:val="nil"/>
            </w:tcBorders>
          </w:tcPr>
          <w:p w:rsidR="00000000" w:rsidRDefault="008979D9">
            <w:pPr>
              <w:pStyle w:val="Table"/>
              <w:keepNext/>
              <w:jc w:val="center"/>
              <w:rPr>
                <w:b/>
                <w:bCs/>
              </w:rPr>
            </w:pPr>
            <w:r>
              <w:rPr>
                <w:b/>
                <w:bCs/>
              </w:rPr>
              <w:t>Tobacco share</w:t>
            </w:r>
          </w:p>
        </w:tc>
      </w:tr>
      <w:tr w:rsidR="00000000">
        <w:tblPrEx>
          <w:tblCellMar>
            <w:top w:w="0" w:type="dxa"/>
            <w:left w:w="107" w:type="dxa"/>
            <w:bottom w:w="0" w:type="dxa"/>
            <w:right w:w="107" w:type="dxa"/>
          </w:tblCellMar>
        </w:tblPrEx>
        <w:trPr>
          <w:cantSplit/>
        </w:trPr>
        <w:tc>
          <w:tcPr>
            <w:tcW w:w="708" w:type="dxa"/>
            <w:tcBorders>
              <w:top w:val="nil"/>
              <w:left w:val="nil"/>
              <w:bottom w:val="dotted" w:sz="6" w:space="0" w:color="auto"/>
              <w:right w:val="nil"/>
            </w:tcBorders>
          </w:tcPr>
          <w:p w:rsidR="00000000" w:rsidRDefault="008979D9">
            <w:pPr>
              <w:pStyle w:val="Table"/>
            </w:pPr>
            <w:r>
              <w:t>1</w:t>
            </w:r>
          </w:p>
        </w:tc>
        <w:tc>
          <w:tcPr>
            <w:tcW w:w="2834" w:type="dxa"/>
            <w:tcBorders>
              <w:top w:val="nil"/>
              <w:left w:val="nil"/>
              <w:bottom w:val="dotted" w:sz="6" w:space="0" w:color="auto"/>
              <w:right w:val="nil"/>
            </w:tcBorders>
          </w:tcPr>
          <w:p w:rsidR="00000000" w:rsidRDefault="008979D9">
            <w:pPr>
              <w:pStyle w:val="Table"/>
            </w:pPr>
            <w:r>
              <w:t>New South Wales</w:t>
            </w:r>
          </w:p>
        </w:tc>
        <w:tc>
          <w:tcPr>
            <w:tcW w:w="1985" w:type="dxa"/>
            <w:tcBorders>
              <w:top w:val="nil"/>
              <w:left w:val="nil"/>
              <w:bottom w:val="dotted" w:sz="6" w:space="0" w:color="auto"/>
              <w:right w:val="nil"/>
            </w:tcBorders>
          </w:tcPr>
          <w:p w:rsidR="00000000" w:rsidRDefault="008979D9">
            <w:pPr>
              <w:pStyle w:val="Table"/>
              <w:tabs>
                <w:tab w:val="decimal" w:pos="680"/>
              </w:tabs>
            </w:pPr>
            <w:r>
              <w:t>0.32492</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2</w:t>
            </w:r>
          </w:p>
        </w:tc>
        <w:tc>
          <w:tcPr>
            <w:tcW w:w="2834" w:type="dxa"/>
            <w:tcBorders>
              <w:top w:val="dotted" w:sz="6" w:space="0" w:color="auto"/>
              <w:left w:val="nil"/>
              <w:bottom w:val="dotted" w:sz="6" w:space="0" w:color="auto"/>
              <w:right w:val="nil"/>
            </w:tcBorders>
          </w:tcPr>
          <w:p w:rsidR="00000000" w:rsidRDefault="008979D9">
            <w:pPr>
              <w:pStyle w:val="Table"/>
            </w:pPr>
            <w:r>
              <w:t>Victoria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0.21803</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3</w:t>
            </w:r>
          </w:p>
        </w:tc>
        <w:tc>
          <w:tcPr>
            <w:tcW w:w="2834" w:type="dxa"/>
            <w:tcBorders>
              <w:top w:val="dotted" w:sz="6" w:space="0" w:color="auto"/>
              <w:left w:val="nil"/>
              <w:bottom w:val="dotted" w:sz="6" w:space="0" w:color="auto"/>
              <w:right w:val="nil"/>
            </w:tcBorders>
          </w:tcPr>
          <w:p w:rsidR="00000000" w:rsidRDefault="008979D9">
            <w:pPr>
              <w:pStyle w:val="Table"/>
            </w:pPr>
            <w:r>
              <w:t>Queensland</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0.19065</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4</w:t>
            </w:r>
          </w:p>
        </w:tc>
        <w:tc>
          <w:tcPr>
            <w:tcW w:w="2834" w:type="dxa"/>
            <w:tcBorders>
              <w:top w:val="dotted" w:sz="6" w:space="0" w:color="auto"/>
              <w:left w:val="nil"/>
              <w:bottom w:val="dotted" w:sz="6" w:space="0" w:color="auto"/>
              <w:right w:val="nil"/>
            </w:tcBorders>
          </w:tcPr>
          <w:p w:rsidR="00000000" w:rsidRDefault="008979D9">
            <w:pPr>
              <w:pStyle w:val="Table"/>
            </w:pPr>
            <w:r>
              <w:t>Western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0.11100</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lastRenderedPageBreak/>
              <w:t>5</w:t>
            </w:r>
          </w:p>
        </w:tc>
        <w:tc>
          <w:tcPr>
            <w:tcW w:w="2834" w:type="dxa"/>
            <w:tcBorders>
              <w:top w:val="dotted" w:sz="6" w:space="0" w:color="auto"/>
              <w:left w:val="nil"/>
              <w:bottom w:val="dotted" w:sz="6" w:space="0" w:color="auto"/>
              <w:right w:val="nil"/>
            </w:tcBorders>
          </w:tcPr>
          <w:p w:rsidR="00000000" w:rsidRDefault="008979D9">
            <w:pPr>
              <w:pStyle w:val="Table"/>
            </w:pPr>
            <w:r>
              <w:t>South Australia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0.08988</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6</w:t>
            </w:r>
          </w:p>
        </w:tc>
        <w:tc>
          <w:tcPr>
            <w:tcW w:w="2834" w:type="dxa"/>
            <w:tcBorders>
              <w:top w:val="dotted" w:sz="6" w:space="0" w:color="auto"/>
              <w:left w:val="nil"/>
              <w:bottom w:val="dotted" w:sz="6" w:space="0" w:color="auto"/>
              <w:right w:val="nil"/>
            </w:tcBorders>
          </w:tcPr>
          <w:p w:rsidR="00000000" w:rsidRDefault="008979D9">
            <w:pPr>
              <w:pStyle w:val="Table"/>
            </w:pPr>
            <w:r>
              <w:t>Tasmania</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0.03226</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dotted" w:sz="6" w:space="0" w:color="auto"/>
              <w:right w:val="nil"/>
            </w:tcBorders>
          </w:tcPr>
          <w:p w:rsidR="00000000" w:rsidRDefault="008979D9">
            <w:pPr>
              <w:pStyle w:val="Table"/>
            </w:pPr>
            <w:r>
              <w:t>7</w:t>
            </w:r>
          </w:p>
        </w:tc>
        <w:tc>
          <w:tcPr>
            <w:tcW w:w="2834" w:type="dxa"/>
            <w:tcBorders>
              <w:top w:val="dotted" w:sz="6" w:space="0" w:color="auto"/>
              <w:left w:val="nil"/>
              <w:bottom w:val="dotted" w:sz="6" w:space="0" w:color="auto"/>
              <w:right w:val="nil"/>
            </w:tcBorders>
          </w:tcPr>
          <w:p w:rsidR="00000000" w:rsidRDefault="008979D9">
            <w:pPr>
              <w:pStyle w:val="Table"/>
            </w:pPr>
            <w:r>
              <w:t>Australian Capital Territory</w:t>
            </w:r>
          </w:p>
        </w:tc>
        <w:tc>
          <w:tcPr>
            <w:tcW w:w="1985" w:type="dxa"/>
            <w:tcBorders>
              <w:top w:val="dotted" w:sz="6" w:space="0" w:color="auto"/>
              <w:left w:val="nil"/>
              <w:bottom w:val="dotted" w:sz="6" w:space="0" w:color="auto"/>
              <w:right w:val="nil"/>
            </w:tcBorders>
          </w:tcPr>
          <w:p w:rsidR="00000000" w:rsidRDefault="008979D9">
            <w:pPr>
              <w:pStyle w:val="Table"/>
              <w:tabs>
                <w:tab w:val="decimal" w:pos="680"/>
              </w:tabs>
            </w:pPr>
            <w:r>
              <w:t>0.01456</w:t>
            </w:r>
          </w:p>
        </w:tc>
      </w:tr>
      <w:tr w:rsidR="00000000">
        <w:tblPrEx>
          <w:tblCellMar>
            <w:top w:w="0" w:type="dxa"/>
            <w:left w:w="107" w:type="dxa"/>
            <w:bottom w:w="0" w:type="dxa"/>
            <w:right w:w="107" w:type="dxa"/>
          </w:tblCellMar>
        </w:tblPrEx>
        <w:trPr>
          <w:cantSplit/>
        </w:trPr>
        <w:tc>
          <w:tcPr>
            <w:tcW w:w="708" w:type="dxa"/>
            <w:tcBorders>
              <w:top w:val="dotted" w:sz="6" w:space="0" w:color="auto"/>
              <w:left w:val="nil"/>
              <w:bottom w:val="single" w:sz="12" w:space="0" w:color="000000"/>
              <w:right w:val="nil"/>
            </w:tcBorders>
          </w:tcPr>
          <w:p w:rsidR="00000000" w:rsidRDefault="008979D9">
            <w:pPr>
              <w:pStyle w:val="Table"/>
            </w:pPr>
            <w:r>
              <w:t>8</w:t>
            </w:r>
          </w:p>
        </w:tc>
        <w:tc>
          <w:tcPr>
            <w:tcW w:w="2834" w:type="dxa"/>
            <w:tcBorders>
              <w:top w:val="dotted" w:sz="6" w:space="0" w:color="auto"/>
              <w:left w:val="nil"/>
              <w:bottom w:val="single" w:sz="12" w:space="0" w:color="000000"/>
              <w:right w:val="nil"/>
            </w:tcBorders>
          </w:tcPr>
          <w:p w:rsidR="00000000" w:rsidRDefault="008979D9">
            <w:pPr>
              <w:pStyle w:val="Table"/>
            </w:pPr>
            <w:r>
              <w:t>Northern Territory</w:t>
            </w:r>
          </w:p>
        </w:tc>
        <w:tc>
          <w:tcPr>
            <w:tcW w:w="1985" w:type="dxa"/>
            <w:tcBorders>
              <w:top w:val="dotted" w:sz="6" w:space="0" w:color="auto"/>
              <w:left w:val="nil"/>
              <w:bottom w:val="single" w:sz="12" w:space="0" w:color="000000"/>
              <w:right w:val="nil"/>
            </w:tcBorders>
          </w:tcPr>
          <w:p w:rsidR="00000000" w:rsidRDefault="008979D9">
            <w:pPr>
              <w:pStyle w:val="Table"/>
              <w:tabs>
                <w:tab w:val="decimal" w:pos="680"/>
              </w:tabs>
            </w:pPr>
            <w:r>
              <w:t>0.01870</w:t>
            </w:r>
          </w:p>
        </w:tc>
      </w:tr>
    </w:tbl>
    <w:p w:rsidR="00000000" w:rsidRDefault="008979D9">
      <w:pPr>
        <w:pStyle w:val="Subsection"/>
      </w:pPr>
      <w:bookmarkStart w:id="151" w:name="_Toc420825151"/>
      <w:bookmarkStart w:id="152" w:name="_Toc421425107"/>
      <w:bookmarkStart w:id="153" w:name="_Toc421597110"/>
      <w:bookmarkStart w:id="154" w:name="_Toc421597730"/>
      <w:bookmarkStart w:id="155" w:name="_Toc422101872"/>
      <w:r>
        <w:tab/>
        <w:t>(2)</w:t>
      </w:r>
      <w:r>
        <w:tab/>
      </w:r>
      <w:r>
        <w:t>In determining, for the purposes of subclause (1), the additional amount of customs duty or excise duty that was collected, or is likely to be collected, during a particular period because of a Commonwealth surcharge, the CEO is to take into account the im</w:t>
      </w:r>
      <w:r>
        <w:t>pact of the operation of:</w:t>
      </w:r>
    </w:p>
    <w:p w:rsidR="00000000" w:rsidRDefault="008979D9">
      <w:pPr>
        <w:pStyle w:val="indenta"/>
      </w:pPr>
      <w:r>
        <w:tab/>
        <w:t>(a)</w:t>
      </w:r>
      <w:r>
        <w:tab/>
        <w:t xml:space="preserve">section 19 of the </w:t>
      </w:r>
      <w:r>
        <w:rPr>
          <w:i/>
          <w:iCs/>
        </w:rPr>
        <w:t>Customs Tariff Act 1995</w:t>
      </w:r>
      <w:r>
        <w:t>; or</w:t>
      </w:r>
    </w:p>
    <w:p w:rsidR="00000000" w:rsidRDefault="008979D9">
      <w:pPr>
        <w:pStyle w:val="indenta"/>
      </w:pPr>
      <w:r>
        <w:tab/>
        <w:t>(b)</w:t>
      </w:r>
      <w:r>
        <w:tab/>
        <w:t xml:space="preserve">section 6A of the </w:t>
      </w:r>
      <w:r>
        <w:rPr>
          <w:i/>
          <w:iCs/>
        </w:rPr>
        <w:t>Excise Tariff Act 1921</w:t>
      </w:r>
      <w:r>
        <w:t>;</w:t>
      </w:r>
    </w:p>
    <w:p w:rsidR="00000000" w:rsidRDefault="008979D9">
      <w:pPr>
        <w:pStyle w:val="subsection2"/>
      </w:pPr>
      <w:r>
        <w:t>as the case requires.</w:t>
      </w:r>
    </w:p>
    <w:p w:rsidR="00000000" w:rsidRDefault="008979D9">
      <w:pPr>
        <w:pStyle w:val="notetext"/>
      </w:pPr>
      <w:r>
        <w:t>Note:</w:t>
      </w:r>
      <w:r>
        <w:tab/>
        <w:t xml:space="preserve">Section 19 of the </w:t>
      </w:r>
      <w:r>
        <w:rPr>
          <w:i/>
          <w:iCs/>
        </w:rPr>
        <w:t>Customs Tariff Act 1995</w:t>
      </w:r>
      <w:r>
        <w:t xml:space="preserve"> and section 6A of the </w:t>
      </w:r>
      <w:r>
        <w:rPr>
          <w:i/>
          <w:iCs/>
        </w:rPr>
        <w:t>Excise Tariff Act 1921</w:t>
      </w:r>
      <w:r>
        <w:t xml:space="preserve"> provide for the a</w:t>
      </w:r>
      <w:r>
        <w:t>utomatic indexation of certain rates of duty which include rates payable on tobacco etc. and petroleum products.</w:t>
      </w:r>
    </w:p>
    <w:p w:rsidR="00000000" w:rsidRDefault="008979D9">
      <w:pPr>
        <w:pStyle w:val="Heading5"/>
      </w:pPr>
      <w:bookmarkStart w:id="156" w:name="_Toc422644241"/>
      <w:bookmarkStart w:id="157" w:name="_Toc423142133"/>
      <w:bookmarkStart w:id="158" w:name="_Toc434046892"/>
      <w:bookmarkStart w:id="159" w:name="_Toc434725738"/>
      <w:bookmarkStart w:id="160" w:name="_Toc434995264"/>
      <w:bookmarkStart w:id="161" w:name="_Toc434997449"/>
      <w:r>
        <w:rPr>
          <w:rStyle w:val="CharSectno"/>
        </w:rPr>
        <w:t>6</w:t>
      </w:r>
      <w:r>
        <w:t xml:space="preserve">  Franchise fees windfall tax reimbursement payments</w:t>
      </w:r>
      <w:bookmarkEnd w:id="151"/>
      <w:bookmarkEnd w:id="152"/>
      <w:bookmarkEnd w:id="153"/>
      <w:bookmarkEnd w:id="154"/>
      <w:bookmarkEnd w:id="155"/>
      <w:bookmarkEnd w:id="156"/>
      <w:bookmarkEnd w:id="157"/>
      <w:bookmarkEnd w:id="158"/>
      <w:bookmarkEnd w:id="159"/>
      <w:bookmarkEnd w:id="160"/>
      <w:bookmarkEnd w:id="161"/>
    </w:p>
    <w:p w:rsidR="00000000" w:rsidRDefault="008979D9">
      <w:pPr>
        <w:pStyle w:val="Subsection"/>
      </w:pPr>
      <w:r>
        <w:tab/>
      </w:r>
      <w:r>
        <w:tab/>
        <w:t>For the purposes of section 11B, the franchise fees windfall tax reimbursement payment to be made to a State is equal to t</w:t>
      </w:r>
      <w:r>
        <w:t>he sum of the amounts determined by the Commissioner, before 22 June 1999, to be:</w:t>
      </w:r>
    </w:p>
    <w:p w:rsidR="00000000" w:rsidRDefault="008979D9">
      <w:pPr>
        <w:pStyle w:val="indenta"/>
      </w:pPr>
      <w:r>
        <w:tab/>
        <w:t>(a)</w:t>
      </w:r>
      <w:r>
        <w:tab/>
        <w:t xml:space="preserve">the total of the amounts of tax collected, and remitted to the Commissioner, by the State under the </w:t>
      </w:r>
      <w:r>
        <w:rPr>
          <w:i/>
          <w:iCs/>
        </w:rPr>
        <w:t>Franchise Fees Windfall Tax (Collection) Act 1997</w:t>
      </w:r>
      <w:r>
        <w:t xml:space="preserve"> during the period b</w:t>
      </w:r>
      <w:r>
        <w:t>eginning at the beginning of 1 July 1998 and ending at the end of 21 June 1999; and</w:t>
      </w:r>
    </w:p>
    <w:p w:rsidR="00000000" w:rsidRDefault="008979D9">
      <w:pPr>
        <w:pStyle w:val="indenta"/>
      </w:pPr>
      <w:r>
        <w:tab/>
        <w:t>(b)</w:t>
      </w:r>
      <w:r>
        <w:tab/>
        <w:t>the total of the amounts of tax likely to be collected, and remitted to the Commissioner, by the State under that Act during the month of June 1999.</w:t>
      </w:r>
    </w:p>
    <w:p w:rsidR="00000000" w:rsidRDefault="008979D9">
      <w:pPr>
        <w:pStyle w:val="Heading5"/>
      </w:pPr>
      <w:bookmarkStart w:id="162" w:name="_Toc420825152"/>
      <w:bookmarkStart w:id="163" w:name="_Toc421425108"/>
      <w:bookmarkStart w:id="164" w:name="_Toc421597111"/>
      <w:bookmarkStart w:id="165" w:name="_Toc421597731"/>
      <w:bookmarkStart w:id="166" w:name="_Toc422101873"/>
      <w:bookmarkStart w:id="167" w:name="_Toc422644242"/>
      <w:bookmarkStart w:id="168" w:name="_Toc423142134"/>
      <w:bookmarkStart w:id="169" w:name="_Toc434046893"/>
      <w:bookmarkStart w:id="170" w:name="_Toc434725739"/>
      <w:bookmarkStart w:id="171" w:name="_Toc434995265"/>
      <w:bookmarkStart w:id="172" w:name="_Toc434997450"/>
      <w:r>
        <w:rPr>
          <w:rStyle w:val="CharSectno"/>
        </w:rPr>
        <w:lastRenderedPageBreak/>
        <w:t>7</w:t>
      </w:r>
      <w:r>
        <w:t xml:space="preserve">  Special revenue assistance grants</w:t>
      </w:r>
      <w:bookmarkEnd w:id="162"/>
      <w:bookmarkEnd w:id="163"/>
      <w:bookmarkEnd w:id="164"/>
      <w:bookmarkEnd w:id="165"/>
      <w:bookmarkEnd w:id="166"/>
      <w:bookmarkEnd w:id="167"/>
      <w:bookmarkEnd w:id="168"/>
      <w:bookmarkEnd w:id="169"/>
      <w:bookmarkEnd w:id="170"/>
      <w:bookmarkEnd w:id="171"/>
      <w:bookmarkEnd w:id="172"/>
    </w:p>
    <w:p w:rsidR="00000000" w:rsidRDefault="008979D9">
      <w:pPr>
        <w:pStyle w:val="Subsection"/>
      </w:pPr>
      <w:r>
        <w:tab/>
      </w:r>
      <w:r>
        <w:tab/>
        <w:t xml:space="preserve">For the purposes of section 12, the </w:t>
      </w:r>
      <w:r>
        <w:rPr>
          <w:b/>
          <w:bCs/>
          <w:i/>
          <w:iCs/>
        </w:rPr>
        <w:t>base amount</w:t>
      </w:r>
      <w:r>
        <w:t xml:space="preserve"> for each State is zero.</w:t>
      </w:r>
    </w:p>
    <w:p w:rsidR="00000000" w:rsidRDefault="008979D9">
      <w:pPr>
        <w:pStyle w:val="Heading5"/>
      </w:pPr>
      <w:bookmarkStart w:id="173" w:name="_Toc420825153"/>
      <w:bookmarkStart w:id="174" w:name="_Toc421425109"/>
      <w:bookmarkStart w:id="175" w:name="_Toc421597112"/>
      <w:bookmarkStart w:id="176" w:name="_Toc421597732"/>
      <w:bookmarkStart w:id="177" w:name="_Toc422101874"/>
      <w:bookmarkStart w:id="178" w:name="_Toc422644243"/>
      <w:bookmarkStart w:id="179" w:name="_Toc423142135"/>
      <w:bookmarkStart w:id="180" w:name="_Toc434046894"/>
      <w:bookmarkStart w:id="181" w:name="_Toc434725740"/>
      <w:bookmarkStart w:id="182" w:name="_Toc434995266"/>
      <w:bookmarkStart w:id="183" w:name="_Toc434997451"/>
      <w:r>
        <w:rPr>
          <w:rStyle w:val="CharSectno"/>
        </w:rPr>
        <w:t>8</w:t>
      </w:r>
      <w:r>
        <w:t xml:space="preserve">  Competition payments</w:t>
      </w:r>
      <w:bookmarkEnd w:id="173"/>
      <w:bookmarkEnd w:id="174"/>
      <w:bookmarkEnd w:id="175"/>
      <w:bookmarkEnd w:id="176"/>
      <w:bookmarkEnd w:id="177"/>
      <w:bookmarkEnd w:id="178"/>
      <w:bookmarkEnd w:id="179"/>
      <w:bookmarkEnd w:id="180"/>
      <w:bookmarkEnd w:id="181"/>
      <w:bookmarkEnd w:id="182"/>
      <w:bookmarkEnd w:id="183"/>
    </w:p>
    <w:p w:rsidR="00000000" w:rsidRDefault="008979D9">
      <w:pPr>
        <w:pStyle w:val="Subsection"/>
      </w:pPr>
      <w:r>
        <w:tab/>
      </w:r>
      <w:r>
        <w:tab/>
        <w:t>For the purposes of section 12A, the maximum amount that may be paid to a Sta</w:t>
      </w:r>
      <w:r>
        <w:t>te is the amount worked out using the formula:</w:t>
      </w:r>
    </w:p>
    <w:p w:rsidR="00000000" w:rsidRDefault="008979D9">
      <w:pPr>
        <w:pStyle w:val="Formula"/>
      </w:pPr>
      <w:r>
        <w:rPr>
          <w:position w:val="-38"/>
          <w:sz w:val="20"/>
          <w:szCs w:val="20"/>
        </w:rPr>
        <w:object w:dxaOrig="1640" w:dyaOrig="860">
          <v:shape id="_x0000_i1031" type="#_x0000_t75" style="width:81.75pt;height:42.75pt" o:ole="">
            <v:imagedata r:id="rId32" o:title=""/>
          </v:shape>
          <o:OLEObject Type="Embed" ProgID="Word.Picture.8" ShapeID="_x0000_i1031" DrawAspect="Content" ObjectID="_1629894014" r:id="rId33"/>
        </w:object>
      </w:r>
    </w:p>
    <w:p w:rsidR="00000000" w:rsidRDefault="008979D9">
      <w:pPr>
        <w:pStyle w:val="subsection2"/>
      </w:pPr>
      <w:r>
        <w:t>where:</w:t>
      </w:r>
    </w:p>
    <w:p w:rsidR="00000000" w:rsidRDefault="008979D9">
      <w:pPr>
        <w:pStyle w:val="Definition"/>
      </w:pPr>
      <w:r>
        <w:rPr>
          <w:b/>
          <w:bCs/>
          <w:i/>
          <w:iCs/>
        </w:rPr>
        <w:t>BA</w:t>
      </w:r>
      <w:r>
        <w:t xml:space="preserve"> (base amount) means $213,138,038.</w:t>
      </w:r>
    </w:p>
    <w:p w:rsidR="00000000" w:rsidRDefault="008979D9">
      <w:pPr>
        <w:pStyle w:val="Definition"/>
      </w:pPr>
      <w:r>
        <w:rPr>
          <w:b/>
          <w:bCs/>
          <w:i/>
          <w:iCs/>
        </w:rPr>
        <w:t>IF</w:t>
      </w:r>
      <w:r>
        <w:t xml:space="preserve"> (index factor) means the index factor for the grant year.</w:t>
      </w:r>
    </w:p>
    <w:p w:rsidR="00000000" w:rsidRDefault="008979D9">
      <w:pPr>
        <w:pStyle w:val="Definition"/>
      </w:pPr>
      <w:r>
        <w:rPr>
          <w:b/>
          <w:bCs/>
          <w:i/>
          <w:iCs/>
        </w:rPr>
        <w:t>SP</w:t>
      </w:r>
      <w:r>
        <w:t xml:space="preserve"> (State population) means the estimated population of the State on 31 December 1998.</w:t>
      </w:r>
    </w:p>
    <w:p w:rsidR="00000000" w:rsidRDefault="008979D9">
      <w:pPr>
        <w:pStyle w:val="Definition"/>
      </w:pPr>
      <w:r>
        <w:rPr>
          <w:b/>
          <w:bCs/>
          <w:i/>
          <w:iCs/>
        </w:rPr>
        <w:t>TP</w:t>
      </w:r>
      <w:r>
        <w:t xml:space="preserve"> (total population) means the sum of the estimated populations of all States on 31 December 1998.</w:t>
      </w:r>
    </w:p>
    <w:p w:rsidR="00000000" w:rsidRDefault="008979D9">
      <w:pPr>
        <w:pStyle w:val="Heading5"/>
      </w:pPr>
      <w:bookmarkStart w:id="184" w:name="_Toc420825154"/>
      <w:bookmarkStart w:id="185" w:name="_Toc421425110"/>
      <w:bookmarkStart w:id="186" w:name="_Toc421597113"/>
      <w:bookmarkStart w:id="187" w:name="_Toc421597733"/>
      <w:bookmarkStart w:id="188" w:name="_Toc422101875"/>
      <w:bookmarkStart w:id="189" w:name="_Toc422644244"/>
      <w:bookmarkStart w:id="190" w:name="_Toc423142136"/>
      <w:bookmarkStart w:id="191" w:name="_Toc434046895"/>
      <w:bookmarkStart w:id="192" w:name="_Toc434725741"/>
      <w:bookmarkStart w:id="193" w:name="_Toc434995267"/>
      <w:bookmarkStart w:id="194" w:name="_Toc434997452"/>
      <w:r>
        <w:rPr>
          <w:rStyle w:val="CharSectno"/>
        </w:rPr>
        <w:t>9</w:t>
      </w:r>
      <w:r>
        <w:t xml:space="preserve">  State fiscal contribution</w:t>
      </w:r>
      <w:bookmarkEnd w:id="184"/>
      <w:bookmarkEnd w:id="185"/>
      <w:bookmarkEnd w:id="186"/>
      <w:bookmarkEnd w:id="187"/>
      <w:bookmarkEnd w:id="188"/>
      <w:bookmarkEnd w:id="189"/>
      <w:bookmarkEnd w:id="190"/>
      <w:bookmarkEnd w:id="191"/>
      <w:bookmarkEnd w:id="192"/>
      <w:bookmarkEnd w:id="193"/>
      <w:bookmarkEnd w:id="194"/>
    </w:p>
    <w:p w:rsidR="00000000" w:rsidRDefault="008979D9">
      <w:pPr>
        <w:pStyle w:val="Subsection"/>
      </w:pPr>
      <w:r>
        <w:tab/>
        <w:t>(1)</w:t>
      </w:r>
      <w:r>
        <w:tab/>
      </w:r>
      <w:r>
        <w:t>For the purposes of section 15C, the amount of fiscal contribution payable by a State is as follows:</w:t>
      </w:r>
    </w:p>
    <w:p w:rsidR="00000000" w:rsidRDefault="008979D9">
      <w:pPr>
        <w:pStyle w:val="indenta"/>
      </w:pPr>
      <w:r>
        <w:tab/>
        <w:t>(a)</w:t>
      </w:r>
      <w:r>
        <w:tab/>
        <w:t>for a State other than Tasmania or the Australian Capital Territory—the amount worked out using the following formula:</w:t>
      </w:r>
    </w:p>
    <w:p w:rsidR="00000000" w:rsidRDefault="008979D9">
      <w:pPr>
        <w:pStyle w:val="Formula"/>
        <w:ind w:left="1644"/>
      </w:pPr>
      <w:r>
        <w:rPr>
          <w:position w:val="-38"/>
          <w:sz w:val="20"/>
          <w:szCs w:val="20"/>
        </w:rPr>
        <w:object w:dxaOrig="1080" w:dyaOrig="860">
          <v:shape id="_x0000_i1032" type="#_x0000_t75" style="width:54pt;height:42.75pt" o:ole="">
            <v:imagedata r:id="rId34" o:title=""/>
          </v:shape>
          <o:OLEObject Type="Embed" ProgID="Word.Picture.8" ShapeID="_x0000_i1032" DrawAspect="Content" ObjectID="_1629894015" r:id="rId35"/>
        </w:object>
      </w:r>
    </w:p>
    <w:p w:rsidR="00000000" w:rsidRDefault="008979D9">
      <w:pPr>
        <w:pStyle w:val="indenta"/>
      </w:pPr>
      <w:r>
        <w:tab/>
        <w:t>(</w:t>
      </w:r>
      <w:r>
        <w:t>b)</w:t>
      </w:r>
      <w:r>
        <w:tab/>
        <w:t>for Tasmania or the Australian Capital Territory—the amount worked out using the formula:</w:t>
      </w:r>
    </w:p>
    <w:p w:rsidR="00000000" w:rsidRDefault="008979D9">
      <w:pPr>
        <w:pStyle w:val="Formula"/>
        <w:ind w:left="1644"/>
      </w:pPr>
      <w:r>
        <w:rPr>
          <w:position w:val="-40"/>
          <w:sz w:val="20"/>
          <w:szCs w:val="20"/>
        </w:rPr>
        <w:object w:dxaOrig="2820" w:dyaOrig="920">
          <v:shape id="_x0000_i1033" type="#_x0000_t75" style="width:141pt;height:45.75pt" o:ole="">
            <v:imagedata r:id="rId36" o:title=""/>
          </v:shape>
          <o:OLEObject Type="Embed" ProgID="Word.Picture.8" ShapeID="_x0000_i1033" DrawAspect="Content" ObjectID="_1629894016" r:id="rId37"/>
        </w:object>
      </w:r>
    </w:p>
    <w:p w:rsidR="00000000" w:rsidRDefault="008979D9">
      <w:pPr>
        <w:pStyle w:val="notepara"/>
      </w:pPr>
      <w:r>
        <w:lastRenderedPageBreak/>
        <w:t>Note:</w:t>
      </w:r>
      <w:r>
        <w:tab/>
        <w:t>In 1997</w:t>
      </w:r>
      <w:r>
        <w:noBreakHyphen/>
        <w:t>98, one half of the scheduled fiscal contributions of Tasmania and the ACT were deferred to 1998</w:t>
      </w:r>
      <w:r>
        <w:noBreakHyphen/>
        <w:t>99.</w:t>
      </w:r>
    </w:p>
    <w:p w:rsidR="00000000" w:rsidRDefault="008979D9">
      <w:pPr>
        <w:pStyle w:val="Subsection"/>
      </w:pPr>
      <w:r>
        <w:tab/>
        <w:t>(2)</w:t>
      </w:r>
      <w:r>
        <w:tab/>
        <w:t>In this clause</w:t>
      </w:r>
      <w:r>
        <w:t>:</w:t>
      </w:r>
    </w:p>
    <w:p w:rsidR="00000000" w:rsidRDefault="008979D9">
      <w:pPr>
        <w:pStyle w:val="Definition"/>
      </w:pPr>
      <w:r>
        <w:rPr>
          <w:b/>
          <w:bCs/>
          <w:i/>
          <w:iCs/>
        </w:rPr>
        <w:t>BA</w:t>
      </w:r>
      <w:r>
        <w:t xml:space="preserve"> (base amount) means $300,000,000.</w:t>
      </w:r>
    </w:p>
    <w:p w:rsidR="00000000" w:rsidRDefault="008979D9">
      <w:pPr>
        <w:pStyle w:val="Definition"/>
      </w:pPr>
      <w:r>
        <w:rPr>
          <w:b/>
          <w:bCs/>
          <w:i/>
          <w:iCs/>
        </w:rPr>
        <w:t>FC1997</w:t>
      </w:r>
      <w:r>
        <w:rPr>
          <w:b/>
          <w:bCs/>
          <w:i/>
          <w:iCs/>
        </w:rPr>
        <w:noBreakHyphen/>
        <w:t>98</w:t>
      </w:r>
      <w:r>
        <w:t xml:space="preserve"> means the amount of the 1997</w:t>
      </w:r>
      <w:r>
        <w:noBreakHyphen/>
        <w:t>98 fiscal contribution worked out using the formula set out in paragraph 9(1)(b) of Schedule 4 to this Act.</w:t>
      </w:r>
    </w:p>
    <w:p w:rsidR="00000000" w:rsidRDefault="008979D9">
      <w:pPr>
        <w:pStyle w:val="Definition"/>
      </w:pPr>
      <w:r>
        <w:rPr>
          <w:b/>
          <w:bCs/>
          <w:i/>
          <w:iCs/>
        </w:rPr>
        <w:t>SP</w:t>
      </w:r>
      <w:r>
        <w:t xml:space="preserve"> (state population) means the estimated population of the State on 3</w:t>
      </w:r>
      <w:r>
        <w:t>1 December 1998.</w:t>
      </w:r>
    </w:p>
    <w:p w:rsidR="00000000" w:rsidRDefault="008979D9">
      <w:pPr>
        <w:pStyle w:val="Definition"/>
      </w:pPr>
      <w:r>
        <w:rPr>
          <w:b/>
          <w:bCs/>
          <w:i/>
          <w:iCs/>
        </w:rPr>
        <w:t>TP</w:t>
      </w:r>
      <w:r>
        <w:t xml:space="preserve"> (total population) means the estimated populations of all States on 31 December 1998.</w:t>
      </w:r>
    </w:p>
    <w:p w:rsidR="00000000" w:rsidRDefault="008979D9"/>
    <w:p w:rsidR="00000000" w:rsidRDefault="008979D9">
      <w:pPr>
        <w:pBdr>
          <w:top w:val="single" w:sz="6" w:space="1" w:color="auto"/>
        </w:pBdr>
      </w:pPr>
    </w:p>
    <w:p w:rsidR="00000000" w:rsidRDefault="008979D9">
      <w:pPr>
        <w:rPr>
          <w:i/>
          <w:iCs/>
          <w:sz w:val="24"/>
          <w:szCs w:val="24"/>
        </w:rPr>
      </w:pPr>
      <w:r>
        <w:rPr>
          <w:sz w:val="24"/>
          <w:szCs w:val="24"/>
        </w:rPr>
        <w:t>[</w:t>
      </w:r>
      <w:r>
        <w:rPr>
          <w:i/>
          <w:iCs/>
          <w:sz w:val="24"/>
          <w:szCs w:val="24"/>
        </w:rPr>
        <w:t>Minister’s second reading speech made in—</w:t>
      </w:r>
    </w:p>
    <w:p w:rsidR="00000000" w:rsidRDefault="008979D9">
      <w:pPr>
        <w:rPr>
          <w:i/>
          <w:iCs/>
          <w:sz w:val="24"/>
          <w:szCs w:val="24"/>
        </w:rPr>
      </w:pPr>
      <w:r>
        <w:rPr>
          <w:i/>
          <w:iCs/>
          <w:sz w:val="24"/>
          <w:szCs w:val="24"/>
        </w:rPr>
        <w:t>House of Representatives on 11 November 1998</w:t>
      </w:r>
    </w:p>
    <w:p w:rsidR="00000000" w:rsidRDefault="008979D9">
      <w:pPr>
        <w:rPr>
          <w:sz w:val="24"/>
          <w:szCs w:val="24"/>
        </w:rPr>
      </w:pPr>
      <w:r>
        <w:rPr>
          <w:i/>
          <w:iCs/>
          <w:sz w:val="24"/>
          <w:szCs w:val="24"/>
        </w:rPr>
        <w:t>Senate on 23 November 1998</w:t>
      </w:r>
      <w:r>
        <w:rPr>
          <w:sz w:val="24"/>
          <w:szCs w:val="24"/>
        </w:rPr>
        <w:t>]</w:t>
      </w:r>
    </w:p>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p w:rsidR="00000000" w:rsidRDefault="008979D9">
      <w:r>
        <w:t>(146/98)</w:t>
      </w:r>
    </w:p>
    <w:sectPr w:rsidR="00000000">
      <w:headerReference w:type="even" r:id="rId38"/>
      <w:headerReference w:type="default" r:id="rId39"/>
      <w:footerReference w:type="even" r:id="rId40"/>
      <w:footerReference w:type="default" r:id="rId41"/>
      <w:headerReference w:type="first" r:id="rId42"/>
      <w:footerReference w:type="first" r:id="rId43"/>
      <w:pgSz w:w="11906" w:h="16838" w:code="9"/>
      <w:pgMar w:top="1871" w:right="2410" w:bottom="3544" w:left="2410" w:header="720" w:footer="411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79D9">
      <w:pPr>
        <w:spacing w:line="240" w:lineRule="auto"/>
      </w:pPr>
      <w:r>
        <w:separator/>
      </w:r>
    </w:p>
  </w:endnote>
  <w:endnote w:type="continuationSeparator" w:id="0">
    <w:p w:rsidR="00000000" w:rsidRDefault="00897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9" w:rsidRDefault="008979D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Bdr>
        <w:top w:val="single" w:sz="6" w:space="1" w:color="auto"/>
      </w:pBdr>
      <w:rPr>
        <w:sz w:val="18"/>
        <w:szCs w:val="18"/>
      </w:rPr>
    </w:pPr>
  </w:p>
  <w:p w:rsidR="00000000" w:rsidRDefault="008979D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109,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9" w:rsidRDefault="00897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9" w:rsidRDefault="008979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Bdr>
        <w:top w:val="single" w:sz="6" w:space="1" w:color="auto"/>
      </w:pBdr>
      <w:rPr>
        <w:sz w:val="18"/>
        <w:szCs w:val="18"/>
      </w:rPr>
    </w:pPr>
  </w:p>
  <w:p w:rsidR="00000000" w:rsidRDefault="008979D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109,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iii</w:t>
    </w:r>
    <w:r>
      <w:rPr>
        <w:i/>
        <w:iCs/>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Bdr>
        <w:top w:val="single" w:sz="6" w:space="1" w:color="auto"/>
      </w:pBdr>
      <w:rPr>
        <w:sz w:val="18"/>
        <w:szCs w:val="18"/>
      </w:rPr>
    </w:pPr>
  </w:p>
  <w:p w:rsidR="00000000" w:rsidRDefault="008979D9">
    <w:pPr>
      <w:rPr>
        <w:i/>
        <w:iCs/>
        <w:sz w:val="18"/>
        <w:szCs w:val="18"/>
      </w:rPr>
    </w:pPr>
    <w:r>
      <w:rPr>
        <w:i/>
        <w:iCs/>
        <w:sz w:val="18"/>
        <w:szCs w:val="18"/>
      </w:rPr>
      <w:fldChar w:fldCharType="begin"/>
    </w:r>
    <w:r>
      <w:rPr>
        <w:i/>
        <w:iCs/>
        <w:sz w:val="18"/>
        <w:szCs w:val="18"/>
      </w:rPr>
      <w:instrText xml:space="preserve"> PAGE</w:instrText>
    </w:r>
    <w:r>
      <w:rPr>
        <w:i/>
        <w:iCs/>
        <w:sz w:val="18"/>
        <w:szCs w:val="18"/>
      </w:rPr>
      <w:instrText xml:space="preserv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109, 1998</w:t>
    </w:r>
    <w:r>
      <w:rPr>
        <w:i/>
        <w:iCs/>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Bdr>
        <w:top w:val="single" w:sz="6" w:space="1" w:color="auto"/>
      </w:pBdr>
      <w:jc w:val="right"/>
      <w:rPr>
        <w:sz w:val="18"/>
        <w:szCs w:val="18"/>
      </w:rPr>
    </w:pPr>
  </w:p>
  <w:p w:rsidR="00000000" w:rsidRDefault="008979D9">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109, 1998</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Bdr>
        <w:top w:val="single" w:sz="6" w:space="1" w:color="auto"/>
      </w:pBdr>
      <w:rPr>
        <w:sz w:val="18"/>
        <w:szCs w:val="18"/>
      </w:rPr>
    </w:pPr>
  </w:p>
  <w:p w:rsidR="00000000" w:rsidRDefault="008979D9">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States Grants (General Purposes) Amendment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109,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79D9">
      <w:pPr>
        <w:spacing w:line="240" w:lineRule="auto"/>
      </w:pPr>
      <w:r>
        <w:separator/>
      </w:r>
    </w:p>
  </w:footnote>
  <w:footnote w:type="continuationSeparator" w:id="0">
    <w:p w:rsidR="00000000" w:rsidRDefault="008979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9" w:rsidRDefault="008979D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D9" w:rsidRDefault="008979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Bdr>
        <w:bottom w:val="single" w:sz="12" w:space="1" w:color="auto"/>
      </w:pBdr>
      <w:spacing w:before="1000" w:line="24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pBdr>
        <w:bottom w:val="single" w:sz="12" w:space="1" w:color="auto"/>
      </w:pBdr>
      <w:spacing w:before="1000" w:line="240"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rPr>
        <w:sz w:val="20"/>
        <w:szCs w:val="20"/>
      </w:rPr>
    </w:pPr>
    <w:r>
      <w:rPr>
        <w:b/>
        <w:bCs/>
        <w:sz w:val="20"/>
        <w:szCs w:val="20"/>
      </w:rPr>
      <w:fldChar w:fldCharType="begin"/>
    </w:r>
    <w:r>
      <w:rPr>
        <w:b/>
        <w:bCs/>
        <w:sz w:val="20"/>
        <w:szCs w:val="20"/>
      </w:rPr>
      <w:instrText xml:space="preserve"> STYLEREF CharAmSchNo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Pr>
        <w:sz w:val="20"/>
        <w:szCs w:val="20"/>
      </w:rPr>
      <w:fldChar w:fldCharType="end"/>
    </w:r>
  </w:p>
  <w:p w:rsidR="00000000" w:rsidRDefault="008979D9">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000000" w:rsidRDefault="008979D9">
    <w:pPr>
      <w:pBdr>
        <w:bottom w:val="single" w:sz="6"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9D9">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Pr>
        <w:noProof/>
        <w:sz w:val="20"/>
        <w:szCs w:val="20"/>
      </w:rPr>
      <w:t>Amendment of the States Grants (General Purposes) Act 1994</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Pr>
        <w:b/>
        <w:bCs/>
        <w:noProof/>
        <w:sz w:val="20"/>
        <w:szCs w:val="20"/>
      </w:rPr>
      <w:t>Schedule 1</w:t>
    </w:r>
    <w:r>
      <w:rPr>
        <w:b/>
        <w:bCs/>
        <w:sz w:val="20"/>
        <w:szCs w:val="20"/>
      </w:rPr>
      <w:fldChar w:fldCharType="end"/>
    </w:r>
  </w:p>
  <w:p w:rsidR="00000000" w:rsidRDefault="008979D9">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000000" w:rsidRDefault="008979D9">
    <w:pPr>
      <w:pBdr>
        <w:bottom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422AD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AC"/>
    <w:rsid w:val="008979D9"/>
    <w:rsid w:val="00E15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Normal"/>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ind w:left="284" w:hanging="284"/>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Body"/>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Tables"/>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 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7088"/>
      </w:tabs>
      <w:spacing w:before="240" w:after="120"/>
      <w:ind w:left="2212" w:right="851" w:hanging="794"/>
    </w:pPr>
    <w:rPr>
      <w:b/>
      <w:bCs/>
      <w:kern w:val="0"/>
      <w:sz w:val="24"/>
      <w:szCs w:val="24"/>
    </w:rPr>
  </w:style>
  <w:style w:type="paragraph" w:customStyle="1" w:styleId="TofSectsSection">
    <w:name w:val="TofSects(Section)"/>
    <w:basedOn w:val="TOC5"/>
    <w:uiPriority w:val="99"/>
    <w:pPr>
      <w:tabs>
        <w:tab w:val="left" w:pos="851"/>
      </w:tabs>
      <w:ind w:left="1588" w:hanging="794"/>
    </w:pPr>
  </w:style>
  <w:style w:type="paragraph" w:customStyle="1" w:styleId="TofSectsSubdiv">
    <w:name w:val="TofSects(Subdiv)"/>
    <w:basedOn w:val="TOC4"/>
    <w:uiPriority w:val="99"/>
    <w:pPr>
      <w:tabs>
        <w:tab w:val="left" w:pos="1559"/>
      </w:tabs>
      <w:ind w:left="1588" w:hanging="794"/>
    </w:pPr>
    <w:rPr>
      <w:b w:val="0"/>
      <w:bCs w:val="0"/>
      <w:sz w:val="22"/>
      <w:szCs w:val="22"/>
    </w:rPr>
  </w:style>
  <w:style w:type="paragraph" w:styleId="DocumentMap">
    <w:name w:val="Document Map"/>
    <w:basedOn w:val="Normal"/>
    <w:link w:val="DocumentMapChar"/>
    <w:uiPriority w:val="99"/>
    <w:pPr>
      <w:shd w:val="clear" w:color="auto" w:fill="000088"/>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Normal"/>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ind w:left="284" w:hanging="284"/>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Body"/>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Tables"/>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 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7088"/>
      </w:tabs>
      <w:spacing w:before="240" w:after="120"/>
      <w:ind w:left="2212" w:right="851" w:hanging="794"/>
    </w:pPr>
    <w:rPr>
      <w:b/>
      <w:bCs/>
      <w:kern w:val="0"/>
      <w:sz w:val="24"/>
      <w:szCs w:val="24"/>
    </w:rPr>
  </w:style>
  <w:style w:type="paragraph" w:customStyle="1" w:styleId="TofSectsSection">
    <w:name w:val="TofSects(Section)"/>
    <w:basedOn w:val="TOC5"/>
    <w:uiPriority w:val="99"/>
    <w:pPr>
      <w:tabs>
        <w:tab w:val="left" w:pos="851"/>
      </w:tabs>
      <w:ind w:left="1588" w:hanging="794"/>
    </w:pPr>
  </w:style>
  <w:style w:type="paragraph" w:customStyle="1" w:styleId="TofSectsSubdiv">
    <w:name w:val="TofSects(Subdiv)"/>
    <w:basedOn w:val="TOC4"/>
    <w:uiPriority w:val="99"/>
    <w:pPr>
      <w:tabs>
        <w:tab w:val="left" w:pos="1559"/>
      </w:tabs>
      <w:ind w:left="1588" w:hanging="794"/>
    </w:pPr>
    <w:rPr>
      <w:b w:val="0"/>
      <w:bCs w:val="0"/>
      <w:sz w:val="22"/>
      <w:szCs w:val="22"/>
    </w:rPr>
  </w:style>
  <w:style w:type="paragraph" w:styleId="DocumentMap">
    <w:name w:val="Document Map"/>
    <w:basedOn w:val="Normal"/>
    <w:link w:val="DocumentMapChar"/>
    <w:uiPriority w:val="99"/>
    <w:pPr>
      <w:shd w:val="clear" w:color="auto" w:fill="000088"/>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wmf"/><Relationship Id="rId39"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image" Target="media/image6.wmf"/><Relationship Id="rId42"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header" Target="header8.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5.xml"/><Relationship Id="rId29" Type="http://schemas.openxmlformats.org/officeDocument/2006/relationships/oleObject" Target="embeddings/oleObject5.bin"/><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5.wmf"/><Relationship Id="rId37" Type="http://schemas.openxmlformats.org/officeDocument/2006/relationships/oleObject" Target="embeddings/oleObject9.bin"/><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wmf"/><Relationship Id="rId36" Type="http://schemas.openxmlformats.org/officeDocument/2006/relationships/image" Target="media/image7.wmf"/><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oleObject" Target="embeddings/oleObject6.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oleObject" Target="embeddings/oleObject4.bin"/><Relationship Id="rId30" Type="http://schemas.openxmlformats.org/officeDocument/2006/relationships/image" Target="media/image4.wmf"/><Relationship Id="rId35" Type="http://schemas.openxmlformats.org/officeDocument/2006/relationships/oleObject" Target="embeddings/oleObject8.bin"/><Relationship Id="rId43"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97\template.opc\Bills\Bill_A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Template>
  <TotalTime>1</TotalTime>
  <Pages>20</Pages>
  <Words>3322</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States Grants (General Purposes) Amendment Bill 1998</vt:lpstr>
    </vt:vector>
  </TitlesOfParts>
  <Company>Office of Parliamentary Counsel</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Grants (General Purposes) Amendment Bill 1998</dc:title>
  <dc:creator>Marina Farnan</dc:creator>
  <cp:lastModifiedBy>Purba, Wendy</cp:lastModifiedBy>
  <cp:revision>3</cp:revision>
  <cp:lastPrinted>1998-11-27T02:36:00Z</cp:lastPrinted>
  <dcterms:created xsi:type="dcterms:W3CDTF">2019-09-13T05:28:00Z</dcterms:created>
  <dcterms:modified xsi:type="dcterms:W3CDTF">2019-09-13T05:29:00Z</dcterms:modified>
</cp:coreProperties>
</file>