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8C8" w:rsidRDefault="009D16C9">
      <w:pPr>
        <w:spacing w:line="240" w:lineRule="auto"/>
      </w:pPr>
      <w:r>
        <w:rPr>
          <w:noProof/>
          <w:sz w:val="20"/>
          <w:szCs w:val="20"/>
        </w:rPr>
        <w:drawing>
          <wp:inline distT="0" distB="0" distL="0" distR="0" wp14:anchorId="6534E15B" wp14:editId="38B650C0">
            <wp:extent cx="1447800" cy="1066800"/>
            <wp:effectExtent l="0" t="0" r="0" b="0"/>
            <wp:docPr id="12" name="Picture 1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E468C8" w:rsidRDefault="00E468C8"/>
    <w:p w:rsidR="00E468C8" w:rsidRDefault="00E468C8"/>
    <w:p w:rsidR="00E468C8" w:rsidRDefault="00E468C8"/>
    <w:p w:rsidR="00E468C8" w:rsidRDefault="00E468C8"/>
    <w:p w:rsidR="00E468C8" w:rsidRDefault="0062711D">
      <w:pPr>
        <w:pStyle w:val="ShortT"/>
      </w:pPr>
      <w:r>
        <w:t>States Grants (General Purposes) Amendment Act 1999</w:t>
      </w:r>
    </w:p>
    <w:p w:rsidR="00E468C8" w:rsidRDefault="00E468C8"/>
    <w:p w:rsidR="00E468C8" w:rsidRDefault="0062711D">
      <w:pPr>
        <w:pStyle w:val="Actno"/>
        <w:spacing w:before="400"/>
      </w:pPr>
      <w:r>
        <w:t>No. 126, 1999</w:t>
      </w:r>
    </w:p>
    <w:p w:rsidR="00E468C8" w:rsidRDefault="00E468C8"/>
    <w:p w:rsidR="00E468C8" w:rsidRDefault="00E468C8"/>
    <w:p w:rsidR="00E468C8" w:rsidRDefault="00E468C8"/>
    <w:p w:rsidR="00E468C8" w:rsidRDefault="00E468C8"/>
    <w:p w:rsidR="00E468C8" w:rsidRDefault="0062711D">
      <w:pPr>
        <w:pStyle w:val="LongT"/>
        <w:outlineLvl w:val="0"/>
      </w:pPr>
      <w:r>
        <w:t xml:space="preserve">An Act to amend the </w:t>
      </w:r>
      <w:r>
        <w:rPr>
          <w:i/>
          <w:iCs/>
        </w:rPr>
        <w:t>States Grants (General Purposes) Act 1994</w:t>
      </w:r>
      <w:r>
        <w:t>, and for related purposes</w:t>
      </w:r>
    </w:p>
    <w:p w:rsidR="00E468C8" w:rsidRDefault="0062711D">
      <w:pPr>
        <w:pStyle w:val="Header"/>
      </w:pPr>
      <w:r>
        <w:rPr>
          <w:rStyle w:val="CharAmSchNo"/>
        </w:rPr>
        <w:t xml:space="preserve"> </w:t>
      </w:r>
      <w:r>
        <w:rPr>
          <w:rStyle w:val="CharAmSchText"/>
        </w:rPr>
        <w:t xml:space="preserve"> </w:t>
      </w:r>
    </w:p>
    <w:p w:rsidR="00E468C8" w:rsidRDefault="0062711D">
      <w:pPr>
        <w:pStyle w:val="Header"/>
      </w:pPr>
      <w:r>
        <w:rPr>
          <w:rStyle w:val="CharAmPartNo"/>
        </w:rPr>
        <w:t xml:space="preserve"> </w:t>
      </w:r>
      <w:r>
        <w:rPr>
          <w:rStyle w:val="CharAmPartText"/>
        </w:rPr>
        <w:t xml:space="preserve"> </w:t>
      </w:r>
    </w:p>
    <w:p w:rsidR="00E468C8" w:rsidRDefault="00E468C8">
      <w:pPr>
        <w:sectPr w:rsidR="00E468C8">
          <w:headerReference w:type="even" r:id="rId8"/>
          <w:headerReference w:type="default" r:id="rId9"/>
          <w:footerReference w:type="even" r:id="rId10"/>
          <w:footerReference w:type="default" r:id="rId11"/>
          <w:pgSz w:w="11906" w:h="16838" w:code="9"/>
          <w:pgMar w:top="1418" w:right="2410" w:bottom="4252" w:left="2410" w:header="709" w:footer="3402" w:gutter="0"/>
          <w:cols w:space="709"/>
        </w:sectPr>
      </w:pPr>
    </w:p>
    <w:p w:rsidR="00E468C8" w:rsidRDefault="0062711D">
      <w:pPr>
        <w:outlineLvl w:val="0"/>
        <w:rPr>
          <w:sz w:val="36"/>
          <w:szCs w:val="36"/>
        </w:rPr>
      </w:pPr>
      <w:r>
        <w:rPr>
          <w:sz w:val="36"/>
          <w:szCs w:val="36"/>
        </w:rPr>
        <w:lastRenderedPageBreak/>
        <w:t>Contents</w:t>
      </w:r>
    </w:p>
    <w:p w:rsidR="00E468C8" w:rsidRDefault="0062711D">
      <w:pPr>
        <w:pStyle w:val="TOC5"/>
        <w:rPr>
          <w:noProof/>
        </w:rPr>
      </w:pPr>
      <w:r>
        <w:fldChar w:fldCharType="begin"/>
      </w:r>
      <w:r>
        <w:instrText xml:space="preserve"> TOC \o "1-9" </w:instrText>
      </w:r>
      <w:r>
        <w:fldChar w:fldCharType="separate"/>
      </w:r>
      <w:r>
        <w:rPr>
          <w:noProof/>
        </w:rPr>
        <w:t>1</w:t>
      </w:r>
      <w:r>
        <w:rPr>
          <w:noProof/>
        </w:rPr>
        <w:tab/>
        <w:t>Short title</w:t>
      </w:r>
      <w:r>
        <w:rPr>
          <w:noProof/>
        </w:rPr>
        <w:tab/>
      </w:r>
      <w:r>
        <w:rPr>
          <w:noProof/>
        </w:rPr>
        <w:fldChar w:fldCharType="begin"/>
      </w:r>
      <w:r>
        <w:rPr>
          <w:noProof/>
        </w:rPr>
        <w:instrText xml:space="preserve"> PAGEREF _Toc453383457 \h </w:instrText>
      </w:r>
      <w:r>
        <w:rPr>
          <w:noProof/>
        </w:rPr>
      </w:r>
      <w:r>
        <w:rPr>
          <w:noProof/>
        </w:rPr>
        <w:fldChar w:fldCharType="separate"/>
      </w:r>
      <w:r>
        <w:rPr>
          <w:noProof/>
        </w:rPr>
        <w:t>1</w:t>
      </w:r>
      <w:r>
        <w:rPr>
          <w:noProof/>
        </w:rPr>
        <w:fldChar w:fldCharType="end"/>
      </w:r>
    </w:p>
    <w:p w:rsidR="00E468C8" w:rsidRDefault="0062711D">
      <w:pPr>
        <w:pStyle w:val="TOC5"/>
        <w:rPr>
          <w:noProof/>
        </w:rPr>
      </w:pPr>
      <w:r>
        <w:rPr>
          <w:noProof/>
        </w:rPr>
        <w:t>2</w:t>
      </w:r>
      <w:r>
        <w:rPr>
          <w:noProof/>
        </w:rPr>
        <w:tab/>
        <w:t>Commencement</w:t>
      </w:r>
      <w:r>
        <w:rPr>
          <w:noProof/>
        </w:rPr>
        <w:tab/>
      </w:r>
      <w:r>
        <w:rPr>
          <w:noProof/>
        </w:rPr>
        <w:fldChar w:fldCharType="begin"/>
      </w:r>
      <w:r>
        <w:rPr>
          <w:noProof/>
        </w:rPr>
        <w:instrText xml:space="preserve"> PAGEREF _Toc453383458 \h </w:instrText>
      </w:r>
      <w:r>
        <w:rPr>
          <w:noProof/>
        </w:rPr>
      </w:r>
      <w:r>
        <w:rPr>
          <w:noProof/>
        </w:rPr>
        <w:fldChar w:fldCharType="separate"/>
      </w:r>
      <w:r>
        <w:rPr>
          <w:noProof/>
        </w:rPr>
        <w:t>1</w:t>
      </w:r>
      <w:r>
        <w:rPr>
          <w:noProof/>
        </w:rPr>
        <w:fldChar w:fldCharType="end"/>
      </w:r>
    </w:p>
    <w:p w:rsidR="00E468C8" w:rsidRDefault="0062711D">
      <w:pPr>
        <w:pStyle w:val="TOC5"/>
        <w:rPr>
          <w:noProof/>
        </w:rPr>
      </w:pPr>
      <w:r>
        <w:rPr>
          <w:noProof/>
        </w:rPr>
        <w:t>3</w:t>
      </w:r>
      <w:r>
        <w:rPr>
          <w:noProof/>
        </w:rPr>
        <w:tab/>
        <w:t>Schedule(s)</w:t>
      </w:r>
      <w:r>
        <w:rPr>
          <w:noProof/>
        </w:rPr>
        <w:tab/>
      </w:r>
      <w:r>
        <w:rPr>
          <w:noProof/>
        </w:rPr>
        <w:fldChar w:fldCharType="begin"/>
      </w:r>
      <w:r>
        <w:rPr>
          <w:noProof/>
        </w:rPr>
        <w:instrText xml:space="preserve"> PAGEREF _Toc453383459 \h </w:instrText>
      </w:r>
      <w:r>
        <w:rPr>
          <w:noProof/>
        </w:rPr>
      </w:r>
      <w:r>
        <w:rPr>
          <w:noProof/>
        </w:rPr>
        <w:fldChar w:fldCharType="separate"/>
      </w:r>
      <w:r>
        <w:rPr>
          <w:noProof/>
        </w:rPr>
        <w:t>2</w:t>
      </w:r>
      <w:r>
        <w:rPr>
          <w:noProof/>
        </w:rPr>
        <w:fldChar w:fldCharType="end"/>
      </w:r>
    </w:p>
    <w:p w:rsidR="00E468C8" w:rsidRDefault="0062711D">
      <w:pPr>
        <w:pStyle w:val="TOC6"/>
        <w:rPr>
          <w:noProof/>
        </w:rPr>
      </w:pPr>
      <w:r>
        <w:rPr>
          <w:noProof/>
        </w:rPr>
        <w:t>Schedule 1—States Grants (General Purposes) Act 1994</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_Toc453383460 \h </w:instrText>
      </w:r>
      <w:r>
        <w:rPr>
          <w:b w:val="0"/>
          <w:bCs w:val="0"/>
          <w:noProof/>
          <w:sz w:val="18"/>
          <w:szCs w:val="18"/>
        </w:rPr>
      </w:r>
      <w:r>
        <w:rPr>
          <w:b w:val="0"/>
          <w:bCs w:val="0"/>
          <w:noProof/>
          <w:sz w:val="18"/>
          <w:szCs w:val="18"/>
        </w:rPr>
        <w:fldChar w:fldCharType="separate"/>
      </w:r>
      <w:r>
        <w:rPr>
          <w:b w:val="0"/>
          <w:bCs w:val="0"/>
          <w:noProof/>
          <w:sz w:val="18"/>
          <w:szCs w:val="18"/>
        </w:rPr>
        <w:t>3</w:t>
      </w:r>
      <w:r>
        <w:rPr>
          <w:b w:val="0"/>
          <w:bCs w:val="0"/>
          <w:noProof/>
          <w:sz w:val="18"/>
          <w:szCs w:val="18"/>
        </w:rPr>
        <w:fldChar w:fldCharType="end"/>
      </w:r>
    </w:p>
    <w:p w:rsidR="00E468C8" w:rsidRDefault="0062711D">
      <w:r>
        <w:fldChar w:fldCharType="end"/>
      </w:r>
    </w:p>
    <w:p w:rsidR="00E468C8" w:rsidRDefault="00E468C8">
      <w:pPr>
        <w:sectPr w:rsidR="00E468C8">
          <w:headerReference w:type="even" r:id="rId12"/>
          <w:headerReference w:type="default" r:id="rId13"/>
          <w:footerReference w:type="even" r:id="rId14"/>
          <w:footerReference w:type="default" r:id="rId15"/>
          <w:pgSz w:w="11906" w:h="16838" w:code="9"/>
          <w:pgMar w:top="2381" w:right="2410" w:bottom="4252" w:left="2410" w:header="709" w:footer="3402" w:gutter="0"/>
          <w:pgNumType w:fmt="lowerRoman" w:start="1"/>
          <w:cols w:space="709"/>
        </w:sectPr>
      </w:pPr>
    </w:p>
    <w:p w:rsidR="00E468C8" w:rsidRDefault="009D16C9">
      <w:pPr>
        <w:spacing w:line="240" w:lineRule="auto"/>
      </w:pPr>
      <w:r>
        <w:rPr>
          <w:noProof/>
          <w:sz w:val="20"/>
          <w:szCs w:val="20"/>
        </w:rPr>
        <w:lastRenderedPageBreak/>
        <w:drawing>
          <wp:inline distT="0" distB="0" distL="0" distR="0" wp14:anchorId="6534E15B" wp14:editId="38B650C0">
            <wp:extent cx="1447800" cy="1066800"/>
            <wp:effectExtent l="0" t="0" r="0" b="0"/>
            <wp:docPr id="3" name="Picture 3"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E468C8" w:rsidRDefault="0062711D">
      <w:pPr>
        <w:spacing w:before="800" w:line="240" w:lineRule="auto"/>
        <w:rPr>
          <w:b/>
          <w:bCs/>
          <w:sz w:val="40"/>
          <w:szCs w:val="40"/>
        </w:rPr>
      </w:pPr>
      <w:r>
        <w:rPr>
          <w:b/>
          <w:bCs/>
          <w:sz w:val="40"/>
          <w:szCs w:val="40"/>
        </w:rPr>
        <w:fldChar w:fldCharType="begin"/>
      </w:r>
      <w:r>
        <w:rPr>
          <w:b/>
          <w:bCs/>
          <w:sz w:val="40"/>
          <w:szCs w:val="40"/>
        </w:rPr>
        <w:instrText xml:space="preserve"> STYLEREF ShortT </w:instrText>
      </w:r>
      <w:r>
        <w:rPr>
          <w:b/>
          <w:bCs/>
          <w:sz w:val="40"/>
          <w:szCs w:val="40"/>
        </w:rPr>
        <w:fldChar w:fldCharType="separate"/>
      </w:r>
      <w:r>
        <w:rPr>
          <w:b/>
          <w:bCs/>
          <w:noProof/>
          <w:sz w:val="40"/>
          <w:szCs w:val="40"/>
        </w:rPr>
        <w:t>States Grants (General Purposes) Amendment Act 1999</w:t>
      </w:r>
      <w:r>
        <w:rPr>
          <w:b/>
          <w:bCs/>
          <w:sz w:val="40"/>
          <w:szCs w:val="40"/>
        </w:rPr>
        <w:fldChar w:fldCharType="end"/>
      </w:r>
    </w:p>
    <w:p w:rsidR="00E468C8" w:rsidRDefault="0062711D">
      <w:pPr>
        <w:spacing w:before="800" w:line="240" w:lineRule="auto"/>
        <w:rPr>
          <w:b/>
          <w:bCs/>
          <w:sz w:val="28"/>
          <w:szCs w:val="28"/>
        </w:rPr>
      </w:pPr>
      <w:r>
        <w:rPr>
          <w:b/>
          <w:bCs/>
          <w:sz w:val="28"/>
          <w:szCs w:val="28"/>
        </w:rPr>
        <w:fldChar w:fldCharType="begin"/>
      </w:r>
      <w:r>
        <w:rPr>
          <w:b/>
          <w:bCs/>
          <w:sz w:val="28"/>
          <w:szCs w:val="28"/>
        </w:rPr>
        <w:instrText xml:space="preserve"> STYLEREF Actno </w:instrText>
      </w:r>
      <w:r>
        <w:rPr>
          <w:b/>
          <w:bCs/>
          <w:sz w:val="28"/>
          <w:szCs w:val="28"/>
        </w:rPr>
        <w:fldChar w:fldCharType="separate"/>
      </w:r>
      <w:r>
        <w:rPr>
          <w:b/>
          <w:bCs/>
          <w:noProof/>
          <w:sz w:val="28"/>
          <w:szCs w:val="28"/>
        </w:rPr>
        <w:t>No. 126, 1999</w:t>
      </w:r>
      <w:r>
        <w:rPr>
          <w:b/>
          <w:bCs/>
          <w:sz w:val="28"/>
          <w:szCs w:val="28"/>
        </w:rPr>
        <w:fldChar w:fldCharType="end"/>
      </w:r>
    </w:p>
    <w:p w:rsidR="00E468C8" w:rsidRDefault="00E468C8">
      <w:pPr>
        <w:pBdr>
          <w:bottom w:val="single" w:sz="6" w:space="0" w:color="auto"/>
        </w:pBdr>
        <w:spacing w:before="400" w:line="240" w:lineRule="auto"/>
        <w:rPr>
          <w:b/>
          <w:bCs/>
          <w:sz w:val="28"/>
          <w:szCs w:val="28"/>
        </w:rPr>
      </w:pPr>
    </w:p>
    <w:p w:rsidR="00E468C8" w:rsidRDefault="00E468C8">
      <w:pPr>
        <w:spacing w:line="40" w:lineRule="exact"/>
        <w:rPr>
          <w:b/>
          <w:bCs/>
          <w:sz w:val="28"/>
          <w:szCs w:val="28"/>
        </w:rPr>
      </w:pPr>
    </w:p>
    <w:p w:rsidR="00E468C8" w:rsidRDefault="00E468C8">
      <w:pPr>
        <w:pBdr>
          <w:top w:val="single" w:sz="12" w:space="0" w:color="auto"/>
        </w:pBdr>
        <w:spacing w:line="240" w:lineRule="auto"/>
        <w:rPr>
          <w:b/>
          <w:bCs/>
          <w:sz w:val="28"/>
          <w:szCs w:val="28"/>
        </w:rPr>
      </w:pPr>
    </w:p>
    <w:p w:rsidR="00E468C8" w:rsidRDefault="006B33E8">
      <w:pPr>
        <w:pStyle w:val="Page1"/>
        <w:spacing w:before="240"/>
      </w:pPr>
      <w:r>
        <w:fldChar w:fldCharType="begin"/>
      </w:r>
      <w:r>
        <w:instrText xml:space="preserve"> STYLEREF LongT \* MERGEFORMAT </w:instrText>
      </w:r>
      <w:r>
        <w:fldChar w:fldCharType="separate"/>
      </w:r>
      <w:r w:rsidR="0062711D">
        <w:rPr>
          <w:noProof/>
        </w:rPr>
        <w:t xml:space="preserve">An Act to amend the </w:t>
      </w:r>
      <w:r w:rsidR="0062711D">
        <w:rPr>
          <w:i/>
          <w:iCs/>
          <w:noProof/>
        </w:rPr>
        <w:t>States Grants (General Purposes) Act 1994,</w:t>
      </w:r>
      <w:r w:rsidR="0062711D">
        <w:rPr>
          <w:noProof/>
        </w:rPr>
        <w:t xml:space="preserve"> and for related purposes</w:t>
      </w:r>
      <w:r>
        <w:rPr>
          <w:noProof/>
        </w:rPr>
        <w:fldChar w:fldCharType="end"/>
      </w:r>
    </w:p>
    <w:p w:rsidR="00E468C8" w:rsidRDefault="0062711D">
      <w:pPr>
        <w:spacing w:before="120"/>
      </w:pPr>
      <w:r>
        <w:t>[</w:t>
      </w:r>
      <w:r>
        <w:rPr>
          <w:i/>
          <w:iCs/>
        </w:rPr>
        <w:t>Assented to 13 October 1999</w:t>
      </w:r>
      <w:r>
        <w:t>]</w:t>
      </w:r>
    </w:p>
    <w:p w:rsidR="00E468C8" w:rsidRDefault="0062711D">
      <w:pPr>
        <w:spacing w:before="240" w:line="240" w:lineRule="auto"/>
        <w:outlineLvl w:val="0"/>
        <w:rPr>
          <w:sz w:val="32"/>
          <w:szCs w:val="32"/>
        </w:rPr>
      </w:pPr>
      <w:r>
        <w:rPr>
          <w:sz w:val="32"/>
          <w:szCs w:val="32"/>
        </w:rPr>
        <w:t>The Parliament of Australia enacts:</w:t>
      </w:r>
    </w:p>
    <w:p w:rsidR="00E468C8" w:rsidRDefault="0062711D">
      <w:pPr>
        <w:pStyle w:val="Heading5"/>
      </w:pPr>
      <w:bookmarkStart w:id="0" w:name="_Toc449340134"/>
      <w:bookmarkStart w:id="1" w:name="_Toc449341081"/>
      <w:bookmarkStart w:id="2" w:name="_Toc449349455"/>
      <w:bookmarkStart w:id="3" w:name="_Toc449413024"/>
      <w:bookmarkStart w:id="4" w:name="_Toc449416350"/>
      <w:bookmarkStart w:id="5" w:name="_Toc451743869"/>
      <w:bookmarkStart w:id="6" w:name="_Toc452883130"/>
      <w:bookmarkStart w:id="7" w:name="_Toc453383457"/>
      <w:r>
        <w:rPr>
          <w:rStyle w:val="CharSectno"/>
        </w:rPr>
        <w:t>1</w:t>
      </w:r>
      <w:r>
        <w:t xml:space="preserve">  Short title</w:t>
      </w:r>
      <w:bookmarkEnd w:id="0"/>
      <w:bookmarkEnd w:id="1"/>
      <w:bookmarkEnd w:id="2"/>
      <w:bookmarkEnd w:id="3"/>
      <w:bookmarkEnd w:id="4"/>
      <w:bookmarkEnd w:id="5"/>
      <w:bookmarkEnd w:id="6"/>
      <w:bookmarkEnd w:id="7"/>
    </w:p>
    <w:p w:rsidR="00E468C8" w:rsidRDefault="0062711D">
      <w:pPr>
        <w:pStyle w:val="Subsection"/>
      </w:pPr>
      <w:r>
        <w:tab/>
      </w:r>
      <w:r>
        <w:tab/>
        <w:t xml:space="preserve">This Act may be cited as the </w:t>
      </w:r>
      <w:r>
        <w:rPr>
          <w:i/>
          <w:iCs/>
        </w:rPr>
        <w:t>States Grants (General Purposes) Amendment Act 1999</w:t>
      </w:r>
      <w:r>
        <w:t>.</w:t>
      </w:r>
    </w:p>
    <w:p w:rsidR="00E468C8" w:rsidRDefault="0062711D">
      <w:pPr>
        <w:pStyle w:val="Heading5"/>
      </w:pPr>
      <w:bookmarkStart w:id="8" w:name="_Toc449340135"/>
      <w:bookmarkStart w:id="9" w:name="_Toc449341082"/>
      <w:bookmarkStart w:id="10" w:name="_Toc449349456"/>
      <w:bookmarkStart w:id="11" w:name="_Toc449413025"/>
      <w:bookmarkStart w:id="12" w:name="_Toc449416351"/>
      <w:bookmarkStart w:id="13" w:name="_Toc451743870"/>
      <w:bookmarkStart w:id="14" w:name="_Toc452883131"/>
      <w:bookmarkStart w:id="15" w:name="_Toc453383458"/>
      <w:r>
        <w:rPr>
          <w:rStyle w:val="CharSectno"/>
        </w:rPr>
        <w:t>2</w:t>
      </w:r>
      <w:r>
        <w:t xml:space="preserve">  Commencement</w:t>
      </w:r>
      <w:bookmarkEnd w:id="8"/>
      <w:bookmarkEnd w:id="9"/>
      <w:bookmarkEnd w:id="10"/>
      <w:bookmarkEnd w:id="11"/>
      <w:bookmarkEnd w:id="12"/>
      <w:bookmarkEnd w:id="13"/>
      <w:bookmarkEnd w:id="14"/>
      <w:bookmarkEnd w:id="15"/>
    </w:p>
    <w:p w:rsidR="00E468C8" w:rsidRDefault="0062711D">
      <w:pPr>
        <w:pStyle w:val="Subsection"/>
      </w:pPr>
      <w:r>
        <w:tab/>
      </w:r>
      <w:r>
        <w:tab/>
        <w:t>This Act commences on the day on which it receives the Royal Assent.</w:t>
      </w:r>
    </w:p>
    <w:p w:rsidR="00E468C8" w:rsidRDefault="0062711D">
      <w:pPr>
        <w:pStyle w:val="Heading5"/>
      </w:pPr>
      <w:bookmarkStart w:id="16" w:name="_Toc449340136"/>
      <w:bookmarkStart w:id="17" w:name="_Toc449341083"/>
      <w:bookmarkStart w:id="18" w:name="_Toc449349457"/>
      <w:bookmarkStart w:id="19" w:name="_Toc449413026"/>
      <w:bookmarkStart w:id="20" w:name="_Toc449416352"/>
      <w:bookmarkStart w:id="21" w:name="_Toc451743871"/>
      <w:bookmarkStart w:id="22" w:name="_Toc452883132"/>
      <w:bookmarkStart w:id="23" w:name="_Toc453383459"/>
      <w:r>
        <w:rPr>
          <w:rStyle w:val="CharSectno"/>
        </w:rPr>
        <w:lastRenderedPageBreak/>
        <w:t>3</w:t>
      </w:r>
      <w:r>
        <w:t xml:space="preserve">  Schedule(s)</w:t>
      </w:r>
      <w:bookmarkEnd w:id="16"/>
      <w:bookmarkEnd w:id="17"/>
      <w:bookmarkEnd w:id="18"/>
      <w:bookmarkEnd w:id="19"/>
      <w:bookmarkEnd w:id="20"/>
      <w:bookmarkEnd w:id="21"/>
      <w:bookmarkEnd w:id="22"/>
      <w:bookmarkEnd w:id="23"/>
    </w:p>
    <w:p w:rsidR="00E468C8" w:rsidRDefault="0062711D">
      <w:pPr>
        <w:pStyle w:val="Subsection"/>
      </w:pPr>
      <w:r>
        <w:tab/>
      </w:r>
      <w:r>
        <w:tab/>
        <w:t>Each Act that is specified in a Schedule to this Act is amended or repealed as set out in the applicable items in the Schedule concerned, and any other item in a Schedule to this Act has effect according to its terms.</w:t>
      </w:r>
    </w:p>
    <w:p w:rsidR="00E468C8" w:rsidRDefault="0062711D">
      <w:pPr>
        <w:pStyle w:val="PageBreak"/>
      </w:pPr>
      <w:r>
        <w:br w:type="page"/>
      </w:r>
    </w:p>
    <w:p w:rsidR="00E468C8" w:rsidRDefault="0062711D">
      <w:pPr>
        <w:pStyle w:val="Heading6"/>
      </w:pPr>
      <w:bookmarkStart w:id="24" w:name="_Toc449340137"/>
      <w:bookmarkStart w:id="25" w:name="_Toc449341084"/>
      <w:bookmarkStart w:id="26" w:name="_Toc449349458"/>
      <w:bookmarkStart w:id="27" w:name="_Toc449413027"/>
      <w:bookmarkStart w:id="28" w:name="_Toc449416353"/>
      <w:bookmarkStart w:id="29" w:name="_Toc451743872"/>
      <w:bookmarkStart w:id="30" w:name="_Toc452883133"/>
      <w:bookmarkStart w:id="31" w:name="_Toc453383460"/>
      <w:bookmarkStart w:id="32" w:name="AmSched"/>
      <w:bookmarkStart w:id="33" w:name="CurrentFind"/>
      <w:r>
        <w:rPr>
          <w:rStyle w:val="CharAmSchNo"/>
        </w:rPr>
        <w:lastRenderedPageBreak/>
        <w:t>Schedule 1</w:t>
      </w:r>
      <w:r>
        <w:t>—</w:t>
      </w:r>
      <w:r>
        <w:rPr>
          <w:rStyle w:val="CharAmSchText"/>
        </w:rPr>
        <w:t>States Grants (General Purposes) Act 1994</w:t>
      </w:r>
      <w:bookmarkEnd w:id="24"/>
      <w:bookmarkEnd w:id="25"/>
      <w:bookmarkEnd w:id="26"/>
      <w:bookmarkEnd w:id="27"/>
      <w:bookmarkEnd w:id="28"/>
      <w:bookmarkEnd w:id="29"/>
      <w:bookmarkEnd w:id="30"/>
      <w:bookmarkEnd w:id="31"/>
    </w:p>
    <w:bookmarkEnd w:id="32"/>
    <w:bookmarkEnd w:id="33"/>
    <w:p w:rsidR="00E468C8" w:rsidRDefault="0062711D">
      <w:pPr>
        <w:pStyle w:val="Header"/>
      </w:pPr>
      <w:r>
        <w:rPr>
          <w:rStyle w:val="CharAmPartNo"/>
        </w:rPr>
        <w:t xml:space="preserve"> </w:t>
      </w:r>
      <w:r>
        <w:rPr>
          <w:rStyle w:val="CharAmPartText"/>
        </w:rPr>
        <w:t xml:space="preserve"> </w:t>
      </w:r>
    </w:p>
    <w:p w:rsidR="00E468C8" w:rsidRDefault="0062711D">
      <w:pPr>
        <w:pStyle w:val="ItemHead"/>
      </w:pPr>
      <w:r>
        <w:t>1  At the end of the Act</w:t>
      </w:r>
    </w:p>
    <w:p w:rsidR="00E468C8" w:rsidRDefault="0062711D">
      <w:pPr>
        <w:pStyle w:val="Item"/>
      </w:pPr>
      <w:r>
        <w:t>Add:</w:t>
      </w:r>
    </w:p>
    <w:p w:rsidR="00E468C8" w:rsidRDefault="0062711D">
      <w:pPr>
        <w:pStyle w:val="Heading1"/>
        <w:spacing w:before="360"/>
      </w:pPr>
      <w:bookmarkStart w:id="34" w:name="_Toc420825145"/>
      <w:bookmarkStart w:id="35" w:name="_Toc421425101"/>
      <w:bookmarkStart w:id="36" w:name="_Toc421597104"/>
      <w:bookmarkStart w:id="37" w:name="_Toc421597724"/>
      <w:bookmarkStart w:id="38" w:name="_Toc422101866"/>
      <w:bookmarkStart w:id="39" w:name="_Toc422644235"/>
      <w:bookmarkStart w:id="40" w:name="_Toc423142127"/>
      <w:bookmarkStart w:id="41" w:name="_Toc434046886"/>
      <w:bookmarkStart w:id="42" w:name="_Toc434725732"/>
      <w:bookmarkStart w:id="43" w:name="_Toc434995258"/>
      <w:bookmarkStart w:id="44" w:name="_Toc434997443"/>
      <w:bookmarkStart w:id="45" w:name="_Toc449340138"/>
      <w:bookmarkStart w:id="46" w:name="_Toc449341085"/>
      <w:bookmarkStart w:id="47" w:name="_Toc449349459"/>
      <w:bookmarkStart w:id="48" w:name="_Toc449413028"/>
      <w:bookmarkStart w:id="49" w:name="_Toc449416354"/>
      <w:bookmarkStart w:id="50" w:name="_Toc451743873"/>
      <w:bookmarkStart w:id="51" w:name="_Toc452883134"/>
      <w:bookmarkStart w:id="52" w:name="_Toc453383461"/>
      <w:r>
        <w:rPr>
          <w:rStyle w:val="CharChapNo"/>
        </w:rPr>
        <w:t>Schedule 6</w:t>
      </w:r>
      <w:r>
        <w:t>—</w:t>
      </w:r>
      <w:r>
        <w:rPr>
          <w:rStyle w:val="CharChapText"/>
        </w:rPr>
        <w:t>Grant year commencing 1 July 199</w:t>
      </w:r>
      <w:bookmarkEnd w:id="34"/>
      <w:bookmarkEnd w:id="35"/>
      <w:bookmarkEnd w:id="36"/>
      <w:bookmarkEnd w:id="37"/>
      <w:bookmarkEnd w:id="38"/>
      <w:bookmarkEnd w:id="39"/>
      <w:bookmarkEnd w:id="40"/>
      <w:bookmarkEnd w:id="41"/>
      <w:bookmarkEnd w:id="42"/>
      <w:bookmarkEnd w:id="43"/>
      <w:bookmarkEnd w:id="44"/>
      <w:r>
        <w:rPr>
          <w:rStyle w:val="CharChapText"/>
        </w:rPr>
        <w:t>9</w:t>
      </w:r>
      <w:bookmarkEnd w:id="45"/>
      <w:bookmarkEnd w:id="46"/>
      <w:bookmarkEnd w:id="47"/>
      <w:bookmarkEnd w:id="48"/>
      <w:bookmarkEnd w:id="49"/>
      <w:bookmarkEnd w:id="50"/>
      <w:bookmarkEnd w:id="51"/>
      <w:bookmarkEnd w:id="52"/>
    </w:p>
    <w:p w:rsidR="00E468C8" w:rsidRDefault="0062711D">
      <w:pPr>
        <w:pStyle w:val="notemargin"/>
      </w:pPr>
      <w:bookmarkStart w:id="53" w:name="_Toc420825146"/>
      <w:bookmarkStart w:id="54" w:name="_Toc421425102"/>
      <w:bookmarkStart w:id="55" w:name="_Toc421597105"/>
      <w:bookmarkStart w:id="56" w:name="_Toc421597725"/>
      <w:r>
        <w:t>Note:</w:t>
      </w:r>
      <w:r>
        <w:tab/>
        <w:t>See section 3.</w:t>
      </w:r>
    </w:p>
    <w:p w:rsidR="00E468C8" w:rsidRDefault="0062711D">
      <w:pPr>
        <w:pStyle w:val="Header"/>
      </w:pPr>
      <w:r>
        <w:rPr>
          <w:rStyle w:val="CharPartNo"/>
        </w:rPr>
        <w:t xml:space="preserve"> </w:t>
      </w:r>
      <w:r>
        <w:rPr>
          <w:rStyle w:val="CharPartText"/>
        </w:rPr>
        <w:t xml:space="preserve"> </w:t>
      </w:r>
    </w:p>
    <w:p w:rsidR="00E468C8" w:rsidRDefault="0062711D">
      <w:pPr>
        <w:pStyle w:val="Header"/>
      </w:pPr>
      <w:r>
        <w:rPr>
          <w:rStyle w:val="CharDivNo"/>
        </w:rPr>
        <w:t xml:space="preserve"> </w:t>
      </w:r>
      <w:r>
        <w:rPr>
          <w:rStyle w:val="CharDivText"/>
        </w:rPr>
        <w:t xml:space="preserve"> </w:t>
      </w:r>
    </w:p>
    <w:p w:rsidR="00E468C8" w:rsidRDefault="0062711D">
      <w:pPr>
        <w:pStyle w:val="Heading5"/>
      </w:pPr>
      <w:bookmarkStart w:id="57" w:name="_Toc422101867"/>
      <w:bookmarkStart w:id="58" w:name="_Toc422644236"/>
      <w:bookmarkStart w:id="59" w:name="_Toc423142128"/>
      <w:bookmarkStart w:id="60" w:name="_Toc434046887"/>
      <w:bookmarkStart w:id="61" w:name="_Toc434725733"/>
      <w:bookmarkStart w:id="62" w:name="_Toc434995259"/>
      <w:bookmarkStart w:id="63" w:name="_Toc434997444"/>
      <w:bookmarkStart w:id="64" w:name="_Toc449340139"/>
      <w:bookmarkStart w:id="65" w:name="_Toc449341086"/>
      <w:bookmarkStart w:id="66" w:name="_Toc449349460"/>
      <w:bookmarkStart w:id="67" w:name="_Toc449413029"/>
      <w:bookmarkStart w:id="68" w:name="_Toc449416355"/>
      <w:bookmarkStart w:id="69" w:name="_Toc451743874"/>
      <w:bookmarkStart w:id="70" w:name="_Toc452883135"/>
      <w:bookmarkStart w:id="71" w:name="_Toc453383462"/>
      <w:r>
        <w:rPr>
          <w:rStyle w:val="CharSectno"/>
        </w:rPr>
        <w:t>1</w:t>
      </w:r>
      <w:r>
        <w:t xml:space="preserve">  Application</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E468C8" w:rsidRDefault="0062711D">
      <w:pPr>
        <w:pStyle w:val="Subsection"/>
      </w:pPr>
      <w:r>
        <w:tab/>
      </w:r>
      <w:r>
        <w:tab/>
        <w:t>This Schedule relates to the grant year commencing on 1 July 1999.</w:t>
      </w:r>
    </w:p>
    <w:p w:rsidR="00E468C8" w:rsidRDefault="0062711D">
      <w:pPr>
        <w:pStyle w:val="Heading5"/>
      </w:pPr>
      <w:bookmarkStart w:id="72" w:name="_Toc420825147"/>
      <w:bookmarkStart w:id="73" w:name="_Toc421425103"/>
      <w:bookmarkStart w:id="74" w:name="_Toc421597106"/>
      <w:bookmarkStart w:id="75" w:name="_Toc421597726"/>
      <w:bookmarkStart w:id="76" w:name="_Toc422101868"/>
      <w:bookmarkStart w:id="77" w:name="_Toc422644237"/>
      <w:bookmarkStart w:id="78" w:name="_Toc423142129"/>
      <w:bookmarkStart w:id="79" w:name="_Toc434046888"/>
      <w:bookmarkStart w:id="80" w:name="_Toc434725734"/>
      <w:bookmarkStart w:id="81" w:name="_Toc434995260"/>
      <w:bookmarkStart w:id="82" w:name="_Toc434997445"/>
      <w:bookmarkStart w:id="83" w:name="_Toc449340140"/>
      <w:bookmarkStart w:id="84" w:name="_Toc449341087"/>
      <w:bookmarkStart w:id="85" w:name="_Toc449349461"/>
      <w:bookmarkStart w:id="86" w:name="_Toc449413030"/>
      <w:bookmarkStart w:id="87" w:name="_Toc449416356"/>
      <w:bookmarkStart w:id="88" w:name="_Toc451743875"/>
      <w:bookmarkStart w:id="89" w:name="_Toc452883136"/>
      <w:bookmarkStart w:id="90" w:name="_Toc453383463"/>
      <w:r>
        <w:rPr>
          <w:rStyle w:val="CharSectno"/>
        </w:rPr>
        <w:t>2</w:t>
      </w:r>
      <w:r>
        <w:t xml:space="preserve">  </w:t>
      </w:r>
      <w:bookmarkEnd w:id="72"/>
      <w:bookmarkEnd w:id="73"/>
      <w:bookmarkEnd w:id="74"/>
      <w:bookmarkEnd w:id="75"/>
      <w:bookmarkEnd w:id="76"/>
      <w:r>
        <w:t>Definitions</w:t>
      </w:r>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E468C8" w:rsidRDefault="0062711D">
      <w:pPr>
        <w:pStyle w:val="Subsection"/>
      </w:pPr>
      <w:r>
        <w:tab/>
        <w:t>(1)</w:t>
      </w:r>
      <w:r>
        <w:tab/>
        <w:t>In this Schedule:</w:t>
      </w:r>
    </w:p>
    <w:p w:rsidR="00E468C8" w:rsidRDefault="0062711D">
      <w:pPr>
        <w:pStyle w:val="Definition"/>
      </w:pPr>
      <w:r>
        <w:rPr>
          <w:b/>
          <w:bCs/>
          <w:i/>
          <w:iCs/>
        </w:rPr>
        <w:t>base assistance amount</w:t>
      </w:r>
      <w:r>
        <w:t xml:space="preserve"> has the meaning given by subclause (2).</w:t>
      </w:r>
    </w:p>
    <w:p w:rsidR="00E468C8" w:rsidRDefault="0062711D">
      <w:pPr>
        <w:pStyle w:val="Definition"/>
      </w:pPr>
      <w:r>
        <w:rPr>
          <w:b/>
          <w:bCs/>
          <w:i/>
          <w:iCs/>
        </w:rPr>
        <w:t>CEO</w:t>
      </w:r>
      <w:r>
        <w:t xml:space="preserve"> means the Chief Executive Officer of Customs.</w:t>
      </w:r>
    </w:p>
    <w:p w:rsidR="00E468C8" w:rsidRDefault="0062711D">
      <w:pPr>
        <w:pStyle w:val="Definition"/>
      </w:pPr>
      <w:r>
        <w:rPr>
          <w:b/>
          <w:bCs/>
          <w:i/>
          <w:iCs/>
        </w:rPr>
        <w:t>Commissioner</w:t>
      </w:r>
      <w:r>
        <w:t xml:space="preserve"> means the Commissioner of Taxation.</w:t>
      </w:r>
    </w:p>
    <w:p w:rsidR="00E468C8" w:rsidRDefault="0062711D">
      <w:pPr>
        <w:pStyle w:val="Definition"/>
      </w:pPr>
      <w:r>
        <w:rPr>
          <w:b/>
          <w:bCs/>
          <w:i/>
          <w:iCs/>
        </w:rPr>
        <w:t>June 1999 alcohol base amount</w:t>
      </w:r>
      <w:r>
        <w:t xml:space="preserve"> means the amount determined by the Commissioner, before 15 June 2000, to be the additional amount of sales tax on taxable dealings to which the Sales Tax Surcharge Acts relate that was collected during the month of June 1999 because of a Commonwealth surcharge.</w:t>
      </w:r>
    </w:p>
    <w:p w:rsidR="00E468C8" w:rsidRDefault="0062711D">
      <w:pPr>
        <w:pStyle w:val="Definition"/>
      </w:pPr>
      <w:r>
        <w:rPr>
          <w:b/>
          <w:bCs/>
          <w:i/>
          <w:iCs/>
        </w:rPr>
        <w:t>June 1999 alcohol base estimate amount</w:t>
      </w:r>
      <w:r>
        <w:t xml:space="preserve"> means the amount determined by the Commissioner under subparagraph (a)(ii) of the definition of </w:t>
      </w:r>
      <w:r>
        <w:rPr>
          <w:b/>
          <w:bCs/>
          <w:i/>
          <w:iCs/>
        </w:rPr>
        <w:t>ABA</w:t>
      </w:r>
      <w:r>
        <w:t xml:space="preserve"> in subclause 5(1) of Schedule 5.</w:t>
      </w:r>
    </w:p>
    <w:p w:rsidR="00E468C8" w:rsidRDefault="0062711D">
      <w:pPr>
        <w:pStyle w:val="Definition"/>
      </w:pPr>
      <w:r>
        <w:rPr>
          <w:b/>
          <w:bCs/>
          <w:i/>
          <w:iCs/>
        </w:rPr>
        <w:t>June 1999 petroleum base amount</w:t>
      </w:r>
      <w:r>
        <w:t xml:space="preserve"> means the sum of the amounts determined by the CEO, before 15 June 2000, to be:</w:t>
      </w:r>
    </w:p>
    <w:p w:rsidR="00E468C8" w:rsidRDefault="0062711D">
      <w:pPr>
        <w:pStyle w:val="indenta"/>
      </w:pPr>
      <w:r>
        <w:lastRenderedPageBreak/>
        <w:tab/>
        <w:t>(a)</w:t>
      </w:r>
      <w:r>
        <w:tab/>
        <w:t xml:space="preserve">the additional amount of customs duty falling to subheadings of Chapter 27 of Schedule 3 to the </w:t>
      </w:r>
      <w:r>
        <w:rPr>
          <w:i/>
          <w:iCs/>
        </w:rPr>
        <w:t>Customs Tariff Act 1995</w:t>
      </w:r>
      <w:r>
        <w:t xml:space="preserve"> that was collected during the month of June 1999 because of a Commonwealth surcharge; and</w:t>
      </w:r>
    </w:p>
    <w:p w:rsidR="00E468C8" w:rsidRDefault="0062711D">
      <w:pPr>
        <w:pStyle w:val="indenta"/>
      </w:pPr>
      <w:r>
        <w:tab/>
        <w:t>(b)</w:t>
      </w:r>
      <w:r>
        <w:tab/>
        <w:t xml:space="preserve">the additional amount of excise duty falling to items 11 and 12 of the Schedule to the </w:t>
      </w:r>
      <w:r>
        <w:rPr>
          <w:i/>
          <w:iCs/>
        </w:rPr>
        <w:t>Excise Tariff Act 1921</w:t>
      </w:r>
      <w:r>
        <w:t xml:space="preserve"> that was collected during the month of June 1999 because of a Commonwealth surcharge.</w:t>
      </w:r>
    </w:p>
    <w:p w:rsidR="00E468C8" w:rsidRDefault="0062711D">
      <w:pPr>
        <w:pStyle w:val="Definition"/>
      </w:pPr>
      <w:r>
        <w:rPr>
          <w:b/>
          <w:bCs/>
          <w:i/>
          <w:iCs/>
        </w:rPr>
        <w:t>June 1999 petroleum base estimate amount</w:t>
      </w:r>
      <w:r>
        <w:t xml:space="preserve"> means the sum of the amounts determined by the CEO under subparagraphs (a)(ii) and (iv) of the definition of </w:t>
      </w:r>
      <w:r>
        <w:rPr>
          <w:b/>
          <w:bCs/>
          <w:i/>
          <w:iCs/>
        </w:rPr>
        <w:t>PBA</w:t>
      </w:r>
      <w:r>
        <w:t xml:space="preserve"> in subclause 5(1) of Schedule 5.</w:t>
      </w:r>
    </w:p>
    <w:p w:rsidR="00E468C8" w:rsidRDefault="0062711D">
      <w:pPr>
        <w:pStyle w:val="Definition"/>
      </w:pPr>
      <w:r>
        <w:rPr>
          <w:b/>
          <w:bCs/>
          <w:i/>
          <w:iCs/>
        </w:rPr>
        <w:t>June 1999 tobacco base amount</w:t>
      </w:r>
      <w:r>
        <w:t xml:space="preserve"> means the sum of the amounts determined by the CEO, before 15 June 2000, to be:</w:t>
      </w:r>
    </w:p>
    <w:p w:rsidR="00E468C8" w:rsidRDefault="0062711D">
      <w:pPr>
        <w:pStyle w:val="indenta"/>
      </w:pPr>
      <w:r>
        <w:tab/>
        <w:t>(a)</w:t>
      </w:r>
      <w:r>
        <w:tab/>
        <w:t xml:space="preserve">the additional amount of customs duty falling to subheadings of Chapter 24 of Schedule 3 to the </w:t>
      </w:r>
      <w:r>
        <w:rPr>
          <w:i/>
          <w:iCs/>
        </w:rPr>
        <w:t>Customs Tariff Act 1995</w:t>
      </w:r>
      <w:r>
        <w:t xml:space="preserve"> that was collected during the month of June 1999 because of a Commonwealth surcharge; and</w:t>
      </w:r>
    </w:p>
    <w:p w:rsidR="00E468C8" w:rsidRDefault="0062711D">
      <w:pPr>
        <w:pStyle w:val="indenta"/>
      </w:pPr>
      <w:r>
        <w:tab/>
        <w:t>(b)</w:t>
      </w:r>
      <w:r>
        <w:tab/>
        <w:t xml:space="preserve">the additional amount of excise duty falling to items 6, 7 and 8 of the Schedule to the </w:t>
      </w:r>
      <w:r>
        <w:rPr>
          <w:i/>
          <w:iCs/>
        </w:rPr>
        <w:t>Excise Tariff Act 1921</w:t>
      </w:r>
      <w:r>
        <w:t xml:space="preserve"> that was collected during the month of June 1999 because of a Commonwealth surcharge.</w:t>
      </w:r>
    </w:p>
    <w:p w:rsidR="00E468C8" w:rsidRDefault="0062711D">
      <w:pPr>
        <w:pStyle w:val="Definition"/>
      </w:pPr>
      <w:r>
        <w:rPr>
          <w:b/>
          <w:bCs/>
          <w:i/>
          <w:iCs/>
        </w:rPr>
        <w:t>June 1999 tobacco base estimate amount</w:t>
      </w:r>
      <w:r>
        <w:t xml:space="preserve"> means the sum of the amounts determined by the CEO under subparagraphs (a)(ii) and (iv) of the definition of </w:t>
      </w:r>
      <w:r>
        <w:rPr>
          <w:b/>
          <w:bCs/>
          <w:i/>
          <w:iCs/>
        </w:rPr>
        <w:t>TBA</w:t>
      </w:r>
      <w:r>
        <w:t xml:space="preserve"> in subclause 5(1) of Schedule 5.</w:t>
      </w:r>
    </w:p>
    <w:p w:rsidR="00E468C8" w:rsidRDefault="0062711D">
      <w:pPr>
        <w:pStyle w:val="Definition"/>
      </w:pPr>
      <w:r>
        <w:rPr>
          <w:b/>
          <w:bCs/>
          <w:i/>
          <w:iCs/>
        </w:rPr>
        <w:t>pre</w:t>
      </w:r>
      <w:r>
        <w:rPr>
          <w:b/>
          <w:bCs/>
          <w:i/>
          <w:iCs/>
        </w:rPr>
        <w:noBreakHyphen/>
        <w:t>1 June period</w:t>
      </w:r>
      <w:r>
        <w:t xml:space="preserve"> means the period from the beginning of 1 July 1999 to the end of 31 May 2000.</w:t>
      </w:r>
    </w:p>
    <w:p w:rsidR="00E468C8" w:rsidRDefault="0062711D">
      <w:pPr>
        <w:pStyle w:val="Definition"/>
      </w:pPr>
      <w:r>
        <w:rPr>
          <w:b/>
          <w:bCs/>
          <w:i/>
          <w:iCs/>
        </w:rPr>
        <w:t>previous year</w:t>
      </w:r>
      <w:r>
        <w:t xml:space="preserve"> means the financial year commencing on 1 July 1998.</w:t>
      </w:r>
    </w:p>
    <w:p w:rsidR="00E468C8" w:rsidRDefault="0062711D">
      <w:pPr>
        <w:pStyle w:val="Subsection"/>
      </w:pPr>
      <w:r>
        <w:tab/>
        <w:t>(2)</w:t>
      </w:r>
      <w:r>
        <w:tab/>
        <w:t>In this Schedule:</w:t>
      </w:r>
    </w:p>
    <w:p w:rsidR="00E468C8" w:rsidRDefault="0062711D">
      <w:pPr>
        <w:pStyle w:val="Definition"/>
      </w:pPr>
      <w:r>
        <w:rPr>
          <w:b/>
          <w:bCs/>
          <w:i/>
          <w:iCs/>
        </w:rPr>
        <w:t>base assistance amount</w:t>
      </w:r>
      <w:r>
        <w:t xml:space="preserve"> means the amount worked out using the formula:</w:t>
      </w:r>
    </w:p>
    <w:p w:rsidR="00E468C8" w:rsidRDefault="00EC3036" w:rsidP="00EC3036">
      <w:pPr>
        <w:pStyle w:val="Formula"/>
        <w:spacing w:before="240"/>
      </w:pPr>
      <w:r>
        <w:rPr>
          <w:noProof/>
        </w:rPr>
        <w:drawing>
          <wp:inline distT="0" distB="0" distL="0" distR="0" wp14:anchorId="6B7B959C" wp14:editId="40EAA394">
            <wp:extent cx="2952000" cy="356400"/>
            <wp:effectExtent l="0" t="0" r="1270" b="5715"/>
            <wp:docPr id="4" name="Picture 4" descr="Start formula Previous year base assistance amount times Previous year index factor times Previous year population facto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952000" cy="356400"/>
                    </a:xfrm>
                    <a:prstGeom prst="rect">
                      <a:avLst/>
                    </a:prstGeom>
                    <a:effectLst>
                      <a:outerShdw blurRad="50800" dist="50800" dir="5400000" sx="2000" sy="2000" algn="ctr" rotWithShape="0">
                        <a:schemeClr val="bg2">
                          <a:lumMod val="50000"/>
                          <a:alpha val="43000"/>
                        </a:schemeClr>
                      </a:outerShdw>
                      <a:softEdge rad="12700"/>
                    </a:effectLst>
                  </pic:spPr>
                </pic:pic>
              </a:graphicData>
            </a:graphic>
          </wp:inline>
        </w:drawing>
      </w:r>
    </w:p>
    <w:p w:rsidR="00E468C8" w:rsidRDefault="0062711D">
      <w:pPr>
        <w:pStyle w:val="subsection2"/>
      </w:pPr>
      <w:r>
        <w:t>where:</w:t>
      </w:r>
    </w:p>
    <w:p w:rsidR="00E468C8" w:rsidRDefault="0062711D">
      <w:pPr>
        <w:pStyle w:val="Definition"/>
      </w:pPr>
      <w:r>
        <w:rPr>
          <w:b/>
          <w:bCs/>
          <w:i/>
          <w:iCs/>
        </w:rPr>
        <w:lastRenderedPageBreak/>
        <w:t>previous year base assistance amount</w:t>
      </w:r>
      <w:r>
        <w:t xml:space="preserve"> means $16,361,265,223.</w:t>
      </w:r>
    </w:p>
    <w:p w:rsidR="00E468C8" w:rsidRDefault="0062711D">
      <w:pPr>
        <w:pStyle w:val="Definition"/>
      </w:pPr>
      <w:r>
        <w:rPr>
          <w:b/>
          <w:bCs/>
          <w:i/>
          <w:iCs/>
        </w:rPr>
        <w:t>previous year index factor</w:t>
      </w:r>
      <w:r>
        <w:t xml:space="preserve"> means the index factor for the previous year.</w:t>
      </w:r>
    </w:p>
    <w:p w:rsidR="00E468C8" w:rsidRDefault="0062711D">
      <w:pPr>
        <w:pStyle w:val="Definition"/>
      </w:pPr>
      <w:r>
        <w:rPr>
          <w:b/>
          <w:bCs/>
          <w:i/>
          <w:iCs/>
        </w:rPr>
        <w:t>previous year population factor</w:t>
      </w:r>
      <w:r>
        <w:t xml:space="preserve"> means the population factor for the previous year.</w:t>
      </w:r>
    </w:p>
    <w:p w:rsidR="00E468C8" w:rsidRDefault="0062711D">
      <w:pPr>
        <w:pStyle w:val="Heading5"/>
      </w:pPr>
      <w:bookmarkStart w:id="91" w:name="_Toc420825148"/>
      <w:bookmarkStart w:id="92" w:name="_Toc421425104"/>
      <w:bookmarkStart w:id="93" w:name="_Toc421597107"/>
      <w:bookmarkStart w:id="94" w:name="_Toc421597727"/>
      <w:bookmarkStart w:id="95" w:name="_Toc422101869"/>
      <w:bookmarkStart w:id="96" w:name="_Toc422644238"/>
      <w:bookmarkStart w:id="97" w:name="_Toc423142130"/>
      <w:bookmarkStart w:id="98" w:name="_Toc434046889"/>
      <w:bookmarkStart w:id="99" w:name="_Toc434725735"/>
      <w:bookmarkStart w:id="100" w:name="_Toc434995261"/>
      <w:bookmarkStart w:id="101" w:name="_Toc434997446"/>
      <w:bookmarkStart w:id="102" w:name="_Toc449340141"/>
      <w:bookmarkStart w:id="103" w:name="_Toc449341088"/>
      <w:bookmarkStart w:id="104" w:name="_Toc449349462"/>
      <w:bookmarkStart w:id="105" w:name="_Toc449413031"/>
      <w:bookmarkStart w:id="106" w:name="_Toc449416357"/>
      <w:bookmarkStart w:id="107" w:name="_Toc451743876"/>
      <w:bookmarkStart w:id="108" w:name="_Toc452883137"/>
      <w:bookmarkStart w:id="109" w:name="_Toc453383464"/>
      <w:r>
        <w:rPr>
          <w:rStyle w:val="CharSectno"/>
        </w:rPr>
        <w:t>3</w:t>
      </w:r>
      <w:r>
        <w:t xml:space="preserve">  Relativities factors</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rsidR="00E468C8" w:rsidRDefault="0062711D">
      <w:pPr>
        <w:pStyle w:val="Subsection"/>
      </w:pPr>
      <w:r>
        <w:tab/>
      </w:r>
      <w:r>
        <w:tab/>
        <w:t>The relativities factor for each State for the grant year is as shown in the following table:</w:t>
      </w:r>
    </w:p>
    <w:p w:rsidR="00E468C8" w:rsidRDefault="00E468C8">
      <w:pPr>
        <w:pStyle w:val="Table"/>
      </w:pPr>
    </w:p>
    <w:tbl>
      <w:tblPr>
        <w:tblW w:w="0" w:type="auto"/>
        <w:tblInd w:w="1134" w:type="dxa"/>
        <w:tblLayout w:type="fixed"/>
        <w:tblLook w:val="0000" w:firstRow="0" w:lastRow="0" w:firstColumn="0" w:lastColumn="0" w:noHBand="0" w:noVBand="0"/>
      </w:tblPr>
      <w:tblGrid>
        <w:gridCol w:w="709"/>
        <w:gridCol w:w="3260"/>
        <w:gridCol w:w="1985"/>
      </w:tblGrid>
      <w:tr w:rsidR="00E468C8">
        <w:trPr>
          <w:cantSplit/>
          <w:tblHeader/>
        </w:trPr>
        <w:tc>
          <w:tcPr>
            <w:tcW w:w="5954" w:type="dxa"/>
            <w:gridSpan w:val="3"/>
            <w:tcBorders>
              <w:top w:val="single" w:sz="12" w:space="0" w:color="000000"/>
              <w:left w:val="nil"/>
              <w:bottom w:val="nil"/>
              <w:right w:val="nil"/>
            </w:tcBorders>
          </w:tcPr>
          <w:p w:rsidR="00E468C8" w:rsidRDefault="0062711D">
            <w:pPr>
              <w:pStyle w:val="Table"/>
              <w:keepNext/>
              <w:rPr>
                <w:b/>
                <w:bCs/>
              </w:rPr>
            </w:pPr>
            <w:r>
              <w:rPr>
                <w:b/>
                <w:bCs/>
              </w:rPr>
              <w:t>Relativities factors</w:t>
            </w:r>
          </w:p>
        </w:tc>
      </w:tr>
      <w:tr w:rsidR="00E468C8">
        <w:tblPrEx>
          <w:tblCellMar>
            <w:left w:w="107" w:type="dxa"/>
            <w:right w:w="107" w:type="dxa"/>
          </w:tblCellMar>
        </w:tblPrEx>
        <w:trPr>
          <w:cantSplit/>
          <w:tblHeader/>
        </w:trPr>
        <w:tc>
          <w:tcPr>
            <w:tcW w:w="709" w:type="dxa"/>
            <w:tcBorders>
              <w:top w:val="single" w:sz="6" w:space="0" w:color="000000"/>
              <w:left w:val="nil"/>
              <w:bottom w:val="single" w:sz="12" w:space="0" w:color="auto"/>
              <w:right w:val="nil"/>
            </w:tcBorders>
          </w:tcPr>
          <w:p w:rsidR="00E468C8" w:rsidRDefault="0062711D">
            <w:pPr>
              <w:pStyle w:val="Table"/>
              <w:keepNext/>
              <w:rPr>
                <w:b/>
                <w:bCs/>
              </w:rPr>
            </w:pPr>
            <w:r>
              <w:rPr>
                <w:b/>
                <w:bCs/>
              </w:rPr>
              <w:t>Item</w:t>
            </w:r>
          </w:p>
        </w:tc>
        <w:tc>
          <w:tcPr>
            <w:tcW w:w="3260" w:type="dxa"/>
            <w:tcBorders>
              <w:top w:val="single" w:sz="6" w:space="0" w:color="000000"/>
              <w:left w:val="nil"/>
              <w:bottom w:val="single" w:sz="12" w:space="0" w:color="auto"/>
              <w:right w:val="nil"/>
            </w:tcBorders>
          </w:tcPr>
          <w:p w:rsidR="00E468C8" w:rsidRDefault="0062711D">
            <w:pPr>
              <w:pStyle w:val="Table"/>
              <w:keepNext/>
              <w:rPr>
                <w:b/>
                <w:bCs/>
              </w:rPr>
            </w:pPr>
            <w:r>
              <w:rPr>
                <w:b/>
                <w:bCs/>
              </w:rPr>
              <w:t>State</w:t>
            </w:r>
          </w:p>
        </w:tc>
        <w:tc>
          <w:tcPr>
            <w:tcW w:w="1985" w:type="dxa"/>
            <w:tcBorders>
              <w:top w:val="single" w:sz="6" w:space="0" w:color="000000"/>
              <w:left w:val="nil"/>
              <w:bottom w:val="single" w:sz="12" w:space="0" w:color="auto"/>
              <w:right w:val="nil"/>
            </w:tcBorders>
          </w:tcPr>
          <w:p w:rsidR="00E468C8" w:rsidRDefault="0062711D">
            <w:pPr>
              <w:pStyle w:val="Table"/>
              <w:keepNext/>
              <w:jc w:val="center"/>
              <w:rPr>
                <w:b/>
                <w:bCs/>
              </w:rPr>
            </w:pPr>
            <w:r>
              <w:rPr>
                <w:b/>
                <w:bCs/>
              </w:rPr>
              <w:t>Relativities factor</w:t>
            </w:r>
          </w:p>
        </w:tc>
      </w:tr>
      <w:tr w:rsidR="00E468C8">
        <w:tblPrEx>
          <w:tblCellMar>
            <w:left w:w="107" w:type="dxa"/>
            <w:right w:w="107" w:type="dxa"/>
          </w:tblCellMar>
        </w:tblPrEx>
        <w:trPr>
          <w:cantSplit/>
        </w:trPr>
        <w:tc>
          <w:tcPr>
            <w:tcW w:w="709" w:type="dxa"/>
            <w:tcBorders>
              <w:top w:val="nil"/>
              <w:left w:val="nil"/>
              <w:bottom w:val="dotted" w:sz="4" w:space="0" w:color="auto"/>
              <w:right w:val="nil"/>
            </w:tcBorders>
          </w:tcPr>
          <w:p w:rsidR="00E468C8" w:rsidRDefault="0062711D">
            <w:pPr>
              <w:pStyle w:val="Table"/>
            </w:pPr>
            <w:r>
              <w:t>1</w:t>
            </w:r>
          </w:p>
        </w:tc>
        <w:tc>
          <w:tcPr>
            <w:tcW w:w="3260" w:type="dxa"/>
            <w:tcBorders>
              <w:top w:val="nil"/>
              <w:left w:val="nil"/>
              <w:bottom w:val="dotted" w:sz="4" w:space="0" w:color="auto"/>
              <w:right w:val="nil"/>
            </w:tcBorders>
          </w:tcPr>
          <w:p w:rsidR="00E468C8" w:rsidRDefault="0062711D">
            <w:pPr>
              <w:pStyle w:val="Table"/>
            </w:pPr>
            <w:r>
              <w:t>New South Wales</w:t>
            </w:r>
          </w:p>
        </w:tc>
        <w:tc>
          <w:tcPr>
            <w:tcW w:w="1985" w:type="dxa"/>
            <w:tcBorders>
              <w:top w:val="nil"/>
              <w:left w:val="nil"/>
              <w:bottom w:val="dotted" w:sz="4" w:space="0" w:color="auto"/>
              <w:right w:val="nil"/>
            </w:tcBorders>
          </w:tcPr>
          <w:p w:rsidR="00E468C8" w:rsidRDefault="0062711D">
            <w:pPr>
              <w:pStyle w:val="Table"/>
              <w:tabs>
                <w:tab w:val="decimal" w:pos="680"/>
              </w:tabs>
            </w:pPr>
            <w:r>
              <w:t>0.89948</w:t>
            </w:r>
          </w:p>
        </w:tc>
      </w:tr>
      <w:tr w:rsidR="00E468C8">
        <w:tblPrEx>
          <w:tblCellMar>
            <w:left w:w="107" w:type="dxa"/>
            <w:right w:w="107" w:type="dxa"/>
          </w:tblCellMar>
        </w:tblPrEx>
        <w:trPr>
          <w:cantSplit/>
        </w:trPr>
        <w:tc>
          <w:tcPr>
            <w:tcW w:w="709" w:type="dxa"/>
            <w:tcBorders>
              <w:top w:val="dotted" w:sz="4" w:space="0" w:color="auto"/>
              <w:left w:val="nil"/>
              <w:bottom w:val="dotted" w:sz="4" w:space="0" w:color="auto"/>
              <w:right w:val="nil"/>
            </w:tcBorders>
          </w:tcPr>
          <w:p w:rsidR="00E468C8" w:rsidRDefault="0062711D">
            <w:pPr>
              <w:pStyle w:val="Table"/>
            </w:pPr>
            <w:r>
              <w:t>2</w:t>
            </w:r>
          </w:p>
        </w:tc>
        <w:tc>
          <w:tcPr>
            <w:tcW w:w="3260" w:type="dxa"/>
            <w:tcBorders>
              <w:top w:val="dotted" w:sz="4" w:space="0" w:color="auto"/>
              <w:left w:val="nil"/>
              <w:bottom w:val="dotted" w:sz="4" w:space="0" w:color="auto"/>
              <w:right w:val="nil"/>
            </w:tcBorders>
          </w:tcPr>
          <w:p w:rsidR="00E468C8" w:rsidRDefault="0062711D">
            <w:pPr>
              <w:pStyle w:val="Table"/>
            </w:pPr>
            <w:r>
              <w:t>Victoria</w:t>
            </w:r>
          </w:p>
        </w:tc>
        <w:tc>
          <w:tcPr>
            <w:tcW w:w="1985" w:type="dxa"/>
            <w:tcBorders>
              <w:top w:val="dotted" w:sz="4" w:space="0" w:color="auto"/>
              <w:left w:val="nil"/>
              <w:bottom w:val="dotted" w:sz="4" w:space="0" w:color="auto"/>
              <w:right w:val="nil"/>
            </w:tcBorders>
          </w:tcPr>
          <w:p w:rsidR="00E468C8" w:rsidRDefault="0062711D">
            <w:pPr>
              <w:pStyle w:val="Table"/>
              <w:tabs>
                <w:tab w:val="decimal" w:pos="680"/>
              </w:tabs>
            </w:pPr>
            <w:r>
              <w:t>0.86184</w:t>
            </w:r>
          </w:p>
        </w:tc>
      </w:tr>
      <w:tr w:rsidR="00E468C8">
        <w:tblPrEx>
          <w:tblCellMar>
            <w:left w:w="107" w:type="dxa"/>
            <w:right w:w="107" w:type="dxa"/>
          </w:tblCellMar>
        </w:tblPrEx>
        <w:trPr>
          <w:cantSplit/>
        </w:trPr>
        <w:tc>
          <w:tcPr>
            <w:tcW w:w="709" w:type="dxa"/>
            <w:tcBorders>
              <w:top w:val="dotted" w:sz="4" w:space="0" w:color="auto"/>
              <w:left w:val="nil"/>
              <w:bottom w:val="dotted" w:sz="4" w:space="0" w:color="auto"/>
              <w:right w:val="nil"/>
            </w:tcBorders>
          </w:tcPr>
          <w:p w:rsidR="00E468C8" w:rsidRDefault="0062711D">
            <w:pPr>
              <w:pStyle w:val="Table"/>
            </w:pPr>
            <w:r>
              <w:t>3</w:t>
            </w:r>
          </w:p>
        </w:tc>
        <w:tc>
          <w:tcPr>
            <w:tcW w:w="3260" w:type="dxa"/>
            <w:tcBorders>
              <w:top w:val="dotted" w:sz="4" w:space="0" w:color="auto"/>
              <w:left w:val="nil"/>
              <w:bottom w:val="dotted" w:sz="4" w:space="0" w:color="auto"/>
              <w:right w:val="nil"/>
            </w:tcBorders>
          </w:tcPr>
          <w:p w:rsidR="00E468C8" w:rsidRDefault="0062711D">
            <w:pPr>
              <w:pStyle w:val="Table"/>
            </w:pPr>
            <w:r>
              <w:t>Queensland</w:t>
            </w:r>
          </w:p>
        </w:tc>
        <w:tc>
          <w:tcPr>
            <w:tcW w:w="1985" w:type="dxa"/>
            <w:tcBorders>
              <w:top w:val="dotted" w:sz="4" w:space="0" w:color="auto"/>
              <w:left w:val="nil"/>
              <w:bottom w:val="dotted" w:sz="4" w:space="0" w:color="auto"/>
              <w:right w:val="nil"/>
            </w:tcBorders>
          </w:tcPr>
          <w:p w:rsidR="00E468C8" w:rsidRDefault="0062711D">
            <w:pPr>
              <w:pStyle w:val="Table"/>
              <w:tabs>
                <w:tab w:val="decimal" w:pos="680"/>
              </w:tabs>
            </w:pPr>
            <w:r>
              <w:t>1.00687</w:t>
            </w:r>
          </w:p>
        </w:tc>
      </w:tr>
      <w:tr w:rsidR="00E468C8">
        <w:tblPrEx>
          <w:tblCellMar>
            <w:left w:w="107" w:type="dxa"/>
            <w:right w:w="107" w:type="dxa"/>
          </w:tblCellMar>
        </w:tblPrEx>
        <w:trPr>
          <w:cantSplit/>
        </w:trPr>
        <w:tc>
          <w:tcPr>
            <w:tcW w:w="709" w:type="dxa"/>
            <w:tcBorders>
              <w:top w:val="dotted" w:sz="4" w:space="0" w:color="auto"/>
              <w:left w:val="nil"/>
              <w:bottom w:val="dotted" w:sz="4" w:space="0" w:color="auto"/>
              <w:right w:val="nil"/>
            </w:tcBorders>
          </w:tcPr>
          <w:p w:rsidR="00E468C8" w:rsidRDefault="0062711D">
            <w:pPr>
              <w:pStyle w:val="Table"/>
            </w:pPr>
            <w:r>
              <w:t>4</w:t>
            </w:r>
          </w:p>
        </w:tc>
        <w:tc>
          <w:tcPr>
            <w:tcW w:w="3260" w:type="dxa"/>
            <w:tcBorders>
              <w:top w:val="dotted" w:sz="4" w:space="0" w:color="auto"/>
              <w:left w:val="nil"/>
              <w:bottom w:val="dotted" w:sz="4" w:space="0" w:color="auto"/>
              <w:right w:val="nil"/>
            </w:tcBorders>
          </w:tcPr>
          <w:p w:rsidR="00E468C8" w:rsidRDefault="0062711D">
            <w:pPr>
              <w:pStyle w:val="Table"/>
            </w:pPr>
            <w:r>
              <w:t>Western Australia</w:t>
            </w:r>
          </w:p>
        </w:tc>
        <w:tc>
          <w:tcPr>
            <w:tcW w:w="1985" w:type="dxa"/>
            <w:tcBorders>
              <w:top w:val="dotted" w:sz="4" w:space="0" w:color="auto"/>
              <w:left w:val="nil"/>
              <w:bottom w:val="dotted" w:sz="4" w:space="0" w:color="auto"/>
              <w:right w:val="nil"/>
            </w:tcBorders>
          </w:tcPr>
          <w:p w:rsidR="00E468C8" w:rsidRDefault="0062711D">
            <w:pPr>
              <w:pStyle w:val="Table"/>
              <w:tabs>
                <w:tab w:val="decimal" w:pos="680"/>
              </w:tabs>
            </w:pPr>
            <w:r>
              <w:t>0.94793</w:t>
            </w:r>
          </w:p>
        </w:tc>
      </w:tr>
      <w:tr w:rsidR="00E468C8">
        <w:tblPrEx>
          <w:tblCellMar>
            <w:left w:w="107" w:type="dxa"/>
            <w:right w:w="107" w:type="dxa"/>
          </w:tblCellMar>
        </w:tblPrEx>
        <w:trPr>
          <w:cantSplit/>
        </w:trPr>
        <w:tc>
          <w:tcPr>
            <w:tcW w:w="709" w:type="dxa"/>
            <w:tcBorders>
              <w:top w:val="dotted" w:sz="4" w:space="0" w:color="auto"/>
              <w:left w:val="nil"/>
              <w:bottom w:val="dotted" w:sz="4" w:space="0" w:color="auto"/>
              <w:right w:val="nil"/>
            </w:tcBorders>
          </w:tcPr>
          <w:p w:rsidR="00E468C8" w:rsidRDefault="0062711D">
            <w:pPr>
              <w:pStyle w:val="Table"/>
            </w:pPr>
            <w:r>
              <w:t>5</w:t>
            </w:r>
          </w:p>
        </w:tc>
        <w:tc>
          <w:tcPr>
            <w:tcW w:w="3260" w:type="dxa"/>
            <w:tcBorders>
              <w:top w:val="dotted" w:sz="4" w:space="0" w:color="auto"/>
              <w:left w:val="nil"/>
              <w:bottom w:val="dotted" w:sz="4" w:space="0" w:color="auto"/>
              <w:right w:val="nil"/>
            </w:tcBorders>
          </w:tcPr>
          <w:p w:rsidR="00E468C8" w:rsidRDefault="0062711D">
            <w:pPr>
              <w:pStyle w:val="Table"/>
            </w:pPr>
            <w:r>
              <w:t>South Australia</w:t>
            </w:r>
          </w:p>
        </w:tc>
        <w:tc>
          <w:tcPr>
            <w:tcW w:w="1985" w:type="dxa"/>
            <w:tcBorders>
              <w:top w:val="dotted" w:sz="4" w:space="0" w:color="auto"/>
              <w:left w:val="nil"/>
              <w:bottom w:val="dotted" w:sz="4" w:space="0" w:color="auto"/>
              <w:right w:val="nil"/>
            </w:tcBorders>
          </w:tcPr>
          <w:p w:rsidR="00E468C8" w:rsidRDefault="0062711D">
            <w:pPr>
              <w:pStyle w:val="Table"/>
              <w:tabs>
                <w:tab w:val="decimal" w:pos="680"/>
              </w:tabs>
            </w:pPr>
            <w:r>
              <w:t>1.20680</w:t>
            </w:r>
          </w:p>
        </w:tc>
      </w:tr>
      <w:tr w:rsidR="00E468C8">
        <w:tblPrEx>
          <w:tblCellMar>
            <w:left w:w="107" w:type="dxa"/>
            <w:right w:w="107" w:type="dxa"/>
          </w:tblCellMar>
        </w:tblPrEx>
        <w:trPr>
          <w:cantSplit/>
        </w:trPr>
        <w:tc>
          <w:tcPr>
            <w:tcW w:w="709" w:type="dxa"/>
            <w:tcBorders>
              <w:top w:val="dotted" w:sz="4" w:space="0" w:color="auto"/>
              <w:left w:val="nil"/>
              <w:bottom w:val="dotted" w:sz="4" w:space="0" w:color="auto"/>
              <w:right w:val="nil"/>
            </w:tcBorders>
          </w:tcPr>
          <w:p w:rsidR="00E468C8" w:rsidRDefault="0062711D">
            <w:pPr>
              <w:pStyle w:val="Table"/>
            </w:pPr>
            <w:r>
              <w:t>6</w:t>
            </w:r>
          </w:p>
        </w:tc>
        <w:tc>
          <w:tcPr>
            <w:tcW w:w="3260" w:type="dxa"/>
            <w:tcBorders>
              <w:top w:val="dotted" w:sz="4" w:space="0" w:color="auto"/>
              <w:left w:val="nil"/>
              <w:bottom w:val="dotted" w:sz="4" w:space="0" w:color="auto"/>
              <w:right w:val="nil"/>
            </w:tcBorders>
          </w:tcPr>
          <w:p w:rsidR="00E468C8" w:rsidRDefault="0062711D">
            <w:pPr>
              <w:pStyle w:val="Table"/>
            </w:pPr>
            <w:r>
              <w:t>Tasmania</w:t>
            </w:r>
          </w:p>
        </w:tc>
        <w:tc>
          <w:tcPr>
            <w:tcW w:w="1985" w:type="dxa"/>
            <w:tcBorders>
              <w:top w:val="dotted" w:sz="4" w:space="0" w:color="auto"/>
              <w:left w:val="nil"/>
              <w:bottom w:val="dotted" w:sz="4" w:space="0" w:color="auto"/>
              <w:right w:val="nil"/>
            </w:tcBorders>
          </w:tcPr>
          <w:p w:rsidR="00E468C8" w:rsidRDefault="0062711D">
            <w:pPr>
              <w:pStyle w:val="Table"/>
              <w:tabs>
                <w:tab w:val="decimal" w:pos="680"/>
              </w:tabs>
            </w:pPr>
            <w:r>
              <w:t>1.60905</w:t>
            </w:r>
          </w:p>
        </w:tc>
      </w:tr>
      <w:tr w:rsidR="00E468C8">
        <w:tblPrEx>
          <w:tblCellMar>
            <w:left w:w="107" w:type="dxa"/>
            <w:right w:w="107" w:type="dxa"/>
          </w:tblCellMar>
        </w:tblPrEx>
        <w:trPr>
          <w:cantSplit/>
        </w:trPr>
        <w:tc>
          <w:tcPr>
            <w:tcW w:w="709" w:type="dxa"/>
            <w:tcBorders>
              <w:top w:val="dotted" w:sz="4" w:space="0" w:color="auto"/>
              <w:left w:val="nil"/>
              <w:bottom w:val="dotted" w:sz="4" w:space="0" w:color="auto"/>
              <w:right w:val="nil"/>
            </w:tcBorders>
          </w:tcPr>
          <w:p w:rsidR="00E468C8" w:rsidRDefault="0062711D">
            <w:pPr>
              <w:pStyle w:val="Table"/>
            </w:pPr>
            <w:r>
              <w:t>7</w:t>
            </w:r>
          </w:p>
        </w:tc>
        <w:tc>
          <w:tcPr>
            <w:tcW w:w="3260" w:type="dxa"/>
            <w:tcBorders>
              <w:top w:val="dotted" w:sz="4" w:space="0" w:color="auto"/>
              <w:left w:val="nil"/>
              <w:bottom w:val="dotted" w:sz="4" w:space="0" w:color="auto"/>
              <w:right w:val="nil"/>
            </w:tcBorders>
          </w:tcPr>
          <w:p w:rsidR="00E468C8" w:rsidRDefault="0062711D">
            <w:pPr>
              <w:pStyle w:val="Table"/>
            </w:pPr>
            <w:r>
              <w:t>Australian Capital Territory</w:t>
            </w:r>
          </w:p>
        </w:tc>
        <w:tc>
          <w:tcPr>
            <w:tcW w:w="1985" w:type="dxa"/>
            <w:tcBorders>
              <w:top w:val="dotted" w:sz="4" w:space="0" w:color="auto"/>
              <w:left w:val="nil"/>
              <w:bottom w:val="dotted" w:sz="4" w:space="0" w:color="auto"/>
              <w:right w:val="nil"/>
            </w:tcBorders>
          </w:tcPr>
          <w:p w:rsidR="00E468C8" w:rsidRDefault="0062711D">
            <w:pPr>
              <w:pStyle w:val="Table"/>
              <w:tabs>
                <w:tab w:val="decimal" w:pos="680"/>
              </w:tabs>
            </w:pPr>
            <w:r>
              <w:t>1.10270</w:t>
            </w:r>
          </w:p>
        </w:tc>
      </w:tr>
      <w:tr w:rsidR="00E468C8">
        <w:tblPrEx>
          <w:tblCellMar>
            <w:left w:w="107" w:type="dxa"/>
            <w:right w:w="107" w:type="dxa"/>
          </w:tblCellMar>
        </w:tblPrEx>
        <w:trPr>
          <w:cantSplit/>
        </w:trPr>
        <w:tc>
          <w:tcPr>
            <w:tcW w:w="709" w:type="dxa"/>
            <w:tcBorders>
              <w:top w:val="dotted" w:sz="4" w:space="0" w:color="auto"/>
              <w:left w:val="nil"/>
              <w:bottom w:val="single" w:sz="12" w:space="0" w:color="000000"/>
              <w:right w:val="nil"/>
            </w:tcBorders>
          </w:tcPr>
          <w:p w:rsidR="00E468C8" w:rsidRDefault="0062711D">
            <w:pPr>
              <w:pStyle w:val="Table"/>
            </w:pPr>
            <w:r>
              <w:t>8</w:t>
            </w:r>
          </w:p>
        </w:tc>
        <w:tc>
          <w:tcPr>
            <w:tcW w:w="3260" w:type="dxa"/>
            <w:tcBorders>
              <w:top w:val="dotted" w:sz="4" w:space="0" w:color="auto"/>
              <w:left w:val="nil"/>
              <w:bottom w:val="single" w:sz="12" w:space="0" w:color="000000"/>
              <w:right w:val="nil"/>
            </w:tcBorders>
          </w:tcPr>
          <w:p w:rsidR="00E468C8" w:rsidRDefault="0062711D">
            <w:pPr>
              <w:pStyle w:val="Table"/>
            </w:pPr>
            <w:r>
              <w:t>Northern Territory</w:t>
            </w:r>
          </w:p>
        </w:tc>
        <w:tc>
          <w:tcPr>
            <w:tcW w:w="1985" w:type="dxa"/>
            <w:tcBorders>
              <w:top w:val="dotted" w:sz="4" w:space="0" w:color="auto"/>
              <w:left w:val="nil"/>
              <w:bottom w:val="single" w:sz="12" w:space="0" w:color="000000"/>
              <w:right w:val="nil"/>
            </w:tcBorders>
          </w:tcPr>
          <w:p w:rsidR="00E468C8" w:rsidRDefault="0062711D">
            <w:pPr>
              <w:pStyle w:val="Table"/>
              <w:tabs>
                <w:tab w:val="decimal" w:pos="680"/>
              </w:tabs>
            </w:pPr>
            <w:r>
              <w:t>4.84429</w:t>
            </w:r>
          </w:p>
        </w:tc>
      </w:tr>
    </w:tbl>
    <w:p w:rsidR="00E468C8" w:rsidRDefault="0062711D">
      <w:pPr>
        <w:pStyle w:val="Heading5"/>
      </w:pPr>
      <w:bookmarkStart w:id="110" w:name="_Toc420825149"/>
      <w:bookmarkStart w:id="111" w:name="_Toc421425105"/>
      <w:bookmarkStart w:id="112" w:name="_Toc421597108"/>
      <w:bookmarkStart w:id="113" w:name="_Toc421597728"/>
      <w:bookmarkStart w:id="114" w:name="_Toc422101870"/>
      <w:bookmarkStart w:id="115" w:name="_Toc422644239"/>
      <w:bookmarkStart w:id="116" w:name="_Toc423142131"/>
      <w:bookmarkStart w:id="117" w:name="_Toc434046890"/>
      <w:bookmarkStart w:id="118" w:name="_Toc434725736"/>
      <w:bookmarkStart w:id="119" w:name="_Toc434995262"/>
      <w:bookmarkStart w:id="120" w:name="_Toc434997447"/>
      <w:bookmarkStart w:id="121" w:name="_Toc449340142"/>
      <w:bookmarkStart w:id="122" w:name="_Toc449341089"/>
      <w:bookmarkStart w:id="123" w:name="_Toc449349463"/>
      <w:bookmarkStart w:id="124" w:name="_Toc449413032"/>
      <w:bookmarkStart w:id="125" w:name="_Toc449416358"/>
      <w:bookmarkStart w:id="126" w:name="_Toc451743877"/>
      <w:bookmarkStart w:id="127" w:name="_Toc452883138"/>
      <w:bookmarkStart w:id="128" w:name="_Toc453383465"/>
      <w:r>
        <w:rPr>
          <w:rStyle w:val="CharSectno"/>
        </w:rPr>
        <w:t>4</w:t>
      </w:r>
      <w:r>
        <w:t xml:space="preserve">  Per capita growth deductions</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E468C8" w:rsidRDefault="0062711D">
      <w:pPr>
        <w:pStyle w:val="Subsection"/>
      </w:pPr>
      <w:r>
        <w:tab/>
      </w:r>
      <w:r>
        <w:tab/>
        <w:t>For the purposes of section 10, the maximum amount that may be deducted from the financial assistance grant payable to a State is the amount worked out using the formula:</w:t>
      </w:r>
    </w:p>
    <w:p w:rsidR="00E468C8" w:rsidRDefault="0027019F">
      <w:pPr>
        <w:pStyle w:val="Formula"/>
        <w:ind w:left="284"/>
      </w:pPr>
      <w:r>
        <w:rPr>
          <w:noProof/>
        </w:rPr>
        <w:drawing>
          <wp:inline distT="0" distB="0" distL="0" distR="0" wp14:anchorId="13DF78E9" wp14:editId="2884C3A5">
            <wp:extent cx="4499610" cy="1215390"/>
            <wp:effectExtent l="0" t="0" r="0" b="3810"/>
            <wp:docPr id="1" name="Picture 1" descr="Start formula open square bracket open round bracket Base assistance amount times Index factor times Population factor close round bracket minus open round bracket Base assistance amount times Index factor close round bracket close square bracket times open square bracket start fraction Adjusted State population over Adjusted total populate end fraction close squar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99610" cy="1215390"/>
                    </a:xfrm>
                    <a:prstGeom prst="rect">
                      <a:avLst/>
                    </a:prstGeom>
                  </pic:spPr>
                </pic:pic>
              </a:graphicData>
            </a:graphic>
          </wp:inline>
        </w:drawing>
      </w:r>
    </w:p>
    <w:p w:rsidR="00E468C8" w:rsidRDefault="0062711D">
      <w:pPr>
        <w:pStyle w:val="subsection2"/>
      </w:pPr>
      <w:r>
        <w:t>where:</w:t>
      </w:r>
    </w:p>
    <w:p w:rsidR="00E468C8" w:rsidRDefault="0062711D">
      <w:pPr>
        <w:pStyle w:val="Definition"/>
      </w:pPr>
      <w:r>
        <w:rPr>
          <w:b/>
          <w:bCs/>
          <w:i/>
          <w:iCs/>
        </w:rPr>
        <w:lastRenderedPageBreak/>
        <w:t>adjusted State population</w:t>
      </w:r>
      <w:r>
        <w:t xml:space="preserve"> means the adjusted population of the State in relation to the grant year.</w:t>
      </w:r>
    </w:p>
    <w:p w:rsidR="00E468C8" w:rsidRDefault="0062711D">
      <w:pPr>
        <w:pStyle w:val="Definition"/>
      </w:pPr>
      <w:r>
        <w:rPr>
          <w:b/>
          <w:bCs/>
          <w:i/>
          <w:iCs/>
        </w:rPr>
        <w:t>adjusted total population</w:t>
      </w:r>
      <w:r>
        <w:t xml:space="preserve"> means the sum of the adjusted populations of all the States in relation to the grant year.</w:t>
      </w:r>
    </w:p>
    <w:p w:rsidR="00E468C8" w:rsidRDefault="0062711D">
      <w:pPr>
        <w:pStyle w:val="Definition"/>
      </w:pPr>
      <w:r>
        <w:rPr>
          <w:b/>
          <w:bCs/>
          <w:i/>
          <w:iCs/>
        </w:rPr>
        <w:t>base assistance amount</w:t>
      </w:r>
      <w:r>
        <w:t xml:space="preserve"> means the base assistance amount for the grant year.</w:t>
      </w:r>
    </w:p>
    <w:p w:rsidR="00E468C8" w:rsidRDefault="0062711D">
      <w:pPr>
        <w:pStyle w:val="Definition"/>
      </w:pPr>
      <w:r>
        <w:rPr>
          <w:b/>
          <w:bCs/>
          <w:i/>
          <w:iCs/>
        </w:rPr>
        <w:t>index factor</w:t>
      </w:r>
      <w:r>
        <w:t xml:space="preserve"> means the index factor for the grant year.</w:t>
      </w:r>
    </w:p>
    <w:p w:rsidR="00E468C8" w:rsidRDefault="0062711D">
      <w:pPr>
        <w:pStyle w:val="Definition"/>
      </w:pPr>
      <w:r>
        <w:rPr>
          <w:b/>
          <w:bCs/>
          <w:i/>
          <w:iCs/>
        </w:rPr>
        <w:t>population factor</w:t>
      </w:r>
      <w:r>
        <w:t xml:space="preserve"> means the population factor for the grant year.</w:t>
      </w:r>
    </w:p>
    <w:p w:rsidR="00E468C8" w:rsidRDefault="0062711D">
      <w:pPr>
        <w:pStyle w:val="Heading5"/>
      </w:pPr>
      <w:bookmarkStart w:id="129" w:name="_Toc420825150"/>
      <w:bookmarkStart w:id="130" w:name="_Toc421425106"/>
      <w:bookmarkStart w:id="131" w:name="_Toc421597109"/>
      <w:bookmarkStart w:id="132" w:name="_Toc421597729"/>
      <w:bookmarkStart w:id="133" w:name="_Toc422101871"/>
      <w:bookmarkStart w:id="134" w:name="_Toc422644240"/>
      <w:bookmarkStart w:id="135" w:name="_Toc423142132"/>
      <w:bookmarkStart w:id="136" w:name="_Toc434046891"/>
      <w:bookmarkStart w:id="137" w:name="_Toc434725737"/>
      <w:bookmarkStart w:id="138" w:name="_Toc434995263"/>
      <w:bookmarkStart w:id="139" w:name="_Toc434997448"/>
      <w:bookmarkStart w:id="140" w:name="_Toc449340143"/>
      <w:bookmarkStart w:id="141" w:name="_Toc449341090"/>
      <w:bookmarkStart w:id="142" w:name="_Toc449349464"/>
      <w:bookmarkStart w:id="143" w:name="_Toc449413033"/>
      <w:bookmarkStart w:id="144" w:name="_Toc449416359"/>
      <w:bookmarkStart w:id="145" w:name="_Toc451743878"/>
      <w:bookmarkStart w:id="146" w:name="_Toc452883139"/>
      <w:bookmarkStart w:id="147" w:name="_Toc453383466"/>
      <w:r>
        <w:rPr>
          <w:rStyle w:val="CharSectno"/>
        </w:rPr>
        <w:t>5</w:t>
      </w:r>
      <w:r>
        <w:t xml:space="preserve">  Revenue replacement payments</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rsidR="00E468C8" w:rsidRDefault="0062711D" w:rsidP="0027019F">
      <w:pPr>
        <w:pStyle w:val="Subsection"/>
        <w:spacing w:after="120"/>
      </w:pPr>
      <w:r>
        <w:tab/>
        <w:t>(1)</w:t>
      </w:r>
      <w:r>
        <w:tab/>
        <w:t>For the purposes of section 11A, the revenue replacement payment to be made to a State is worked out using the formula:</w:t>
      </w:r>
    </w:p>
    <w:p w:rsidR="00E468C8" w:rsidRDefault="0027019F">
      <w:pPr>
        <w:pStyle w:val="Formula"/>
        <w:ind w:left="142"/>
        <w:rPr>
          <w:position w:val="-38"/>
        </w:rPr>
      </w:pPr>
      <w:r>
        <w:rPr>
          <w:noProof/>
        </w:rPr>
        <w:drawing>
          <wp:inline distT="0" distB="0" distL="0" distR="0" wp14:anchorId="22918FD9" wp14:editId="377C8695">
            <wp:extent cx="4499610" cy="530225"/>
            <wp:effectExtent l="0" t="0" r="0" b="3175"/>
            <wp:docPr id="2" name="Picture 2" descr="Start formula open square bracket Alcohol base amount times Alcohol share close square bracket plus open square bracket Tobacco base amount times Tobacco share close square bracket plus open square bracket Petroleum base amount times Petroleum share close squar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499610" cy="530225"/>
                    </a:xfrm>
                    <a:prstGeom prst="rect">
                      <a:avLst/>
                    </a:prstGeom>
                  </pic:spPr>
                </pic:pic>
              </a:graphicData>
            </a:graphic>
          </wp:inline>
        </w:drawing>
      </w:r>
    </w:p>
    <w:p w:rsidR="00E468C8" w:rsidRDefault="0062711D">
      <w:pPr>
        <w:pStyle w:val="subsection2"/>
      </w:pPr>
      <w:r>
        <w:t>where:</w:t>
      </w:r>
    </w:p>
    <w:p w:rsidR="00E468C8" w:rsidRDefault="0062711D">
      <w:pPr>
        <w:pStyle w:val="Definition"/>
      </w:pPr>
      <w:r>
        <w:rPr>
          <w:b/>
          <w:bCs/>
          <w:i/>
          <w:iCs/>
        </w:rPr>
        <w:t>alcohol base amount</w:t>
      </w:r>
      <w:r>
        <w:t xml:space="preserve"> means the sum of:</w:t>
      </w:r>
    </w:p>
    <w:p w:rsidR="00E468C8" w:rsidRDefault="0062711D">
      <w:pPr>
        <w:pStyle w:val="indenta"/>
      </w:pPr>
      <w:r>
        <w:tab/>
        <w:t>(a)</w:t>
      </w:r>
      <w:r>
        <w:tab/>
        <w:t>the amounts determined by the Commissioner, before 15 June 2000, to be:</w:t>
      </w:r>
    </w:p>
    <w:p w:rsidR="00E468C8" w:rsidRDefault="0062711D">
      <w:pPr>
        <w:pStyle w:val="indentii"/>
      </w:pPr>
      <w:r>
        <w:tab/>
        <w:t>(</w:t>
      </w:r>
      <w:proofErr w:type="spellStart"/>
      <w:r>
        <w:t>i</w:t>
      </w:r>
      <w:proofErr w:type="spellEnd"/>
      <w:r>
        <w:t>)</w:t>
      </w:r>
      <w:r>
        <w:tab/>
        <w:t>the additional amount of sales tax on taxable dealings to which the Sales Tax (Surcharge) Acts relate that was collected during the pre</w:t>
      </w:r>
      <w:r>
        <w:noBreakHyphen/>
        <w:t>1 June period because of a Commonwealth surcharge; and</w:t>
      </w:r>
    </w:p>
    <w:p w:rsidR="00E468C8" w:rsidRDefault="0062711D">
      <w:pPr>
        <w:pStyle w:val="indentii"/>
      </w:pPr>
      <w:r>
        <w:tab/>
        <w:t>(ii)</w:t>
      </w:r>
      <w:r>
        <w:tab/>
        <w:t>the additional amount of sales tax on taxable dealings to which the Sales Tax (Surcharge) Acts relate that the Commissioner estimates to be likely to be collected during the month of June 2000 because of a Commonwealth surcharge; and</w:t>
      </w:r>
    </w:p>
    <w:p w:rsidR="00E468C8" w:rsidRDefault="0062711D">
      <w:pPr>
        <w:pStyle w:val="indenta"/>
      </w:pPr>
      <w:r>
        <w:tab/>
        <w:t>(b)</w:t>
      </w:r>
      <w:r>
        <w:tab/>
        <w:t>if the June 1999 alcohol base amount exceeds the June 1999 alcohol base estimate amount—the amount of the excess;</w:t>
      </w:r>
    </w:p>
    <w:p w:rsidR="00E468C8" w:rsidRDefault="0062711D">
      <w:pPr>
        <w:pStyle w:val="subsection2"/>
      </w:pPr>
      <w:r>
        <w:t>less the sum of:</w:t>
      </w:r>
    </w:p>
    <w:p w:rsidR="00E468C8" w:rsidRDefault="0062711D">
      <w:pPr>
        <w:pStyle w:val="indenta"/>
      </w:pPr>
      <w:r>
        <w:tab/>
        <w:t>(c)</w:t>
      </w:r>
      <w:r>
        <w:tab/>
        <w:t>if the June 1999 alcohol base estimate amount exceeds the June 1999 alcohol base amount—the amount of the excess; and</w:t>
      </w:r>
    </w:p>
    <w:p w:rsidR="00E468C8" w:rsidRDefault="0062711D">
      <w:pPr>
        <w:pStyle w:val="indenta"/>
      </w:pPr>
      <w:r>
        <w:lastRenderedPageBreak/>
        <w:tab/>
        <w:t>(d)</w:t>
      </w:r>
      <w:r>
        <w:tab/>
        <w:t>the amount determined by the Commissioner to be the additional administrative costs incurred by the Commonwealth in the grant year because of that surcharge or those surcharges.</w:t>
      </w:r>
    </w:p>
    <w:p w:rsidR="00E468C8" w:rsidRDefault="0062711D">
      <w:pPr>
        <w:pStyle w:val="Definition"/>
      </w:pPr>
      <w:r>
        <w:rPr>
          <w:b/>
          <w:bCs/>
          <w:i/>
          <w:iCs/>
        </w:rPr>
        <w:t>alcohol share</w:t>
      </w:r>
      <w:r>
        <w:t xml:space="preserve"> for a State means:</w:t>
      </w:r>
    </w:p>
    <w:p w:rsidR="00E468C8" w:rsidRDefault="0062711D">
      <w:pPr>
        <w:pStyle w:val="indenta"/>
      </w:pPr>
      <w:r>
        <w:tab/>
        <w:t>(a)</w:t>
      </w:r>
      <w:r>
        <w:tab/>
        <w:t>if paragraph (b) does not apply—the number set out opposite the name of the State in the table at the end of this definition; or</w:t>
      </w:r>
    </w:p>
    <w:p w:rsidR="00E468C8" w:rsidRDefault="0062711D">
      <w:pPr>
        <w:pStyle w:val="indenta"/>
      </w:pPr>
      <w:r>
        <w:tab/>
        <w:t>(b)</w:t>
      </w:r>
      <w:r>
        <w:tab/>
        <w:t>if the regulations prescribe a number as the alcohol share for each State for the purposes of this definition—the number so prescribed for the State.</w:t>
      </w:r>
    </w:p>
    <w:p w:rsidR="00E468C8" w:rsidRDefault="00E468C8">
      <w:pPr>
        <w:pStyle w:val="Table"/>
      </w:pPr>
    </w:p>
    <w:tbl>
      <w:tblPr>
        <w:tblW w:w="0" w:type="auto"/>
        <w:tblInd w:w="1134" w:type="dxa"/>
        <w:tblLayout w:type="fixed"/>
        <w:tblLook w:val="0000" w:firstRow="0" w:lastRow="0" w:firstColumn="0" w:lastColumn="0" w:noHBand="0" w:noVBand="0"/>
      </w:tblPr>
      <w:tblGrid>
        <w:gridCol w:w="708"/>
        <w:gridCol w:w="2834"/>
        <w:gridCol w:w="1986"/>
      </w:tblGrid>
      <w:tr w:rsidR="00E468C8">
        <w:trPr>
          <w:cantSplit/>
          <w:tblHeader/>
        </w:trPr>
        <w:tc>
          <w:tcPr>
            <w:tcW w:w="5528" w:type="dxa"/>
            <w:gridSpan w:val="3"/>
            <w:tcBorders>
              <w:top w:val="single" w:sz="12" w:space="0" w:color="000000"/>
              <w:left w:val="nil"/>
              <w:bottom w:val="nil"/>
              <w:right w:val="nil"/>
            </w:tcBorders>
          </w:tcPr>
          <w:p w:rsidR="00E468C8" w:rsidRDefault="0062711D">
            <w:pPr>
              <w:pStyle w:val="Table"/>
              <w:keepNext/>
              <w:rPr>
                <w:b/>
                <w:bCs/>
              </w:rPr>
            </w:pPr>
            <w:r>
              <w:rPr>
                <w:b/>
                <w:bCs/>
              </w:rPr>
              <w:t>Revenue replacement payments—alcohol share</w:t>
            </w:r>
          </w:p>
        </w:tc>
      </w:tr>
      <w:tr w:rsidR="00E468C8">
        <w:tblPrEx>
          <w:tblCellMar>
            <w:left w:w="107" w:type="dxa"/>
            <w:right w:w="107" w:type="dxa"/>
          </w:tblCellMar>
        </w:tblPrEx>
        <w:trPr>
          <w:cantSplit/>
          <w:tblHeader/>
        </w:trPr>
        <w:tc>
          <w:tcPr>
            <w:tcW w:w="708" w:type="dxa"/>
            <w:tcBorders>
              <w:top w:val="single" w:sz="6" w:space="0" w:color="000000"/>
              <w:left w:val="nil"/>
              <w:bottom w:val="single" w:sz="12" w:space="0" w:color="auto"/>
              <w:right w:val="nil"/>
            </w:tcBorders>
          </w:tcPr>
          <w:p w:rsidR="00E468C8" w:rsidRDefault="0062711D">
            <w:pPr>
              <w:pStyle w:val="Table"/>
              <w:keepNext/>
              <w:rPr>
                <w:b/>
                <w:bCs/>
              </w:rPr>
            </w:pPr>
            <w:r>
              <w:rPr>
                <w:b/>
                <w:bCs/>
              </w:rPr>
              <w:t>Item</w:t>
            </w:r>
          </w:p>
        </w:tc>
        <w:tc>
          <w:tcPr>
            <w:tcW w:w="2834" w:type="dxa"/>
            <w:tcBorders>
              <w:top w:val="single" w:sz="6" w:space="0" w:color="000000"/>
              <w:left w:val="nil"/>
              <w:bottom w:val="single" w:sz="12" w:space="0" w:color="auto"/>
              <w:right w:val="nil"/>
            </w:tcBorders>
          </w:tcPr>
          <w:p w:rsidR="00E468C8" w:rsidRDefault="0062711D">
            <w:pPr>
              <w:pStyle w:val="Table"/>
              <w:keepNext/>
              <w:rPr>
                <w:b/>
                <w:bCs/>
              </w:rPr>
            </w:pPr>
            <w:r>
              <w:rPr>
                <w:b/>
                <w:bCs/>
              </w:rPr>
              <w:t>State</w:t>
            </w:r>
          </w:p>
        </w:tc>
        <w:tc>
          <w:tcPr>
            <w:tcW w:w="1985" w:type="dxa"/>
            <w:tcBorders>
              <w:top w:val="single" w:sz="6" w:space="0" w:color="000000"/>
              <w:left w:val="nil"/>
              <w:bottom w:val="single" w:sz="12" w:space="0" w:color="auto"/>
              <w:right w:val="nil"/>
            </w:tcBorders>
          </w:tcPr>
          <w:p w:rsidR="00E468C8" w:rsidRDefault="0062711D">
            <w:pPr>
              <w:pStyle w:val="Table"/>
              <w:keepNext/>
              <w:jc w:val="center"/>
              <w:rPr>
                <w:b/>
                <w:bCs/>
              </w:rPr>
            </w:pPr>
            <w:r>
              <w:rPr>
                <w:b/>
                <w:bCs/>
              </w:rPr>
              <w:t>Alcohol share</w:t>
            </w:r>
          </w:p>
        </w:tc>
      </w:tr>
      <w:tr w:rsidR="00E468C8">
        <w:tblPrEx>
          <w:tblCellMar>
            <w:left w:w="107" w:type="dxa"/>
            <w:right w:w="107" w:type="dxa"/>
          </w:tblCellMar>
        </w:tblPrEx>
        <w:trPr>
          <w:cantSplit/>
        </w:trPr>
        <w:tc>
          <w:tcPr>
            <w:tcW w:w="708" w:type="dxa"/>
            <w:tcBorders>
              <w:top w:val="nil"/>
              <w:left w:val="nil"/>
              <w:bottom w:val="dotted" w:sz="4" w:space="0" w:color="auto"/>
              <w:right w:val="nil"/>
            </w:tcBorders>
          </w:tcPr>
          <w:p w:rsidR="00E468C8" w:rsidRDefault="0062711D">
            <w:pPr>
              <w:pStyle w:val="Table"/>
            </w:pPr>
            <w:r>
              <w:t>1</w:t>
            </w:r>
          </w:p>
        </w:tc>
        <w:tc>
          <w:tcPr>
            <w:tcW w:w="2834" w:type="dxa"/>
            <w:tcBorders>
              <w:top w:val="nil"/>
              <w:left w:val="nil"/>
              <w:bottom w:val="dotted" w:sz="4" w:space="0" w:color="auto"/>
              <w:right w:val="nil"/>
            </w:tcBorders>
          </w:tcPr>
          <w:p w:rsidR="00E468C8" w:rsidRDefault="0062711D">
            <w:pPr>
              <w:pStyle w:val="Table"/>
            </w:pPr>
            <w:r>
              <w:t>New South Wales</w:t>
            </w:r>
          </w:p>
        </w:tc>
        <w:tc>
          <w:tcPr>
            <w:tcW w:w="1985" w:type="dxa"/>
            <w:tcBorders>
              <w:top w:val="nil"/>
              <w:left w:val="nil"/>
              <w:bottom w:val="dotted" w:sz="4" w:space="0" w:color="auto"/>
              <w:right w:val="nil"/>
            </w:tcBorders>
          </w:tcPr>
          <w:p w:rsidR="00E468C8" w:rsidRDefault="0062711D">
            <w:pPr>
              <w:pStyle w:val="Table"/>
              <w:tabs>
                <w:tab w:val="decimal" w:pos="602"/>
              </w:tabs>
            </w:pPr>
            <w:r>
              <w:t>0.33796</w:t>
            </w:r>
          </w:p>
        </w:tc>
      </w:tr>
      <w:tr w:rsidR="00E468C8">
        <w:tblPrEx>
          <w:tblCellMar>
            <w:left w:w="107" w:type="dxa"/>
            <w:right w:w="107" w:type="dxa"/>
          </w:tblCellMar>
        </w:tblPrEx>
        <w:trPr>
          <w:cantSplit/>
        </w:trPr>
        <w:tc>
          <w:tcPr>
            <w:tcW w:w="708" w:type="dxa"/>
            <w:tcBorders>
              <w:top w:val="dotted" w:sz="4" w:space="0" w:color="auto"/>
              <w:left w:val="nil"/>
              <w:bottom w:val="dotted" w:sz="4" w:space="0" w:color="auto"/>
              <w:right w:val="nil"/>
            </w:tcBorders>
          </w:tcPr>
          <w:p w:rsidR="00E468C8" w:rsidRDefault="0062711D">
            <w:pPr>
              <w:pStyle w:val="Table"/>
            </w:pPr>
            <w:r>
              <w:t>2</w:t>
            </w:r>
          </w:p>
        </w:tc>
        <w:tc>
          <w:tcPr>
            <w:tcW w:w="2834" w:type="dxa"/>
            <w:tcBorders>
              <w:top w:val="dotted" w:sz="4" w:space="0" w:color="auto"/>
              <w:left w:val="nil"/>
              <w:bottom w:val="dotted" w:sz="4" w:space="0" w:color="auto"/>
              <w:right w:val="nil"/>
            </w:tcBorders>
          </w:tcPr>
          <w:p w:rsidR="00E468C8" w:rsidRDefault="0062711D">
            <w:pPr>
              <w:pStyle w:val="Table"/>
            </w:pPr>
            <w:r>
              <w:t>Victoria</w:t>
            </w:r>
          </w:p>
        </w:tc>
        <w:tc>
          <w:tcPr>
            <w:tcW w:w="1985" w:type="dxa"/>
            <w:tcBorders>
              <w:top w:val="dotted" w:sz="4" w:space="0" w:color="auto"/>
              <w:left w:val="nil"/>
              <w:bottom w:val="dotted" w:sz="4" w:space="0" w:color="auto"/>
              <w:right w:val="nil"/>
            </w:tcBorders>
          </w:tcPr>
          <w:p w:rsidR="00E468C8" w:rsidRDefault="0062711D">
            <w:pPr>
              <w:pStyle w:val="Table"/>
              <w:tabs>
                <w:tab w:val="decimal" w:pos="602"/>
              </w:tabs>
            </w:pPr>
            <w:r>
              <w:t>0.22332</w:t>
            </w:r>
          </w:p>
        </w:tc>
      </w:tr>
      <w:tr w:rsidR="00E468C8">
        <w:tblPrEx>
          <w:tblCellMar>
            <w:left w:w="107" w:type="dxa"/>
            <w:right w:w="107" w:type="dxa"/>
          </w:tblCellMar>
        </w:tblPrEx>
        <w:trPr>
          <w:cantSplit/>
        </w:trPr>
        <w:tc>
          <w:tcPr>
            <w:tcW w:w="708" w:type="dxa"/>
            <w:tcBorders>
              <w:top w:val="dotted" w:sz="4" w:space="0" w:color="auto"/>
              <w:left w:val="nil"/>
              <w:bottom w:val="dotted" w:sz="4" w:space="0" w:color="auto"/>
              <w:right w:val="nil"/>
            </w:tcBorders>
          </w:tcPr>
          <w:p w:rsidR="00E468C8" w:rsidRDefault="0062711D">
            <w:pPr>
              <w:pStyle w:val="Table"/>
            </w:pPr>
            <w:r>
              <w:t>3</w:t>
            </w:r>
          </w:p>
        </w:tc>
        <w:tc>
          <w:tcPr>
            <w:tcW w:w="2834" w:type="dxa"/>
            <w:tcBorders>
              <w:top w:val="dotted" w:sz="4" w:space="0" w:color="auto"/>
              <w:left w:val="nil"/>
              <w:bottom w:val="dotted" w:sz="4" w:space="0" w:color="auto"/>
              <w:right w:val="nil"/>
            </w:tcBorders>
          </w:tcPr>
          <w:p w:rsidR="00E468C8" w:rsidRDefault="0062711D">
            <w:pPr>
              <w:pStyle w:val="Table"/>
            </w:pPr>
            <w:r>
              <w:t>Queensland</w:t>
            </w:r>
          </w:p>
        </w:tc>
        <w:tc>
          <w:tcPr>
            <w:tcW w:w="1985" w:type="dxa"/>
            <w:tcBorders>
              <w:top w:val="dotted" w:sz="4" w:space="0" w:color="auto"/>
              <w:left w:val="nil"/>
              <w:bottom w:val="dotted" w:sz="4" w:space="0" w:color="auto"/>
              <w:right w:val="nil"/>
            </w:tcBorders>
          </w:tcPr>
          <w:p w:rsidR="00E468C8" w:rsidRDefault="0062711D">
            <w:pPr>
              <w:pStyle w:val="Table"/>
              <w:tabs>
                <w:tab w:val="decimal" w:pos="602"/>
              </w:tabs>
            </w:pPr>
            <w:r>
              <w:t>0.19314</w:t>
            </w:r>
          </w:p>
        </w:tc>
      </w:tr>
      <w:tr w:rsidR="00E468C8">
        <w:tblPrEx>
          <w:tblCellMar>
            <w:left w:w="107" w:type="dxa"/>
            <w:right w:w="107" w:type="dxa"/>
          </w:tblCellMar>
        </w:tblPrEx>
        <w:trPr>
          <w:cantSplit/>
        </w:trPr>
        <w:tc>
          <w:tcPr>
            <w:tcW w:w="708" w:type="dxa"/>
            <w:tcBorders>
              <w:top w:val="dotted" w:sz="4" w:space="0" w:color="auto"/>
              <w:left w:val="nil"/>
              <w:bottom w:val="dotted" w:sz="4" w:space="0" w:color="auto"/>
              <w:right w:val="nil"/>
            </w:tcBorders>
          </w:tcPr>
          <w:p w:rsidR="00E468C8" w:rsidRDefault="0062711D">
            <w:pPr>
              <w:pStyle w:val="Table"/>
            </w:pPr>
            <w:r>
              <w:t>4</w:t>
            </w:r>
          </w:p>
        </w:tc>
        <w:tc>
          <w:tcPr>
            <w:tcW w:w="2834" w:type="dxa"/>
            <w:tcBorders>
              <w:top w:val="dotted" w:sz="4" w:space="0" w:color="auto"/>
              <w:left w:val="nil"/>
              <w:bottom w:val="dotted" w:sz="4" w:space="0" w:color="auto"/>
              <w:right w:val="nil"/>
            </w:tcBorders>
          </w:tcPr>
          <w:p w:rsidR="00E468C8" w:rsidRDefault="0062711D">
            <w:pPr>
              <w:pStyle w:val="Table"/>
            </w:pPr>
            <w:r>
              <w:t>Western Australia</w:t>
            </w:r>
          </w:p>
        </w:tc>
        <w:tc>
          <w:tcPr>
            <w:tcW w:w="1985" w:type="dxa"/>
            <w:tcBorders>
              <w:top w:val="dotted" w:sz="4" w:space="0" w:color="auto"/>
              <w:left w:val="nil"/>
              <w:bottom w:val="dotted" w:sz="4" w:space="0" w:color="auto"/>
              <w:right w:val="nil"/>
            </w:tcBorders>
          </w:tcPr>
          <w:p w:rsidR="00E468C8" w:rsidRDefault="0062711D">
            <w:pPr>
              <w:pStyle w:val="Table"/>
              <w:tabs>
                <w:tab w:val="decimal" w:pos="602"/>
              </w:tabs>
            </w:pPr>
            <w:r>
              <w:t>0.11147</w:t>
            </w:r>
          </w:p>
        </w:tc>
      </w:tr>
      <w:tr w:rsidR="00E468C8">
        <w:tblPrEx>
          <w:tblCellMar>
            <w:left w:w="107" w:type="dxa"/>
            <w:right w:w="107" w:type="dxa"/>
          </w:tblCellMar>
        </w:tblPrEx>
        <w:trPr>
          <w:cantSplit/>
        </w:trPr>
        <w:tc>
          <w:tcPr>
            <w:tcW w:w="708" w:type="dxa"/>
            <w:tcBorders>
              <w:top w:val="dotted" w:sz="4" w:space="0" w:color="auto"/>
              <w:left w:val="nil"/>
              <w:bottom w:val="dotted" w:sz="4" w:space="0" w:color="auto"/>
              <w:right w:val="nil"/>
            </w:tcBorders>
          </w:tcPr>
          <w:p w:rsidR="00E468C8" w:rsidRDefault="0062711D">
            <w:pPr>
              <w:pStyle w:val="Table"/>
            </w:pPr>
            <w:r>
              <w:t>5</w:t>
            </w:r>
          </w:p>
        </w:tc>
        <w:tc>
          <w:tcPr>
            <w:tcW w:w="2834" w:type="dxa"/>
            <w:tcBorders>
              <w:top w:val="dotted" w:sz="4" w:space="0" w:color="auto"/>
              <w:left w:val="nil"/>
              <w:bottom w:val="dotted" w:sz="4" w:space="0" w:color="auto"/>
              <w:right w:val="nil"/>
            </w:tcBorders>
          </w:tcPr>
          <w:p w:rsidR="00E468C8" w:rsidRDefault="0062711D">
            <w:pPr>
              <w:pStyle w:val="Table"/>
            </w:pPr>
            <w:r>
              <w:t>South Australia</w:t>
            </w:r>
          </w:p>
        </w:tc>
        <w:tc>
          <w:tcPr>
            <w:tcW w:w="1985" w:type="dxa"/>
            <w:tcBorders>
              <w:top w:val="dotted" w:sz="4" w:space="0" w:color="auto"/>
              <w:left w:val="nil"/>
              <w:bottom w:val="dotted" w:sz="4" w:space="0" w:color="auto"/>
              <w:right w:val="nil"/>
            </w:tcBorders>
          </w:tcPr>
          <w:p w:rsidR="00E468C8" w:rsidRDefault="0062711D">
            <w:pPr>
              <w:pStyle w:val="Table"/>
              <w:tabs>
                <w:tab w:val="decimal" w:pos="602"/>
              </w:tabs>
            </w:pPr>
            <w:r>
              <w:t>0.07857</w:t>
            </w:r>
          </w:p>
        </w:tc>
      </w:tr>
      <w:tr w:rsidR="00E468C8">
        <w:tblPrEx>
          <w:tblCellMar>
            <w:left w:w="107" w:type="dxa"/>
            <w:right w:w="107" w:type="dxa"/>
          </w:tblCellMar>
        </w:tblPrEx>
        <w:trPr>
          <w:cantSplit/>
        </w:trPr>
        <w:tc>
          <w:tcPr>
            <w:tcW w:w="708" w:type="dxa"/>
            <w:tcBorders>
              <w:top w:val="dotted" w:sz="4" w:space="0" w:color="auto"/>
              <w:left w:val="nil"/>
              <w:bottom w:val="dotted" w:sz="4" w:space="0" w:color="auto"/>
              <w:right w:val="nil"/>
            </w:tcBorders>
          </w:tcPr>
          <w:p w:rsidR="00E468C8" w:rsidRDefault="0062711D">
            <w:pPr>
              <w:pStyle w:val="Table"/>
            </w:pPr>
            <w:r>
              <w:t>6</w:t>
            </w:r>
          </w:p>
        </w:tc>
        <w:tc>
          <w:tcPr>
            <w:tcW w:w="2834" w:type="dxa"/>
            <w:tcBorders>
              <w:top w:val="dotted" w:sz="4" w:space="0" w:color="auto"/>
              <w:left w:val="nil"/>
              <w:bottom w:val="dotted" w:sz="4" w:space="0" w:color="auto"/>
              <w:right w:val="nil"/>
            </w:tcBorders>
          </w:tcPr>
          <w:p w:rsidR="00E468C8" w:rsidRDefault="0062711D">
            <w:pPr>
              <w:pStyle w:val="Table"/>
            </w:pPr>
            <w:r>
              <w:t>Tasmania</w:t>
            </w:r>
          </w:p>
        </w:tc>
        <w:tc>
          <w:tcPr>
            <w:tcW w:w="1985" w:type="dxa"/>
            <w:tcBorders>
              <w:top w:val="dotted" w:sz="4" w:space="0" w:color="auto"/>
              <w:left w:val="nil"/>
              <w:bottom w:val="dotted" w:sz="4" w:space="0" w:color="auto"/>
              <w:right w:val="nil"/>
            </w:tcBorders>
          </w:tcPr>
          <w:p w:rsidR="00E468C8" w:rsidRDefault="0062711D">
            <w:pPr>
              <w:pStyle w:val="Table"/>
              <w:tabs>
                <w:tab w:val="decimal" w:pos="602"/>
              </w:tabs>
            </w:pPr>
            <w:r>
              <w:t>0.02415</w:t>
            </w:r>
          </w:p>
        </w:tc>
      </w:tr>
      <w:tr w:rsidR="00E468C8">
        <w:tblPrEx>
          <w:tblCellMar>
            <w:left w:w="107" w:type="dxa"/>
            <w:right w:w="107" w:type="dxa"/>
          </w:tblCellMar>
        </w:tblPrEx>
        <w:trPr>
          <w:cantSplit/>
        </w:trPr>
        <w:tc>
          <w:tcPr>
            <w:tcW w:w="708" w:type="dxa"/>
            <w:tcBorders>
              <w:top w:val="dotted" w:sz="4" w:space="0" w:color="auto"/>
              <w:left w:val="nil"/>
              <w:bottom w:val="dotted" w:sz="4" w:space="0" w:color="auto"/>
              <w:right w:val="nil"/>
            </w:tcBorders>
          </w:tcPr>
          <w:p w:rsidR="00E468C8" w:rsidRDefault="0062711D">
            <w:pPr>
              <w:pStyle w:val="Table"/>
            </w:pPr>
            <w:r>
              <w:t>7</w:t>
            </w:r>
          </w:p>
        </w:tc>
        <w:tc>
          <w:tcPr>
            <w:tcW w:w="2834" w:type="dxa"/>
            <w:tcBorders>
              <w:top w:val="dotted" w:sz="4" w:space="0" w:color="auto"/>
              <w:left w:val="nil"/>
              <w:bottom w:val="dotted" w:sz="4" w:space="0" w:color="auto"/>
              <w:right w:val="nil"/>
            </w:tcBorders>
          </w:tcPr>
          <w:p w:rsidR="00E468C8" w:rsidRDefault="0062711D">
            <w:pPr>
              <w:pStyle w:val="Table"/>
            </w:pPr>
            <w:r>
              <w:t>Australian Capital Territory</w:t>
            </w:r>
          </w:p>
        </w:tc>
        <w:tc>
          <w:tcPr>
            <w:tcW w:w="1985" w:type="dxa"/>
            <w:tcBorders>
              <w:top w:val="dotted" w:sz="4" w:space="0" w:color="auto"/>
              <w:left w:val="nil"/>
              <w:bottom w:val="dotted" w:sz="4" w:space="0" w:color="auto"/>
              <w:right w:val="nil"/>
            </w:tcBorders>
          </w:tcPr>
          <w:p w:rsidR="00E468C8" w:rsidRDefault="0062711D">
            <w:pPr>
              <w:pStyle w:val="Table"/>
              <w:tabs>
                <w:tab w:val="decimal" w:pos="602"/>
              </w:tabs>
            </w:pPr>
            <w:r>
              <w:t>0.01569</w:t>
            </w:r>
          </w:p>
        </w:tc>
      </w:tr>
      <w:tr w:rsidR="00E468C8">
        <w:tblPrEx>
          <w:tblCellMar>
            <w:left w:w="107" w:type="dxa"/>
            <w:right w:w="107" w:type="dxa"/>
          </w:tblCellMar>
        </w:tblPrEx>
        <w:trPr>
          <w:cantSplit/>
        </w:trPr>
        <w:tc>
          <w:tcPr>
            <w:tcW w:w="708" w:type="dxa"/>
            <w:tcBorders>
              <w:top w:val="dotted" w:sz="4" w:space="0" w:color="auto"/>
              <w:left w:val="nil"/>
              <w:bottom w:val="single" w:sz="12" w:space="0" w:color="000000"/>
              <w:right w:val="nil"/>
            </w:tcBorders>
          </w:tcPr>
          <w:p w:rsidR="00E468C8" w:rsidRDefault="0062711D">
            <w:pPr>
              <w:pStyle w:val="Table"/>
            </w:pPr>
            <w:r>
              <w:t>8</w:t>
            </w:r>
          </w:p>
        </w:tc>
        <w:tc>
          <w:tcPr>
            <w:tcW w:w="2834" w:type="dxa"/>
            <w:tcBorders>
              <w:top w:val="dotted" w:sz="4" w:space="0" w:color="auto"/>
              <w:left w:val="nil"/>
              <w:bottom w:val="single" w:sz="12" w:space="0" w:color="000000"/>
              <w:right w:val="nil"/>
            </w:tcBorders>
          </w:tcPr>
          <w:p w:rsidR="00E468C8" w:rsidRDefault="0062711D">
            <w:pPr>
              <w:pStyle w:val="Table"/>
            </w:pPr>
            <w:r>
              <w:t>Northern Territory</w:t>
            </w:r>
          </w:p>
        </w:tc>
        <w:tc>
          <w:tcPr>
            <w:tcW w:w="1985" w:type="dxa"/>
            <w:tcBorders>
              <w:top w:val="dotted" w:sz="4" w:space="0" w:color="auto"/>
              <w:left w:val="nil"/>
              <w:bottom w:val="single" w:sz="12" w:space="0" w:color="000000"/>
              <w:right w:val="nil"/>
            </w:tcBorders>
          </w:tcPr>
          <w:p w:rsidR="00E468C8" w:rsidRDefault="0062711D">
            <w:pPr>
              <w:pStyle w:val="Table"/>
              <w:tabs>
                <w:tab w:val="decimal" w:pos="602"/>
              </w:tabs>
            </w:pPr>
            <w:r>
              <w:t>0.01569</w:t>
            </w:r>
          </w:p>
        </w:tc>
      </w:tr>
    </w:tbl>
    <w:p w:rsidR="00E468C8" w:rsidRDefault="0062711D">
      <w:pPr>
        <w:pStyle w:val="Definition"/>
      </w:pPr>
      <w:r>
        <w:rPr>
          <w:b/>
          <w:bCs/>
          <w:i/>
          <w:iCs/>
        </w:rPr>
        <w:t>petroleum base amount</w:t>
      </w:r>
      <w:r>
        <w:t xml:space="preserve"> means the sum of:</w:t>
      </w:r>
    </w:p>
    <w:p w:rsidR="00E468C8" w:rsidRDefault="0062711D">
      <w:pPr>
        <w:pStyle w:val="indenta"/>
      </w:pPr>
      <w:r>
        <w:tab/>
        <w:t>(a)</w:t>
      </w:r>
      <w:r>
        <w:tab/>
        <w:t>the amounts determined by the CEO, before 15 June 2000, to be:</w:t>
      </w:r>
    </w:p>
    <w:p w:rsidR="00E468C8" w:rsidRDefault="0062711D">
      <w:pPr>
        <w:pStyle w:val="indentii"/>
      </w:pPr>
      <w:r>
        <w:tab/>
        <w:t>(</w:t>
      </w:r>
      <w:proofErr w:type="spellStart"/>
      <w:r>
        <w:t>i</w:t>
      </w:r>
      <w:proofErr w:type="spellEnd"/>
      <w:r>
        <w:t>)</w:t>
      </w:r>
      <w:r>
        <w:tab/>
        <w:t xml:space="preserve">the additional amount of customs duty on goods falling to subheadings of Chapter 27 of Schedule 3 to the </w:t>
      </w:r>
      <w:r>
        <w:rPr>
          <w:i/>
          <w:iCs/>
        </w:rPr>
        <w:t>Customs Tariff Act 1995</w:t>
      </w:r>
      <w:r>
        <w:t xml:space="preserve"> that was collected during the pre</w:t>
      </w:r>
      <w:r>
        <w:noBreakHyphen/>
        <w:t>1 June period because of a Commonwealth surcharge; and</w:t>
      </w:r>
    </w:p>
    <w:p w:rsidR="00E468C8" w:rsidRDefault="0062711D">
      <w:pPr>
        <w:pStyle w:val="notepara"/>
      </w:pPr>
      <w:r>
        <w:t>Note:</w:t>
      </w:r>
      <w:r>
        <w:tab/>
        <w:t xml:space="preserve">Chapter 27 of Schedule 3 to the </w:t>
      </w:r>
      <w:r>
        <w:rPr>
          <w:i/>
          <w:iCs/>
        </w:rPr>
        <w:t>Customs Tariff Act 1995</w:t>
      </w:r>
      <w:r>
        <w:t xml:space="preserve"> deals with petroleum products.</w:t>
      </w:r>
    </w:p>
    <w:p w:rsidR="00E468C8" w:rsidRDefault="0062711D">
      <w:pPr>
        <w:pStyle w:val="indentii"/>
      </w:pPr>
      <w:r>
        <w:tab/>
        <w:t>(ii)</w:t>
      </w:r>
      <w:r>
        <w:tab/>
        <w:t xml:space="preserve">the additional amount of customs duty on goods falling to subheadings of Chapter 27 of Schedule 3 to the </w:t>
      </w:r>
      <w:r>
        <w:rPr>
          <w:i/>
          <w:iCs/>
        </w:rPr>
        <w:t>Customs Tariff Act 1995</w:t>
      </w:r>
      <w:r>
        <w:t xml:space="preserve"> that the CEO estimates to be </w:t>
      </w:r>
      <w:r>
        <w:lastRenderedPageBreak/>
        <w:t>likely to be collected during the month of June 2000 because of a Commonwealth surcharge; and</w:t>
      </w:r>
    </w:p>
    <w:p w:rsidR="00E468C8" w:rsidRDefault="0062711D">
      <w:pPr>
        <w:pStyle w:val="indenta"/>
      </w:pPr>
      <w:r>
        <w:tab/>
        <w:t>(b)</w:t>
      </w:r>
      <w:r>
        <w:tab/>
        <w:t>the amounts determined by the Commissioner, before 15 June 2000, to be:</w:t>
      </w:r>
    </w:p>
    <w:p w:rsidR="00E468C8" w:rsidRDefault="0062711D">
      <w:pPr>
        <w:pStyle w:val="indentii"/>
      </w:pPr>
      <w:r>
        <w:tab/>
        <w:t>(</w:t>
      </w:r>
      <w:proofErr w:type="spellStart"/>
      <w:r>
        <w:t>i</w:t>
      </w:r>
      <w:proofErr w:type="spellEnd"/>
      <w:r>
        <w:t>)</w:t>
      </w:r>
      <w:r>
        <w:tab/>
        <w:t xml:space="preserve">the additional amount of excise duty on goods falling to items 11 and 12 of the Schedule to the </w:t>
      </w:r>
      <w:r>
        <w:rPr>
          <w:i/>
          <w:iCs/>
        </w:rPr>
        <w:t>Excise Tariff Act 1921</w:t>
      </w:r>
      <w:r>
        <w:t xml:space="preserve"> that was collected during the pre</w:t>
      </w:r>
      <w:r>
        <w:noBreakHyphen/>
        <w:t>1 June period because of a Commonwealth surcharge; and</w:t>
      </w:r>
    </w:p>
    <w:p w:rsidR="00E468C8" w:rsidRDefault="0062711D">
      <w:pPr>
        <w:pStyle w:val="notepara"/>
      </w:pPr>
      <w:r>
        <w:t>Note:</w:t>
      </w:r>
      <w:r>
        <w:tab/>
        <w:t xml:space="preserve">Items 11 and 12 of the Schedule to the </w:t>
      </w:r>
      <w:r>
        <w:rPr>
          <w:i/>
          <w:iCs/>
        </w:rPr>
        <w:t>Excise Tariff Act 1921</w:t>
      </w:r>
      <w:r>
        <w:t xml:space="preserve"> deal with petroleum products.</w:t>
      </w:r>
    </w:p>
    <w:p w:rsidR="00E468C8" w:rsidRDefault="0062711D">
      <w:pPr>
        <w:pStyle w:val="indentii"/>
      </w:pPr>
      <w:r>
        <w:tab/>
        <w:t>(ii)</w:t>
      </w:r>
      <w:r>
        <w:tab/>
        <w:t xml:space="preserve">the additional amount of excise duty on goods falling to items 11 and 12 of the Schedule to the </w:t>
      </w:r>
      <w:r>
        <w:rPr>
          <w:i/>
          <w:iCs/>
        </w:rPr>
        <w:t>Excise Tariff Act 1921</w:t>
      </w:r>
      <w:r>
        <w:t xml:space="preserve"> that the Commissioner estimates to be likely to be collected during the month of June 2000 because of a Commonwealth surcharge; and</w:t>
      </w:r>
    </w:p>
    <w:p w:rsidR="00E468C8" w:rsidRDefault="0062711D">
      <w:pPr>
        <w:pStyle w:val="indenta"/>
      </w:pPr>
      <w:r>
        <w:tab/>
        <w:t>(c)</w:t>
      </w:r>
      <w:r>
        <w:tab/>
        <w:t>if the June 1999 petroleum base amount exceeds the June 1999 petroleum base estimate amount—the amount of the excess;</w:t>
      </w:r>
    </w:p>
    <w:p w:rsidR="00E468C8" w:rsidRDefault="0062711D">
      <w:pPr>
        <w:pStyle w:val="subsection2"/>
      </w:pPr>
      <w:r>
        <w:t>less the sum of:</w:t>
      </w:r>
    </w:p>
    <w:p w:rsidR="00E468C8" w:rsidRDefault="0062711D">
      <w:pPr>
        <w:pStyle w:val="indenta"/>
      </w:pPr>
      <w:r>
        <w:tab/>
        <w:t>(d)</w:t>
      </w:r>
      <w:r>
        <w:tab/>
        <w:t>if the June 1999 petroleum base estimate amount exceeds the June 1999 petroleum base amount—the amount of the excess; and</w:t>
      </w:r>
    </w:p>
    <w:p w:rsidR="00E468C8" w:rsidRDefault="0062711D">
      <w:pPr>
        <w:pStyle w:val="indenta"/>
      </w:pPr>
      <w:r>
        <w:tab/>
        <w:t>(e)</w:t>
      </w:r>
      <w:r>
        <w:tab/>
        <w:t>the amount determined by the CEO to be the additional administrative costs incurred by the Commonwealth in the grant year because of the surcharges mentioned in paragraph (a); and</w:t>
      </w:r>
    </w:p>
    <w:p w:rsidR="00E468C8" w:rsidRDefault="0062711D">
      <w:pPr>
        <w:pStyle w:val="indenta"/>
      </w:pPr>
      <w:r>
        <w:tab/>
        <w:t>(f)</w:t>
      </w:r>
      <w:r>
        <w:tab/>
        <w:t>the amount determined by the Commissioner to be the additional administrative costs incurred by the Commonwealth in the grant year because of the surcharges mentioned in paragraph (b).</w:t>
      </w:r>
    </w:p>
    <w:p w:rsidR="00E468C8" w:rsidRDefault="0062711D">
      <w:pPr>
        <w:pStyle w:val="Definition"/>
      </w:pPr>
      <w:r>
        <w:rPr>
          <w:b/>
          <w:bCs/>
          <w:i/>
          <w:iCs/>
        </w:rPr>
        <w:t>petroleum share</w:t>
      </w:r>
      <w:r>
        <w:t xml:space="preserve"> for a State means:</w:t>
      </w:r>
    </w:p>
    <w:p w:rsidR="00E468C8" w:rsidRDefault="0062711D">
      <w:pPr>
        <w:pStyle w:val="indenta"/>
      </w:pPr>
      <w:r>
        <w:tab/>
        <w:t>(a)</w:t>
      </w:r>
      <w:r>
        <w:tab/>
        <w:t>if paragraph (b) does not apply—the number set out opposite the name of the State in the table at the end of this definition; or</w:t>
      </w:r>
    </w:p>
    <w:p w:rsidR="00E468C8" w:rsidRDefault="0062711D">
      <w:pPr>
        <w:pStyle w:val="indenta"/>
      </w:pPr>
      <w:r>
        <w:tab/>
        <w:t>(b)</w:t>
      </w:r>
      <w:r>
        <w:tab/>
        <w:t>if the regulations prescribe a number as the petroleum share for each State for the purposes of this definition—the number so prescribed for the State.</w:t>
      </w:r>
    </w:p>
    <w:p w:rsidR="00E468C8" w:rsidRDefault="00E468C8">
      <w:pPr>
        <w:pStyle w:val="Table"/>
      </w:pPr>
    </w:p>
    <w:tbl>
      <w:tblPr>
        <w:tblW w:w="0" w:type="auto"/>
        <w:tblInd w:w="1276" w:type="dxa"/>
        <w:tblLayout w:type="fixed"/>
        <w:tblLook w:val="0000" w:firstRow="0" w:lastRow="0" w:firstColumn="0" w:lastColumn="0" w:noHBand="0" w:noVBand="0"/>
      </w:tblPr>
      <w:tblGrid>
        <w:gridCol w:w="708"/>
        <w:gridCol w:w="2834"/>
        <w:gridCol w:w="1986"/>
      </w:tblGrid>
      <w:tr w:rsidR="00E468C8">
        <w:trPr>
          <w:cantSplit/>
          <w:tblHeader/>
        </w:trPr>
        <w:tc>
          <w:tcPr>
            <w:tcW w:w="5528" w:type="dxa"/>
            <w:gridSpan w:val="3"/>
            <w:tcBorders>
              <w:top w:val="single" w:sz="12" w:space="0" w:color="000000"/>
              <w:left w:val="nil"/>
              <w:bottom w:val="nil"/>
              <w:right w:val="nil"/>
            </w:tcBorders>
          </w:tcPr>
          <w:p w:rsidR="00E468C8" w:rsidRDefault="0062711D">
            <w:pPr>
              <w:pStyle w:val="Table"/>
              <w:keepNext/>
              <w:rPr>
                <w:b/>
                <w:bCs/>
              </w:rPr>
            </w:pPr>
            <w:r>
              <w:rPr>
                <w:b/>
                <w:bCs/>
              </w:rPr>
              <w:lastRenderedPageBreak/>
              <w:t>Revenue replacement payments—petroleum share</w:t>
            </w:r>
          </w:p>
        </w:tc>
      </w:tr>
      <w:tr w:rsidR="00E468C8">
        <w:tblPrEx>
          <w:tblCellMar>
            <w:left w:w="107" w:type="dxa"/>
            <w:right w:w="107" w:type="dxa"/>
          </w:tblCellMar>
        </w:tblPrEx>
        <w:trPr>
          <w:cantSplit/>
          <w:tblHeader/>
        </w:trPr>
        <w:tc>
          <w:tcPr>
            <w:tcW w:w="708" w:type="dxa"/>
            <w:tcBorders>
              <w:top w:val="single" w:sz="6" w:space="0" w:color="000000"/>
              <w:left w:val="nil"/>
              <w:bottom w:val="single" w:sz="12" w:space="0" w:color="auto"/>
              <w:right w:val="nil"/>
            </w:tcBorders>
          </w:tcPr>
          <w:p w:rsidR="00E468C8" w:rsidRDefault="0062711D">
            <w:pPr>
              <w:pStyle w:val="Table"/>
              <w:keepNext/>
              <w:rPr>
                <w:b/>
                <w:bCs/>
              </w:rPr>
            </w:pPr>
            <w:r>
              <w:rPr>
                <w:b/>
                <w:bCs/>
              </w:rPr>
              <w:t>Item</w:t>
            </w:r>
          </w:p>
        </w:tc>
        <w:tc>
          <w:tcPr>
            <w:tcW w:w="2834" w:type="dxa"/>
            <w:tcBorders>
              <w:top w:val="single" w:sz="6" w:space="0" w:color="000000"/>
              <w:left w:val="nil"/>
              <w:bottom w:val="single" w:sz="12" w:space="0" w:color="auto"/>
              <w:right w:val="nil"/>
            </w:tcBorders>
          </w:tcPr>
          <w:p w:rsidR="00E468C8" w:rsidRDefault="0062711D">
            <w:pPr>
              <w:pStyle w:val="Table"/>
              <w:keepNext/>
              <w:rPr>
                <w:b/>
                <w:bCs/>
              </w:rPr>
            </w:pPr>
            <w:r>
              <w:rPr>
                <w:b/>
                <w:bCs/>
              </w:rPr>
              <w:t>State</w:t>
            </w:r>
          </w:p>
        </w:tc>
        <w:tc>
          <w:tcPr>
            <w:tcW w:w="1985" w:type="dxa"/>
            <w:tcBorders>
              <w:top w:val="single" w:sz="6" w:space="0" w:color="000000"/>
              <w:left w:val="nil"/>
              <w:bottom w:val="single" w:sz="12" w:space="0" w:color="auto"/>
              <w:right w:val="nil"/>
            </w:tcBorders>
          </w:tcPr>
          <w:p w:rsidR="00E468C8" w:rsidRDefault="0062711D">
            <w:pPr>
              <w:pStyle w:val="Table"/>
              <w:keepNext/>
              <w:jc w:val="center"/>
              <w:rPr>
                <w:b/>
                <w:bCs/>
              </w:rPr>
            </w:pPr>
            <w:r>
              <w:rPr>
                <w:b/>
                <w:bCs/>
              </w:rPr>
              <w:t>Petroleum share</w:t>
            </w:r>
          </w:p>
        </w:tc>
      </w:tr>
      <w:tr w:rsidR="00E468C8">
        <w:tblPrEx>
          <w:tblCellMar>
            <w:left w:w="107" w:type="dxa"/>
            <w:right w:w="107" w:type="dxa"/>
          </w:tblCellMar>
        </w:tblPrEx>
        <w:trPr>
          <w:cantSplit/>
        </w:trPr>
        <w:tc>
          <w:tcPr>
            <w:tcW w:w="708" w:type="dxa"/>
            <w:tcBorders>
              <w:top w:val="nil"/>
              <w:left w:val="nil"/>
              <w:bottom w:val="dotted" w:sz="4" w:space="0" w:color="auto"/>
              <w:right w:val="nil"/>
            </w:tcBorders>
          </w:tcPr>
          <w:p w:rsidR="00E468C8" w:rsidRDefault="0062711D">
            <w:pPr>
              <w:pStyle w:val="Table"/>
            </w:pPr>
            <w:r>
              <w:t>1</w:t>
            </w:r>
          </w:p>
        </w:tc>
        <w:tc>
          <w:tcPr>
            <w:tcW w:w="2834" w:type="dxa"/>
            <w:tcBorders>
              <w:top w:val="nil"/>
              <w:left w:val="nil"/>
              <w:bottom w:val="dotted" w:sz="4" w:space="0" w:color="auto"/>
              <w:right w:val="nil"/>
            </w:tcBorders>
          </w:tcPr>
          <w:p w:rsidR="00E468C8" w:rsidRDefault="0062711D">
            <w:pPr>
              <w:pStyle w:val="Table"/>
            </w:pPr>
            <w:r>
              <w:t>New South Wales</w:t>
            </w:r>
          </w:p>
        </w:tc>
        <w:tc>
          <w:tcPr>
            <w:tcW w:w="1985" w:type="dxa"/>
            <w:tcBorders>
              <w:top w:val="nil"/>
              <w:left w:val="nil"/>
              <w:bottom w:val="dotted" w:sz="4" w:space="0" w:color="auto"/>
              <w:right w:val="nil"/>
            </w:tcBorders>
          </w:tcPr>
          <w:p w:rsidR="00E468C8" w:rsidRDefault="0062711D">
            <w:pPr>
              <w:pStyle w:val="Table"/>
              <w:tabs>
                <w:tab w:val="decimal" w:pos="680"/>
              </w:tabs>
            </w:pPr>
            <w:r>
              <w:t>0.30039</w:t>
            </w:r>
          </w:p>
        </w:tc>
      </w:tr>
      <w:tr w:rsidR="00E468C8">
        <w:tblPrEx>
          <w:tblCellMar>
            <w:left w:w="107" w:type="dxa"/>
            <w:right w:w="107" w:type="dxa"/>
          </w:tblCellMar>
        </w:tblPrEx>
        <w:trPr>
          <w:cantSplit/>
        </w:trPr>
        <w:tc>
          <w:tcPr>
            <w:tcW w:w="708" w:type="dxa"/>
            <w:tcBorders>
              <w:top w:val="dotted" w:sz="4" w:space="0" w:color="auto"/>
              <w:left w:val="nil"/>
              <w:bottom w:val="dotted" w:sz="4" w:space="0" w:color="auto"/>
              <w:right w:val="nil"/>
            </w:tcBorders>
          </w:tcPr>
          <w:p w:rsidR="00E468C8" w:rsidRDefault="0062711D">
            <w:pPr>
              <w:pStyle w:val="Table"/>
            </w:pPr>
            <w:r>
              <w:t>2</w:t>
            </w:r>
          </w:p>
        </w:tc>
        <w:tc>
          <w:tcPr>
            <w:tcW w:w="2834" w:type="dxa"/>
            <w:tcBorders>
              <w:top w:val="dotted" w:sz="4" w:space="0" w:color="auto"/>
              <w:left w:val="nil"/>
              <w:bottom w:val="dotted" w:sz="4" w:space="0" w:color="auto"/>
              <w:right w:val="nil"/>
            </w:tcBorders>
          </w:tcPr>
          <w:p w:rsidR="00E468C8" w:rsidRDefault="0062711D">
            <w:pPr>
              <w:pStyle w:val="Table"/>
            </w:pPr>
            <w:r>
              <w:t>Victoria</w:t>
            </w:r>
          </w:p>
        </w:tc>
        <w:tc>
          <w:tcPr>
            <w:tcW w:w="1985" w:type="dxa"/>
            <w:tcBorders>
              <w:top w:val="dotted" w:sz="4" w:space="0" w:color="auto"/>
              <w:left w:val="nil"/>
              <w:bottom w:val="dotted" w:sz="4" w:space="0" w:color="auto"/>
              <w:right w:val="nil"/>
            </w:tcBorders>
          </w:tcPr>
          <w:p w:rsidR="00E468C8" w:rsidRDefault="0062711D">
            <w:pPr>
              <w:pStyle w:val="Table"/>
              <w:tabs>
                <w:tab w:val="decimal" w:pos="680"/>
              </w:tabs>
            </w:pPr>
            <w:r>
              <w:t>0.20153</w:t>
            </w:r>
          </w:p>
        </w:tc>
      </w:tr>
      <w:tr w:rsidR="00E468C8">
        <w:tblPrEx>
          <w:tblCellMar>
            <w:left w:w="107" w:type="dxa"/>
            <w:right w:w="107" w:type="dxa"/>
          </w:tblCellMar>
        </w:tblPrEx>
        <w:trPr>
          <w:cantSplit/>
        </w:trPr>
        <w:tc>
          <w:tcPr>
            <w:tcW w:w="708" w:type="dxa"/>
            <w:tcBorders>
              <w:top w:val="dotted" w:sz="4" w:space="0" w:color="auto"/>
              <w:left w:val="nil"/>
              <w:bottom w:val="dotted" w:sz="4" w:space="0" w:color="auto"/>
              <w:right w:val="nil"/>
            </w:tcBorders>
          </w:tcPr>
          <w:p w:rsidR="00E468C8" w:rsidRDefault="0062711D">
            <w:pPr>
              <w:pStyle w:val="Table"/>
            </w:pPr>
            <w:r>
              <w:t>3</w:t>
            </w:r>
          </w:p>
        </w:tc>
        <w:tc>
          <w:tcPr>
            <w:tcW w:w="2834" w:type="dxa"/>
            <w:tcBorders>
              <w:top w:val="dotted" w:sz="4" w:space="0" w:color="auto"/>
              <w:left w:val="nil"/>
              <w:bottom w:val="dotted" w:sz="4" w:space="0" w:color="auto"/>
              <w:right w:val="nil"/>
            </w:tcBorders>
          </w:tcPr>
          <w:p w:rsidR="00E468C8" w:rsidRDefault="0062711D">
            <w:pPr>
              <w:pStyle w:val="Table"/>
            </w:pPr>
            <w:r>
              <w:t>Queensland</w:t>
            </w:r>
          </w:p>
        </w:tc>
        <w:tc>
          <w:tcPr>
            <w:tcW w:w="1985" w:type="dxa"/>
            <w:tcBorders>
              <w:top w:val="dotted" w:sz="4" w:space="0" w:color="auto"/>
              <w:left w:val="nil"/>
              <w:bottom w:val="dotted" w:sz="4" w:space="0" w:color="auto"/>
              <w:right w:val="nil"/>
            </w:tcBorders>
          </w:tcPr>
          <w:p w:rsidR="00E468C8" w:rsidRDefault="0062711D">
            <w:pPr>
              <w:pStyle w:val="Table"/>
              <w:tabs>
                <w:tab w:val="decimal" w:pos="680"/>
              </w:tabs>
            </w:pPr>
            <w:r>
              <w:t>0.19593</w:t>
            </w:r>
          </w:p>
        </w:tc>
      </w:tr>
      <w:tr w:rsidR="00E468C8">
        <w:tblPrEx>
          <w:tblCellMar>
            <w:left w:w="107" w:type="dxa"/>
            <w:right w:w="107" w:type="dxa"/>
          </w:tblCellMar>
        </w:tblPrEx>
        <w:trPr>
          <w:cantSplit/>
        </w:trPr>
        <w:tc>
          <w:tcPr>
            <w:tcW w:w="708" w:type="dxa"/>
            <w:tcBorders>
              <w:top w:val="dotted" w:sz="4" w:space="0" w:color="auto"/>
              <w:left w:val="nil"/>
              <w:bottom w:val="dotted" w:sz="4" w:space="0" w:color="auto"/>
              <w:right w:val="nil"/>
            </w:tcBorders>
          </w:tcPr>
          <w:p w:rsidR="00E468C8" w:rsidRDefault="0062711D">
            <w:pPr>
              <w:pStyle w:val="Table"/>
            </w:pPr>
            <w:r>
              <w:t>4</w:t>
            </w:r>
          </w:p>
        </w:tc>
        <w:tc>
          <w:tcPr>
            <w:tcW w:w="2834" w:type="dxa"/>
            <w:tcBorders>
              <w:top w:val="dotted" w:sz="4" w:space="0" w:color="auto"/>
              <w:left w:val="nil"/>
              <w:bottom w:val="dotted" w:sz="4" w:space="0" w:color="auto"/>
              <w:right w:val="nil"/>
            </w:tcBorders>
          </w:tcPr>
          <w:p w:rsidR="00E468C8" w:rsidRDefault="0062711D">
            <w:pPr>
              <w:pStyle w:val="Table"/>
            </w:pPr>
            <w:r>
              <w:t>Western Australia</w:t>
            </w:r>
          </w:p>
        </w:tc>
        <w:tc>
          <w:tcPr>
            <w:tcW w:w="1985" w:type="dxa"/>
            <w:tcBorders>
              <w:top w:val="dotted" w:sz="4" w:space="0" w:color="auto"/>
              <w:left w:val="nil"/>
              <w:bottom w:val="dotted" w:sz="4" w:space="0" w:color="auto"/>
              <w:right w:val="nil"/>
            </w:tcBorders>
          </w:tcPr>
          <w:p w:rsidR="00E468C8" w:rsidRDefault="0062711D">
            <w:pPr>
              <w:pStyle w:val="Table"/>
              <w:tabs>
                <w:tab w:val="decimal" w:pos="680"/>
              </w:tabs>
            </w:pPr>
            <w:r>
              <w:t>0.17118</w:t>
            </w:r>
          </w:p>
        </w:tc>
      </w:tr>
      <w:tr w:rsidR="00E468C8">
        <w:tblPrEx>
          <w:tblCellMar>
            <w:left w:w="107" w:type="dxa"/>
            <w:right w:w="107" w:type="dxa"/>
          </w:tblCellMar>
        </w:tblPrEx>
        <w:trPr>
          <w:cantSplit/>
        </w:trPr>
        <w:tc>
          <w:tcPr>
            <w:tcW w:w="708" w:type="dxa"/>
            <w:tcBorders>
              <w:top w:val="dotted" w:sz="4" w:space="0" w:color="auto"/>
              <w:left w:val="nil"/>
              <w:bottom w:val="dotted" w:sz="4" w:space="0" w:color="auto"/>
              <w:right w:val="nil"/>
            </w:tcBorders>
          </w:tcPr>
          <w:p w:rsidR="00E468C8" w:rsidRDefault="0062711D">
            <w:pPr>
              <w:pStyle w:val="Table"/>
            </w:pPr>
            <w:r>
              <w:t>5</w:t>
            </w:r>
          </w:p>
        </w:tc>
        <w:tc>
          <w:tcPr>
            <w:tcW w:w="2834" w:type="dxa"/>
            <w:tcBorders>
              <w:top w:val="dotted" w:sz="4" w:space="0" w:color="auto"/>
              <w:left w:val="nil"/>
              <w:bottom w:val="dotted" w:sz="4" w:space="0" w:color="auto"/>
              <w:right w:val="nil"/>
            </w:tcBorders>
          </w:tcPr>
          <w:p w:rsidR="00E468C8" w:rsidRDefault="0062711D">
            <w:pPr>
              <w:pStyle w:val="Table"/>
            </w:pPr>
            <w:r>
              <w:t>South Australia</w:t>
            </w:r>
          </w:p>
        </w:tc>
        <w:tc>
          <w:tcPr>
            <w:tcW w:w="1985" w:type="dxa"/>
            <w:tcBorders>
              <w:top w:val="dotted" w:sz="4" w:space="0" w:color="auto"/>
              <w:left w:val="nil"/>
              <w:bottom w:val="dotted" w:sz="4" w:space="0" w:color="auto"/>
              <w:right w:val="nil"/>
            </w:tcBorders>
          </w:tcPr>
          <w:p w:rsidR="00E468C8" w:rsidRDefault="0062711D">
            <w:pPr>
              <w:pStyle w:val="Table"/>
              <w:tabs>
                <w:tab w:val="decimal" w:pos="680"/>
              </w:tabs>
            </w:pPr>
            <w:r>
              <w:t>0.07549</w:t>
            </w:r>
          </w:p>
        </w:tc>
      </w:tr>
      <w:tr w:rsidR="00E468C8">
        <w:tblPrEx>
          <w:tblCellMar>
            <w:left w:w="107" w:type="dxa"/>
            <w:right w:w="107" w:type="dxa"/>
          </w:tblCellMar>
        </w:tblPrEx>
        <w:trPr>
          <w:cantSplit/>
        </w:trPr>
        <w:tc>
          <w:tcPr>
            <w:tcW w:w="708" w:type="dxa"/>
            <w:tcBorders>
              <w:top w:val="dotted" w:sz="4" w:space="0" w:color="auto"/>
              <w:left w:val="nil"/>
              <w:bottom w:val="dotted" w:sz="4" w:space="0" w:color="auto"/>
              <w:right w:val="nil"/>
            </w:tcBorders>
          </w:tcPr>
          <w:p w:rsidR="00E468C8" w:rsidRDefault="0062711D">
            <w:pPr>
              <w:pStyle w:val="Table"/>
            </w:pPr>
            <w:r>
              <w:t>6</w:t>
            </w:r>
          </w:p>
        </w:tc>
        <w:tc>
          <w:tcPr>
            <w:tcW w:w="2834" w:type="dxa"/>
            <w:tcBorders>
              <w:top w:val="dotted" w:sz="4" w:space="0" w:color="auto"/>
              <w:left w:val="nil"/>
              <w:bottom w:val="dotted" w:sz="4" w:space="0" w:color="auto"/>
              <w:right w:val="nil"/>
            </w:tcBorders>
          </w:tcPr>
          <w:p w:rsidR="00E468C8" w:rsidRDefault="0062711D">
            <w:pPr>
              <w:pStyle w:val="Table"/>
            </w:pPr>
            <w:r>
              <w:t>Tasmania</w:t>
            </w:r>
          </w:p>
        </w:tc>
        <w:tc>
          <w:tcPr>
            <w:tcW w:w="1985" w:type="dxa"/>
            <w:tcBorders>
              <w:top w:val="dotted" w:sz="4" w:space="0" w:color="auto"/>
              <w:left w:val="nil"/>
              <w:bottom w:val="dotted" w:sz="4" w:space="0" w:color="auto"/>
              <w:right w:val="nil"/>
            </w:tcBorders>
          </w:tcPr>
          <w:p w:rsidR="00E468C8" w:rsidRDefault="0062711D">
            <w:pPr>
              <w:pStyle w:val="Table"/>
              <w:tabs>
                <w:tab w:val="decimal" w:pos="680"/>
              </w:tabs>
            </w:pPr>
            <w:r>
              <w:t>0.02453</w:t>
            </w:r>
          </w:p>
        </w:tc>
      </w:tr>
      <w:tr w:rsidR="00E468C8">
        <w:tblPrEx>
          <w:tblCellMar>
            <w:left w:w="107" w:type="dxa"/>
            <w:right w:w="107" w:type="dxa"/>
          </w:tblCellMar>
        </w:tblPrEx>
        <w:trPr>
          <w:cantSplit/>
        </w:trPr>
        <w:tc>
          <w:tcPr>
            <w:tcW w:w="708" w:type="dxa"/>
            <w:tcBorders>
              <w:top w:val="dotted" w:sz="4" w:space="0" w:color="auto"/>
              <w:left w:val="nil"/>
              <w:bottom w:val="dotted" w:sz="4" w:space="0" w:color="auto"/>
              <w:right w:val="nil"/>
            </w:tcBorders>
          </w:tcPr>
          <w:p w:rsidR="00E468C8" w:rsidRDefault="0062711D">
            <w:pPr>
              <w:pStyle w:val="Table"/>
            </w:pPr>
            <w:r>
              <w:t>7</w:t>
            </w:r>
          </w:p>
        </w:tc>
        <w:tc>
          <w:tcPr>
            <w:tcW w:w="2834" w:type="dxa"/>
            <w:tcBorders>
              <w:top w:val="dotted" w:sz="4" w:space="0" w:color="auto"/>
              <w:left w:val="nil"/>
              <w:bottom w:val="dotted" w:sz="4" w:space="0" w:color="auto"/>
              <w:right w:val="nil"/>
            </w:tcBorders>
          </w:tcPr>
          <w:p w:rsidR="00E468C8" w:rsidRDefault="0062711D">
            <w:pPr>
              <w:pStyle w:val="Table"/>
            </w:pPr>
            <w:r>
              <w:t>Australian Capital Territory</w:t>
            </w:r>
          </w:p>
        </w:tc>
        <w:tc>
          <w:tcPr>
            <w:tcW w:w="1985" w:type="dxa"/>
            <w:tcBorders>
              <w:top w:val="dotted" w:sz="4" w:space="0" w:color="auto"/>
              <w:left w:val="nil"/>
              <w:bottom w:val="dotted" w:sz="4" w:space="0" w:color="auto"/>
              <w:right w:val="nil"/>
            </w:tcBorders>
          </w:tcPr>
          <w:p w:rsidR="00E468C8" w:rsidRDefault="0062711D">
            <w:pPr>
              <w:pStyle w:val="Table"/>
              <w:tabs>
                <w:tab w:val="decimal" w:pos="680"/>
              </w:tabs>
            </w:pPr>
            <w:r>
              <w:t>0.01291</w:t>
            </w:r>
          </w:p>
        </w:tc>
      </w:tr>
      <w:tr w:rsidR="00E468C8">
        <w:tblPrEx>
          <w:tblCellMar>
            <w:left w:w="107" w:type="dxa"/>
            <w:right w:w="107" w:type="dxa"/>
          </w:tblCellMar>
        </w:tblPrEx>
        <w:trPr>
          <w:cantSplit/>
        </w:trPr>
        <w:tc>
          <w:tcPr>
            <w:tcW w:w="708" w:type="dxa"/>
            <w:tcBorders>
              <w:top w:val="dotted" w:sz="4" w:space="0" w:color="auto"/>
              <w:left w:val="nil"/>
              <w:bottom w:val="single" w:sz="12" w:space="0" w:color="000000"/>
              <w:right w:val="nil"/>
            </w:tcBorders>
          </w:tcPr>
          <w:p w:rsidR="00E468C8" w:rsidRDefault="0062711D">
            <w:pPr>
              <w:pStyle w:val="Table"/>
            </w:pPr>
            <w:r>
              <w:t>8</w:t>
            </w:r>
          </w:p>
        </w:tc>
        <w:tc>
          <w:tcPr>
            <w:tcW w:w="2834" w:type="dxa"/>
            <w:tcBorders>
              <w:top w:val="dotted" w:sz="4" w:space="0" w:color="auto"/>
              <w:left w:val="nil"/>
              <w:bottom w:val="single" w:sz="12" w:space="0" w:color="000000"/>
              <w:right w:val="nil"/>
            </w:tcBorders>
          </w:tcPr>
          <w:p w:rsidR="00E468C8" w:rsidRDefault="0062711D">
            <w:pPr>
              <w:pStyle w:val="Table"/>
            </w:pPr>
            <w:r>
              <w:t>Northern Territory</w:t>
            </w:r>
          </w:p>
        </w:tc>
        <w:tc>
          <w:tcPr>
            <w:tcW w:w="1985" w:type="dxa"/>
            <w:tcBorders>
              <w:top w:val="dotted" w:sz="4" w:space="0" w:color="auto"/>
              <w:left w:val="nil"/>
              <w:bottom w:val="single" w:sz="12" w:space="0" w:color="000000"/>
              <w:right w:val="nil"/>
            </w:tcBorders>
          </w:tcPr>
          <w:p w:rsidR="00E468C8" w:rsidRDefault="0062711D">
            <w:pPr>
              <w:pStyle w:val="Table"/>
              <w:tabs>
                <w:tab w:val="decimal" w:pos="680"/>
              </w:tabs>
            </w:pPr>
            <w:r>
              <w:t>0.01804</w:t>
            </w:r>
          </w:p>
        </w:tc>
      </w:tr>
    </w:tbl>
    <w:p w:rsidR="00E468C8" w:rsidRDefault="0062711D">
      <w:pPr>
        <w:pStyle w:val="Definition"/>
      </w:pPr>
      <w:r>
        <w:rPr>
          <w:b/>
          <w:bCs/>
          <w:i/>
          <w:iCs/>
        </w:rPr>
        <w:t>tobacco base amount</w:t>
      </w:r>
      <w:r>
        <w:t xml:space="preserve"> means the sum of:</w:t>
      </w:r>
    </w:p>
    <w:p w:rsidR="00E468C8" w:rsidRDefault="0062711D">
      <w:pPr>
        <w:pStyle w:val="indenta"/>
      </w:pPr>
      <w:r>
        <w:tab/>
        <w:t>(a)</w:t>
      </w:r>
      <w:r>
        <w:tab/>
        <w:t>the amounts determined by the CEO, before 15 June 2000, to be:</w:t>
      </w:r>
    </w:p>
    <w:p w:rsidR="00E468C8" w:rsidRDefault="0062711D">
      <w:pPr>
        <w:pStyle w:val="indentii"/>
      </w:pPr>
      <w:r>
        <w:tab/>
        <w:t>(</w:t>
      </w:r>
      <w:proofErr w:type="spellStart"/>
      <w:r>
        <w:t>i</w:t>
      </w:r>
      <w:proofErr w:type="spellEnd"/>
      <w:r>
        <w:t>)</w:t>
      </w:r>
      <w:r>
        <w:tab/>
        <w:t xml:space="preserve">the additional amount of customs duty on goods falling to subheadings of Chapter 24 of Schedule 3 to the </w:t>
      </w:r>
      <w:r>
        <w:rPr>
          <w:i/>
          <w:iCs/>
        </w:rPr>
        <w:t>Customs Tariff Act 1995</w:t>
      </w:r>
      <w:r>
        <w:t xml:space="preserve"> that was collected during the pre</w:t>
      </w:r>
      <w:r>
        <w:noBreakHyphen/>
        <w:t>1 June period because of a Commonwealth surcharge; and</w:t>
      </w:r>
    </w:p>
    <w:p w:rsidR="00E468C8" w:rsidRDefault="0062711D">
      <w:pPr>
        <w:pStyle w:val="notepara"/>
      </w:pPr>
      <w:r>
        <w:t>Note:</w:t>
      </w:r>
      <w:r>
        <w:tab/>
        <w:t xml:space="preserve">Chapter 24 of Schedule 3 to the </w:t>
      </w:r>
      <w:r>
        <w:rPr>
          <w:i/>
          <w:iCs/>
        </w:rPr>
        <w:t>Customs Tariff Act 1995</w:t>
      </w:r>
      <w:r>
        <w:t xml:space="preserve"> deals with tobacco and manufactured tobacco substitutes.</w:t>
      </w:r>
    </w:p>
    <w:p w:rsidR="00E468C8" w:rsidRDefault="0062711D">
      <w:pPr>
        <w:pStyle w:val="indentii"/>
      </w:pPr>
      <w:r>
        <w:tab/>
        <w:t>(ii)</w:t>
      </w:r>
      <w:r>
        <w:tab/>
        <w:t xml:space="preserve">the additional amount of customs duty on goods falling to subheadings of Chapter 24 of Schedule 3 to the </w:t>
      </w:r>
      <w:r>
        <w:rPr>
          <w:i/>
          <w:iCs/>
        </w:rPr>
        <w:t>Customs Tariff Act 1995</w:t>
      </w:r>
      <w:r>
        <w:t xml:space="preserve"> that the CEO estimates to be likely to be collected during the month of June 2000 because of a Commonwealth surcharge; and</w:t>
      </w:r>
    </w:p>
    <w:p w:rsidR="00E468C8" w:rsidRDefault="0062711D">
      <w:pPr>
        <w:pStyle w:val="indenta"/>
      </w:pPr>
      <w:r>
        <w:tab/>
        <w:t>(b)</w:t>
      </w:r>
      <w:r>
        <w:tab/>
        <w:t>the amounts determined by the Commissioner, before 15 June 2000, to be:</w:t>
      </w:r>
    </w:p>
    <w:p w:rsidR="00E468C8" w:rsidRDefault="0062711D">
      <w:pPr>
        <w:pStyle w:val="indentii"/>
      </w:pPr>
      <w:r>
        <w:tab/>
        <w:t>(</w:t>
      </w:r>
      <w:proofErr w:type="spellStart"/>
      <w:r>
        <w:t>i</w:t>
      </w:r>
      <w:proofErr w:type="spellEnd"/>
      <w:r>
        <w:t>)</w:t>
      </w:r>
      <w:r>
        <w:tab/>
        <w:t xml:space="preserve">the additional amount of excise duty on goods falling to items 6, 7 and 8 of the Schedule to the </w:t>
      </w:r>
      <w:r>
        <w:rPr>
          <w:i/>
          <w:iCs/>
        </w:rPr>
        <w:t>Excise Tariff Act 1921</w:t>
      </w:r>
      <w:r>
        <w:t xml:space="preserve"> that was collected during the pre</w:t>
      </w:r>
      <w:r>
        <w:noBreakHyphen/>
        <w:t>1 June period because of a Commonwealth surcharge; and</w:t>
      </w:r>
    </w:p>
    <w:p w:rsidR="00E468C8" w:rsidRDefault="0062711D">
      <w:pPr>
        <w:pStyle w:val="notepara"/>
      </w:pPr>
      <w:r>
        <w:t>Note:</w:t>
      </w:r>
      <w:r>
        <w:tab/>
        <w:t xml:space="preserve">Items 6, 7 and 8 of the Schedule to the </w:t>
      </w:r>
      <w:r>
        <w:rPr>
          <w:i/>
          <w:iCs/>
        </w:rPr>
        <w:t>Excise Tariff Act 1921</w:t>
      </w:r>
      <w:r>
        <w:t xml:space="preserve"> deal with tobacco, cigars and cigarettes.</w:t>
      </w:r>
    </w:p>
    <w:p w:rsidR="00E468C8" w:rsidRDefault="0062711D">
      <w:pPr>
        <w:pStyle w:val="indentii"/>
      </w:pPr>
      <w:r>
        <w:tab/>
        <w:t>(ii)</w:t>
      </w:r>
      <w:r>
        <w:tab/>
        <w:t xml:space="preserve">the additional amount of excise duty on goods falling to items 6, 7 and 8 of the Schedule to the </w:t>
      </w:r>
      <w:r>
        <w:rPr>
          <w:i/>
          <w:iCs/>
        </w:rPr>
        <w:t>Excise Tariff Act 1921</w:t>
      </w:r>
      <w:r>
        <w:t xml:space="preserve"> that the Commissioner estimates to be likely to be </w:t>
      </w:r>
      <w:r>
        <w:lastRenderedPageBreak/>
        <w:t>collected during the month of June 2000 because of a Commonwealth surcharge; and</w:t>
      </w:r>
    </w:p>
    <w:p w:rsidR="00E468C8" w:rsidRDefault="0062711D">
      <w:pPr>
        <w:pStyle w:val="indenta"/>
      </w:pPr>
      <w:r>
        <w:tab/>
        <w:t>(c)</w:t>
      </w:r>
      <w:r>
        <w:tab/>
        <w:t>if the June 1999 tobacco base amount exceeds the June 1999 tobacco base estimate amount—the amount of the excess;</w:t>
      </w:r>
    </w:p>
    <w:p w:rsidR="00E468C8" w:rsidRDefault="0062711D">
      <w:pPr>
        <w:pStyle w:val="subsection2"/>
      </w:pPr>
      <w:r>
        <w:t>less the sum of:</w:t>
      </w:r>
    </w:p>
    <w:p w:rsidR="00E468C8" w:rsidRDefault="0062711D">
      <w:pPr>
        <w:pStyle w:val="indenta"/>
      </w:pPr>
      <w:r>
        <w:tab/>
        <w:t>(d)</w:t>
      </w:r>
      <w:r>
        <w:tab/>
        <w:t>if the June 1999 tobacco base estimate amount exceeds the June 1999 tobacco base amount—the amount of the excess; and</w:t>
      </w:r>
    </w:p>
    <w:p w:rsidR="00E468C8" w:rsidRDefault="0062711D">
      <w:pPr>
        <w:pStyle w:val="indenta"/>
      </w:pPr>
      <w:r>
        <w:tab/>
        <w:t>(e)</w:t>
      </w:r>
      <w:r>
        <w:tab/>
        <w:t>the amount determined by the CEO to be the additional administrative costs incurred by the Commonwealth in the grant year because of the surcharges mentioned in paragraph (a); and</w:t>
      </w:r>
    </w:p>
    <w:p w:rsidR="00E468C8" w:rsidRDefault="0062711D">
      <w:pPr>
        <w:pStyle w:val="indenta"/>
      </w:pPr>
      <w:r>
        <w:tab/>
        <w:t>(f)</w:t>
      </w:r>
      <w:r>
        <w:tab/>
        <w:t>the amount determined by the Commissioner to be the additional administrative costs incurred by the Commonwealth in the grant year because of the surcharges mentioned in paragraph (b).</w:t>
      </w:r>
    </w:p>
    <w:p w:rsidR="00E468C8" w:rsidRDefault="0062711D">
      <w:pPr>
        <w:pStyle w:val="Definition"/>
      </w:pPr>
      <w:r>
        <w:rPr>
          <w:b/>
          <w:bCs/>
          <w:i/>
          <w:iCs/>
        </w:rPr>
        <w:t>tobacco share</w:t>
      </w:r>
      <w:r>
        <w:t xml:space="preserve"> for a State means:</w:t>
      </w:r>
    </w:p>
    <w:p w:rsidR="00E468C8" w:rsidRDefault="0062711D">
      <w:pPr>
        <w:pStyle w:val="indenta"/>
      </w:pPr>
      <w:r>
        <w:tab/>
        <w:t>(a)</w:t>
      </w:r>
      <w:r>
        <w:tab/>
        <w:t>if paragraph (b) does not apply—the number set out opposite the name of the State in the table at the end of this definition; or</w:t>
      </w:r>
    </w:p>
    <w:p w:rsidR="00E468C8" w:rsidRDefault="0062711D">
      <w:pPr>
        <w:pStyle w:val="indenta"/>
      </w:pPr>
      <w:r>
        <w:tab/>
        <w:t>(b)</w:t>
      </w:r>
      <w:r>
        <w:tab/>
        <w:t>if the regulations prescribe a number as the tobacco share for each State for the purposes of this definition—the number so prescribed for the State.</w:t>
      </w:r>
    </w:p>
    <w:p w:rsidR="00E468C8" w:rsidRDefault="00E468C8">
      <w:pPr>
        <w:pStyle w:val="Table"/>
      </w:pPr>
    </w:p>
    <w:tbl>
      <w:tblPr>
        <w:tblW w:w="0" w:type="auto"/>
        <w:tblInd w:w="1134" w:type="dxa"/>
        <w:tblLayout w:type="fixed"/>
        <w:tblLook w:val="0000" w:firstRow="0" w:lastRow="0" w:firstColumn="0" w:lastColumn="0" w:noHBand="0" w:noVBand="0"/>
      </w:tblPr>
      <w:tblGrid>
        <w:gridCol w:w="708"/>
        <w:gridCol w:w="2834"/>
        <w:gridCol w:w="1986"/>
      </w:tblGrid>
      <w:tr w:rsidR="00E468C8">
        <w:trPr>
          <w:cantSplit/>
          <w:tblHeader/>
        </w:trPr>
        <w:tc>
          <w:tcPr>
            <w:tcW w:w="5528" w:type="dxa"/>
            <w:gridSpan w:val="3"/>
            <w:tcBorders>
              <w:top w:val="single" w:sz="12" w:space="0" w:color="000000"/>
              <w:left w:val="nil"/>
              <w:bottom w:val="nil"/>
              <w:right w:val="nil"/>
            </w:tcBorders>
          </w:tcPr>
          <w:p w:rsidR="00E468C8" w:rsidRDefault="0062711D">
            <w:pPr>
              <w:pStyle w:val="Table"/>
              <w:keepNext/>
              <w:rPr>
                <w:b/>
                <w:bCs/>
              </w:rPr>
            </w:pPr>
            <w:r>
              <w:rPr>
                <w:b/>
                <w:bCs/>
              </w:rPr>
              <w:t>Revenue replacement payments—tobacco share</w:t>
            </w:r>
          </w:p>
        </w:tc>
      </w:tr>
      <w:tr w:rsidR="00E468C8">
        <w:tblPrEx>
          <w:tblCellMar>
            <w:left w:w="107" w:type="dxa"/>
            <w:right w:w="107" w:type="dxa"/>
          </w:tblCellMar>
        </w:tblPrEx>
        <w:trPr>
          <w:cantSplit/>
          <w:tblHeader/>
        </w:trPr>
        <w:tc>
          <w:tcPr>
            <w:tcW w:w="708" w:type="dxa"/>
            <w:tcBorders>
              <w:top w:val="single" w:sz="6" w:space="0" w:color="000000"/>
              <w:left w:val="nil"/>
              <w:bottom w:val="single" w:sz="12" w:space="0" w:color="auto"/>
              <w:right w:val="nil"/>
            </w:tcBorders>
          </w:tcPr>
          <w:p w:rsidR="00E468C8" w:rsidRDefault="0062711D">
            <w:pPr>
              <w:pStyle w:val="Table"/>
              <w:keepNext/>
              <w:rPr>
                <w:b/>
                <w:bCs/>
              </w:rPr>
            </w:pPr>
            <w:r>
              <w:rPr>
                <w:b/>
                <w:bCs/>
              </w:rPr>
              <w:t>Item</w:t>
            </w:r>
          </w:p>
        </w:tc>
        <w:tc>
          <w:tcPr>
            <w:tcW w:w="2834" w:type="dxa"/>
            <w:tcBorders>
              <w:top w:val="single" w:sz="6" w:space="0" w:color="000000"/>
              <w:left w:val="nil"/>
              <w:bottom w:val="single" w:sz="12" w:space="0" w:color="auto"/>
              <w:right w:val="nil"/>
            </w:tcBorders>
          </w:tcPr>
          <w:p w:rsidR="00E468C8" w:rsidRDefault="0062711D">
            <w:pPr>
              <w:pStyle w:val="Table"/>
              <w:keepNext/>
              <w:rPr>
                <w:b/>
                <w:bCs/>
              </w:rPr>
            </w:pPr>
            <w:r>
              <w:rPr>
                <w:b/>
                <w:bCs/>
              </w:rPr>
              <w:t>State</w:t>
            </w:r>
          </w:p>
        </w:tc>
        <w:tc>
          <w:tcPr>
            <w:tcW w:w="1985" w:type="dxa"/>
            <w:tcBorders>
              <w:top w:val="single" w:sz="6" w:space="0" w:color="000000"/>
              <w:left w:val="nil"/>
              <w:bottom w:val="single" w:sz="12" w:space="0" w:color="auto"/>
              <w:right w:val="nil"/>
            </w:tcBorders>
          </w:tcPr>
          <w:p w:rsidR="00E468C8" w:rsidRDefault="0062711D">
            <w:pPr>
              <w:pStyle w:val="Table"/>
              <w:keepNext/>
              <w:jc w:val="center"/>
              <w:rPr>
                <w:b/>
                <w:bCs/>
              </w:rPr>
            </w:pPr>
            <w:r>
              <w:rPr>
                <w:b/>
                <w:bCs/>
              </w:rPr>
              <w:t>Tobacco share</w:t>
            </w:r>
          </w:p>
        </w:tc>
      </w:tr>
      <w:tr w:rsidR="00E468C8">
        <w:tblPrEx>
          <w:tblCellMar>
            <w:left w:w="107" w:type="dxa"/>
            <w:right w:w="107" w:type="dxa"/>
          </w:tblCellMar>
        </w:tblPrEx>
        <w:trPr>
          <w:cantSplit/>
        </w:trPr>
        <w:tc>
          <w:tcPr>
            <w:tcW w:w="708" w:type="dxa"/>
            <w:tcBorders>
              <w:top w:val="nil"/>
              <w:left w:val="nil"/>
              <w:bottom w:val="dotted" w:sz="4" w:space="0" w:color="auto"/>
              <w:right w:val="nil"/>
            </w:tcBorders>
          </w:tcPr>
          <w:p w:rsidR="00E468C8" w:rsidRDefault="0062711D">
            <w:pPr>
              <w:pStyle w:val="Table"/>
            </w:pPr>
            <w:r>
              <w:t>1</w:t>
            </w:r>
          </w:p>
        </w:tc>
        <w:tc>
          <w:tcPr>
            <w:tcW w:w="2834" w:type="dxa"/>
            <w:tcBorders>
              <w:top w:val="nil"/>
              <w:left w:val="nil"/>
              <w:bottom w:val="dotted" w:sz="4" w:space="0" w:color="auto"/>
              <w:right w:val="nil"/>
            </w:tcBorders>
          </w:tcPr>
          <w:p w:rsidR="00E468C8" w:rsidRDefault="0062711D">
            <w:pPr>
              <w:pStyle w:val="Table"/>
            </w:pPr>
            <w:r>
              <w:t>New South Wales</w:t>
            </w:r>
          </w:p>
        </w:tc>
        <w:tc>
          <w:tcPr>
            <w:tcW w:w="1985" w:type="dxa"/>
            <w:tcBorders>
              <w:top w:val="nil"/>
              <w:left w:val="nil"/>
              <w:bottom w:val="dotted" w:sz="4" w:space="0" w:color="auto"/>
              <w:right w:val="nil"/>
            </w:tcBorders>
          </w:tcPr>
          <w:p w:rsidR="00E468C8" w:rsidRDefault="0062711D">
            <w:pPr>
              <w:pStyle w:val="Table"/>
              <w:tabs>
                <w:tab w:val="decimal" w:pos="680"/>
              </w:tabs>
            </w:pPr>
            <w:r>
              <w:t>0.32492</w:t>
            </w:r>
          </w:p>
        </w:tc>
      </w:tr>
      <w:tr w:rsidR="00E468C8">
        <w:tblPrEx>
          <w:tblCellMar>
            <w:left w:w="107" w:type="dxa"/>
            <w:right w:w="107" w:type="dxa"/>
          </w:tblCellMar>
        </w:tblPrEx>
        <w:trPr>
          <w:cantSplit/>
        </w:trPr>
        <w:tc>
          <w:tcPr>
            <w:tcW w:w="708" w:type="dxa"/>
            <w:tcBorders>
              <w:top w:val="dotted" w:sz="4" w:space="0" w:color="auto"/>
              <w:left w:val="nil"/>
              <w:bottom w:val="dotted" w:sz="4" w:space="0" w:color="auto"/>
              <w:right w:val="nil"/>
            </w:tcBorders>
          </w:tcPr>
          <w:p w:rsidR="00E468C8" w:rsidRDefault="0062711D">
            <w:pPr>
              <w:pStyle w:val="Table"/>
            </w:pPr>
            <w:r>
              <w:t>2</w:t>
            </w:r>
          </w:p>
        </w:tc>
        <w:tc>
          <w:tcPr>
            <w:tcW w:w="2834" w:type="dxa"/>
            <w:tcBorders>
              <w:top w:val="dotted" w:sz="4" w:space="0" w:color="auto"/>
              <w:left w:val="nil"/>
              <w:bottom w:val="dotted" w:sz="4" w:space="0" w:color="auto"/>
              <w:right w:val="nil"/>
            </w:tcBorders>
          </w:tcPr>
          <w:p w:rsidR="00E468C8" w:rsidRDefault="0062711D">
            <w:pPr>
              <w:pStyle w:val="Table"/>
            </w:pPr>
            <w:r>
              <w:t>Victoria</w:t>
            </w:r>
          </w:p>
        </w:tc>
        <w:tc>
          <w:tcPr>
            <w:tcW w:w="1985" w:type="dxa"/>
            <w:tcBorders>
              <w:top w:val="dotted" w:sz="4" w:space="0" w:color="auto"/>
              <w:left w:val="nil"/>
              <w:bottom w:val="dotted" w:sz="4" w:space="0" w:color="auto"/>
              <w:right w:val="nil"/>
            </w:tcBorders>
          </w:tcPr>
          <w:p w:rsidR="00E468C8" w:rsidRDefault="0062711D">
            <w:pPr>
              <w:pStyle w:val="Table"/>
              <w:tabs>
                <w:tab w:val="decimal" w:pos="680"/>
              </w:tabs>
            </w:pPr>
            <w:r>
              <w:t>0.21803</w:t>
            </w:r>
          </w:p>
        </w:tc>
      </w:tr>
      <w:tr w:rsidR="00E468C8">
        <w:tblPrEx>
          <w:tblCellMar>
            <w:left w:w="107" w:type="dxa"/>
            <w:right w:w="107" w:type="dxa"/>
          </w:tblCellMar>
        </w:tblPrEx>
        <w:trPr>
          <w:cantSplit/>
        </w:trPr>
        <w:tc>
          <w:tcPr>
            <w:tcW w:w="708" w:type="dxa"/>
            <w:tcBorders>
              <w:top w:val="dotted" w:sz="4" w:space="0" w:color="auto"/>
              <w:left w:val="nil"/>
              <w:bottom w:val="dotted" w:sz="4" w:space="0" w:color="auto"/>
              <w:right w:val="nil"/>
            </w:tcBorders>
          </w:tcPr>
          <w:p w:rsidR="00E468C8" w:rsidRDefault="0062711D">
            <w:pPr>
              <w:pStyle w:val="Table"/>
            </w:pPr>
            <w:r>
              <w:t>3</w:t>
            </w:r>
          </w:p>
        </w:tc>
        <w:tc>
          <w:tcPr>
            <w:tcW w:w="2834" w:type="dxa"/>
            <w:tcBorders>
              <w:top w:val="dotted" w:sz="4" w:space="0" w:color="auto"/>
              <w:left w:val="nil"/>
              <w:bottom w:val="dotted" w:sz="4" w:space="0" w:color="auto"/>
              <w:right w:val="nil"/>
            </w:tcBorders>
          </w:tcPr>
          <w:p w:rsidR="00E468C8" w:rsidRDefault="0062711D">
            <w:pPr>
              <w:pStyle w:val="Table"/>
            </w:pPr>
            <w:r>
              <w:t>Queensland</w:t>
            </w:r>
          </w:p>
        </w:tc>
        <w:tc>
          <w:tcPr>
            <w:tcW w:w="1985" w:type="dxa"/>
            <w:tcBorders>
              <w:top w:val="dotted" w:sz="4" w:space="0" w:color="auto"/>
              <w:left w:val="nil"/>
              <w:bottom w:val="dotted" w:sz="4" w:space="0" w:color="auto"/>
              <w:right w:val="nil"/>
            </w:tcBorders>
          </w:tcPr>
          <w:p w:rsidR="00E468C8" w:rsidRDefault="0062711D">
            <w:pPr>
              <w:pStyle w:val="Table"/>
              <w:tabs>
                <w:tab w:val="decimal" w:pos="680"/>
              </w:tabs>
            </w:pPr>
            <w:r>
              <w:t>0.19065</w:t>
            </w:r>
          </w:p>
        </w:tc>
      </w:tr>
      <w:tr w:rsidR="00E468C8">
        <w:tblPrEx>
          <w:tblCellMar>
            <w:left w:w="107" w:type="dxa"/>
            <w:right w:w="107" w:type="dxa"/>
          </w:tblCellMar>
        </w:tblPrEx>
        <w:trPr>
          <w:cantSplit/>
        </w:trPr>
        <w:tc>
          <w:tcPr>
            <w:tcW w:w="708" w:type="dxa"/>
            <w:tcBorders>
              <w:top w:val="dotted" w:sz="4" w:space="0" w:color="auto"/>
              <w:left w:val="nil"/>
              <w:bottom w:val="dotted" w:sz="4" w:space="0" w:color="auto"/>
              <w:right w:val="nil"/>
            </w:tcBorders>
          </w:tcPr>
          <w:p w:rsidR="00E468C8" w:rsidRDefault="0062711D">
            <w:pPr>
              <w:pStyle w:val="Table"/>
            </w:pPr>
            <w:r>
              <w:t>4</w:t>
            </w:r>
          </w:p>
        </w:tc>
        <w:tc>
          <w:tcPr>
            <w:tcW w:w="2834" w:type="dxa"/>
            <w:tcBorders>
              <w:top w:val="dotted" w:sz="4" w:space="0" w:color="auto"/>
              <w:left w:val="nil"/>
              <w:bottom w:val="dotted" w:sz="4" w:space="0" w:color="auto"/>
              <w:right w:val="nil"/>
            </w:tcBorders>
          </w:tcPr>
          <w:p w:rsidR="00E468C8" w:rsidRDefault="0062711D">
            <w:pPr>
              <w:pStyle w:val="Table"/>
            </w:pPr>
            <w:r>
              <w:t>Western Australia</w:t>
            </w:r>
          </w:p>
        </w:tc>
        <w:tc>
          <w:tcPr>
            <w:tcW w:w="1985" w:type="dxa"/>
            <w:tcBorders>
              <w:top w:val="dotted" w:sz="4" w:space="0" w:color="auto"/>
              <w:left w:val="nil"/>
              <w:bottom w:val="dotted" w:sz="4" w:space="0" w:color="auto"/>
              <w:right w:val="nil"/>
            </w:tcBorders>
          </w:tcPr>
          <w:p w:rsidR="00E468C8" w:rsidRDefault="0062711D">
            <w:pPr>
              <w:pStyle w:val="Table"/>
              <w:tabs>
                <w:tab w:val="decimal" w:pos="680"/>
              </w:tabs>
            </w:pPr>
            <w:r>
              <w:t>0.11100</w:t>
            </w:r>
          </w:p>
        </w:tc>
      </w:tr>
      <w:tr w:rsidR="00E468C8">
        <w:tblPrEx>
          <w:tblCellMar>
            <w:left w:w="107" w:type="dxa"/>
            <w:right w:w="107" w:type="dxa"/>
          </w:tblCellMar>
        </w:tblPrEx>
        <w:trPr>
          <w:cantSplit/>
        </w:trPr>
        <w:tc>
          <w:tcPr>
            <w:tcW w:w="708" w:type="dxa"/>
            <w:tcBorders>
              <w:top w:val="dotted" w:sz="4" w:space="0" w:color="auto"/>
              <w:left w:val="nil"/>
              <w:bottom w:val="dotted" w:sz="4" w:space="0" w:color="auto"/>
              <w:right w:val="nil"/>
            </w:tcBorders>
          </w:tcPr>
          <w:p w:rsidR="00E468C8" w:rsidRDefault="0062711D">
            <w:pPr>
              <w:pStyle w:val="Table"/>
            </w:pPr>
            <w:r>
              <w:t>5</w:t>
            </w:r>
          </w:p>
        </w:tc>
        <w:tc>
          <w:tcPr>
            <w:tcW w:w="2834" w:type="dxa"/>
            <w:tcBorders>
              <w:top w:val="dotted" w:sz="4" w:space="0" w:color="auto"/>
              <w:left w:val="nil"/>
              <w:bottom w:val="dotted" w:sz="4" w:space="0" w:color="auto"/>
              <w:right w:val="nil"/>
            </w:tcBorders>
          </w:tcPr>
          <w:p w:rsidR="00E468C8" w:rsidRDefault="0062711D">
            <w:pPr>
              <w:pStyle w:val="Table"/>
            </w:pPr>
            <w:r>
              <w:t>South Australia</w:t>
            </w:r>
          </w:p>
        </w:tc>
        <w:tc>
          <w:tcPr>
            <w:tcW w:w="1985" w:type="dxa"/>
            <w:tcBorders>
              <w:top w:val="dotted" w:sz="4" w:space="0" w:color="auto"/>
              <w:left w:val="nil"/>
              <w:bottom w:val="dotted" w:sz="4" w:space="0" w:color="auto"/>
              <w:right w:val="nil"/>
            </w:tcBorders>
          </w:tcPr>
          <w:p w:rsidR="00E468C8" w:rsidRDefault="0062711D">
            <w:pPr>
              <w:pStyle w:val="Table"/>
              <w:tabs>
                <w:tab w:val="decimal" w:pos="680"/>
              </w:tabs>
            </w:pPr>
            <w:r>
              <w:t>0.08988</w:t>
            </w:r>
          </w:p>
        </w:tc>
      </w:tr>
      <w:tr w:rsidR="00E468C8">
        <w:tblPrEx>
          <w:tblCellMar>
            <w:left w:w="107" w:type="dxa"/>
            <w:right w:w="107" w:type="dxa"/>
          </w:tblCellMar>
        </w:tblPrEx>
        <w:trPr>
          <w:cantSplit/>
        </w:trPr>
        <w:tc>
          <w:tcPr>
            <w:tcW w:w="708" w:type="dxa"/>
            <w:tcBorders>
              <w:top w:val="dotted" w:sz="4" w:space="0" w:color="auto"/>
              <w:left w:val="nil"/>
              <w:bottom w:val="dotted" w:sz="4" w:space="0" w:color="auto"/>
              <w:right w:val="nil"/>
            </w:tcBorders>
          </w:tcPr>
          <w:p w:rsidR="00E468C8" w:rsidRDefault="0062711D">
            <w:pPr>
              <w:pStyle w:val="Table"/>
            </w:pPr>
            <w:r>
              <w:t>6</w:t>
            </w:r>
          </w:p>
        </w:tc>
        <w:tc>
          <w:tcPr>
            <w:tcW w:w="2834" w:type="dxa"/>
            <w:tcBorders>
              <w:top w:val="dotted" w:sz="4" w:space="0" w:color="auto"/>
              <w:left w:val="nil"/>
              <w:bottom w:val="dotted" w:sz="4" w:space="0" w:color="auto"/>
              <w:right w:val="nil"/>
            </w:tcBorders>
          </w:tcPr>
          <w:p w:rsidR="00E468C8" w:rsidRDefault="0062711D">
            <w:pPr>
              <w:pStyle w:val="Table"/>
            </w:pPr>
            <w:r>
              <w:t>Tasmania</w:t>
            </w:r>
          </w:p>
        </w:tc>
        <w:tc>
          <w:tcPr>
            <w:tcW w:w="1985" w:type="dxa"/>
            <w:tcBorders>
              <w:top w:val="dotted" w:sz="4" w:space="0" w:color="auto"/>
              <w:left w:val="nil"/>
              <w:bottom w:val="dotted" w:sz="4" w:space="0" w:color="auto"/>
              <w:right w:val="nil"/>
            </w:tcBorders>
          </w:tcPr>
          <w:p w:rsidR="00E468C8" w:rsidRDefault="0062711D">
            <w:pPr>
              <w:pStyle w:val="Table"/>
              <w:tabs>
                <w:tab w:val="decimal" w:pos="680"/>
              </w:tabs>
            </w:pPr>
            <w:r>
              <w:t>0.03226</w:t>
            </w:r>
          </w:p>
        </w:tc>
      </w:tr>
      <w:tr w:rsidR="00E468C8">
        <w:tblPrEx>
          <w:tblCellMar>
            <w:left w:w="107" w:type="dxa"/>
            <w:right w:w="107" w:type="dxa"/>
          </w:tblCellMar>
        </w:tblPrEx>
        <w:trPr>
          <w:cantSplit/>
        </w:trPr>
        <w:tc>
          <w:tcPr>
            <w:tcW w:w="708" w:type="dxa"/>
            <w:tcBorders>
              <w:top w:val="dotted" w:sz="4" w:space="0" w:color="auto"/>
              <w:left w:val="nil"/>
              <w:bottom w:val="dotted" w:sz="4" w:space="0" w:color="auto"/>
              <w:right w:val="nil"/>
            </w:tcBorders>
          </w:tcPr>
          <w:p w:rsidR="00E468C8" w:rsidRDefault="0062711D">
            <w:pPr>
              <w:pStyle w:val="Table"/>
            </w:pPr>
            <w:r>
              <w:t>7</w:t>
            </w:r>
          </w:p>
        </w:tc>
        <w:tc>
          <w:tcPr>
            <w:tcW w:w="2834" w:type="dxa"/>
            <w:tcBorders>
              <w:top w:val="dotted" w:sz="4" w:space="0" w:color="auto"/>
              <w:left w:val="nil"/>
              <w:bottom w:val="dotted" w:sz="4" w:space="0" w:color="auto"/>
              <w:right w:val="nil"/>
            </w:tcBorders>
          </w:tcPr>
          <w:p w:rsidR="00E468C8" w:rsidRDefault="0062711D">
            <w:pPr>
              <w:pStyle w:val="Table"/>
            </w:pPr>
            <w:r>
              <w:t>Australian Capital Territory</w:t>
            </w:r>
          </w:p>
        </w:tc>
        <w:tc>
          <w:tcPr>
            <w:tcW w:w="1985" w:type="dxa"/>
            <w:tcBorders>
              <w:top w:val="dotted" w:sz="4" w:space="0" w:color="auto"/>
              <w:left w:val="nil"/>
              <w:bottom w:val="dotted" w:sz="4" w:space="0" w:color="auto"/>
              <w:right w:val="nil"/>
            </w:tcBorders>
          </w:tcPr>
          <w:p w:rsidR="00E468C8" w:rsidRDefault="0062711D">
            <w:pPr>
              <w:pStyle w:val="Table"/>
              <w:tabs>
                <w:tab w:val="decimal" w:pos="680"/>
              </w:tabs>
            </w:pPr>
            <w:r>
              <w:t>0.01456</w:t>
            </w:r>
          </w:p>
        </w:tc>
      </w:tr>
      <w:tr w:rsidR="00E468C8">
        <w:tblPrEx>
          <w:tblCellMar>
            <w:left w:w="107" w:type="dxa"/>
            <w:right w:w="107" w:type="dxa"/>
          </w:tblCellMar>
        </w:tblPrEx>
        <w:trPr>
          <w:cantSplit/>
        </w:trPr>
        <w:tc>
          <w:tcPr>
            <w:tcW w:w="708" w:type="dxa"/>
            <w:tcBorders>
              <w:top w:val="dotted" w:sz="4" w:space="0" w:color="auto"/>
              <w:left w:val="nil"/>
              <w:bottom w:val="single" w:sz="12" w:space="0" w:color="000000"/>
              <w:right w:val="nil"/>
            </w:tcBorders>
          </w:tcPr>
          <w:p w:rsidR="00E468C8" w:rsidRDefault="0062711D">
            <w:pPr>
              <w:pStyle w:val="Table"/>
            </w:pPr>
            <w:r>
              <w:t>8</w:t>
            </w:r>
          </w:p>
        </w:tc>
        <w:tc>
          <w:tcPr>
            <w:tcW w:w="2834" w:type="dxa"/>
            <w:tcBorders>
              <w:top w:val="dotted" w:sz="4" w:space="0" w:color="auto"/>
              <w:left w:val="nil"/>
              <w:bottom w:val="single" w:sz="12" w:space="0" w:color="000000"/>
              <w:right w:val="nil"/>
            </w:tcBorders>
          </w:tcPr>
          <w:p w:rsidR="00E468C8" w:rsidRDefault="0062711D">
            <w:pPr>
              <w:pStyle w:val="Table"/>
            </w:pPr>
            <w:r>
              <w:t>Northern Territory</w:t>
            </w:r>
          </w:p>
        </w:tc>
        <w:tc>
          <w:tcPr>
            <w:tcW w:w="1985" w:type="dxa"/>
            <w:tcBorders>
              <w:top w:val="dotted" w:sz="4" w:space="0" w:color="auto"/>
              <w:left w:val="nil"/>
              <w:bottom w:val="single" w:sz="12" w:space="0" w:color="000000"/>
              <w:right w:val="nil"/>
            </w:tcBorders>
          </w:tcPr>
          <w:p w:rsidR="00E468C8" w:rsidRDefault="0062711D">
            <w:pPr>
              <w:pStyle w:val="Table"/>
              <w:tabs>
                <w:tab w:val="decimal" w:pos="680"/>
              </w:tabs>
            </w:pPr>
            <w:r>
              <w:t>0.01870</w:t>
            </w:r>
          </w:p>
        </w:tc>
      </w:tr>
    </w:tbl>
    <w:p w:rsidR="00E468C8" w:rsidRDefault="0062711D">
      <w:pPr>
        <w:pStyle w:val="Subsection"/>
      </w:pPr>
      <w:bookmarkStart w:id="148" w:name="_Toc420825151"/>
      <w:bookmarkStart w:id="149" w:name="_Toc421425107"/>
      <w:bookmarkStart w:id="150" w:name="_Toc421597110"/>
      <w:bookmarkStart w:id="151" w:name="_Toc421597730"/>
      <w:bookmarkStart w:id="152" w:name="_Toc422101872"/>
      <w:r>
        <w:tab/>
        <w:t>(2)</w:t>
      </w:r>
      <w:r>
        <w:tab/>
        <w:t xml:space="preserve">In determining, for the purposes of subclause (1), the additional amount of customs duty or excise duty that was collected, or is </w:t>
      </w:r>
      <w:r>
        <w:lastRenderedPageBreak/>
        <w:t>likely to be collected, during a particular period because of a Commonwealth surcharge:</w:t>
      </w:r>
    </w:p>
    <w:p w:rsidR="00E468C8" w:rsidRDefault="0062711D">
      <w:pPr>
        <w:pStyle w:val="indenta"/>
      </w:pPr>
      <w:r>
        <w:tab/>
        <w:t>(a)</w:t>
      </w:r>
      <w:r>
        <w:tab/>
        <w:t xml:space="preserve">the CEO is to take into account the impact of the operation of section 19 of the </w:t>
      </w:r>
      <w:r>
        <w:rPr>
          <w:i/>
          <w:iCs/>
        </w:rPr>
        <w:t>Customs Tariff Act 1995</w:t>
      </w:r>
      <w:r>
        <w:t>; and</w:t>
      </w:r>
    </w:p>
    <w:p w:rsidR="00E468C8" w:rsidRDefault="0062711D">
      <w:pPr>
        <w:pStyle w:val="indenta"/>
      </w:pPr>
      <w:r>
        <w:tab/>
        <w:t>(b)</w:t>
      </w:r>
      <w:r>
        <w:tab/>
        <w:t xml:space="preserve">the Commissioner is to take into account the impact of the operation of section 6A of the </w:t>
      </w:r>
      <w:r>
        <w:rPr>
          <w:i/>
          <w:iCs/>
        </w:rPr>
        <w:t>Excise Tariff Act 1921</w:t>
      </w:r>
      <w:r>
        <w:t>.</w:t>
      </w:r>
    </w:p>
    <w:p w:rsidR="00E468C8" w:rsidRDefault="0062711D">
      <w:pPr>
        <w:pStyle w:val="notetext"/>
      </w:pPr>
      <w:r>
        <w:t>Note:</w:t>
      </w:r>
      <w:r>
        <w:tab/>
        <w:t xml:space="preserve">Section 19 of the </w:t>
      </w:r>
      <w:r>
        <w:rPr>
          <w:i/>
          <w:iCs/>
        </w:rPr>
        <w:t>Customs Tariff Act 1995</w:t>
      </w:r>
      <w:r>
        <w:t xml:space="preserve"> and section 6A of the </w:t>
      </w:r>
      <w:r>
        <w:rPr>
          <w:i/>
          <w:iCs/>
        </w:rPr>
        <w:t>Excise Tariff Act 1921</w:t>
      </w:r>
      <w:r>
        <w:t xml:space="preserve"> provide for the automatic indexation of certain rates of duty which include rates payable on tobacco etc. and petroleum products.</w:t>
      </w:r>
    </w:p>
    <w:p w:rsidR="00E468C8" w:rsidRDefault="0062711D">
      <w:pPr>
        <w:pStyle w:val="Subsection"/>
      </w:pPr>
      <w:bookmarkStart w:id="153" w:name="_Toc422644241"/>
      <w:bookmarkStart w:id="154" w:name="_Toc423142133"/>
      <w:bookmarkStart w:id="155" w:name="_Toc434046892"/>
      <w:bookmarkStart w:id="156" w:name="_Toc434725738"/>
      <w:bookmarkStart w:id="157" w:name="_Toc434995264"/>
      <w:bookmarkStart w:id="158" w:name="_Toc434997449"/>
      <w:bookmarkStart w:id="159" w:name="_Toc449340144"/>
      <w:bookmarkStart w:id="160" w:name="_Toc449341091"/>
      <w:r>
        <w:tab/>
        <w:t>(3)</w:t>
      </w:r>
      <w:r>
        <w:tab/>
        <w:t xml:space="preserve">If, during the grant year, the </w:t>
      </w:r>
      <w:r>
        <w:rPr>
          <w:i/>
          <w:iCs/>
        </w:rPr>
        <w:t>Customs Tariff Act 1995</w:t>
      </w:r>
      <w:r>
        <w:t xml:space="preserve"> or the </w:t>
      </w:r>
      <w:r>
        <w:rPr>
          <w:i/>
          <w:iCs/>
        </w:rPr>
        <w:t>Excise Tariff Act 1921</w:t>
      </w:r>
      <w:r>
        <w:t xml:space="preserve"> is amended to vary the method of calculating duty on goods falling to:</w:t>
      </w:r>
    </w:p>
    <w:p w:rsidR="00E468C8" w:rsidRDefault="0062711D">
      <w:pPr>
        <w:pStyle w:val="indenta"/>
      </w:pPr>
      <w:r>
        <w:tab/>
        <w:t>(a)</w:t>
      </w:r>
      <w:r>
        <w:tab/>
        <w:t xml:space="preserve">subheadings of Chapter 24 of Schedule 3 to the </w:t>
      </w:r>
      <w:r>
        <w:rPr>
          <w:i/>
          <w:iCs/>
        </w:rPr>
        <w:t>Customs Tariff Act 1995</w:t>
      </w:r>
      <w:r>
        <w:t>; or</w:t>
      </w:r>
    </w:p>
    <w:p w:rsidR="00E468C8" w:rsidRDefault="0062711D">
      <w:pPr>
        <w:pStyle w:val="indenta"/>
      </w:pPr>
      <w:r>
        <w:tab/>
        <w:t>(b)</w:t>
      </w:r>
      <w:r>
        <w:tab/>
        <w:t xml:space="preserve">items 6, 7 and 8 of the Schedule to the </w:t>
      </w:r>
      <w:r>
        <w:rPr>
          <w:i/>
          <w:iCs/>
        </w:rPr>
        <w:t>Excise Tariff Act 1921</w:t>
      </w:r>
      <w:r>
        <w:t>;</w:t>
      </w:r>
    </w:p>
    <w:p w:rsidR="00E468C8" w:rsidRDefault="0062711D">
      <w:pPr>
        <w:pStyle w:val="subsection2"/>
      </w:pPr>
      <w:r>
        <w:t>then, for the purposes of subclause (1), the additional amount of customs duty or excise duty that was collected, or is likely to be collected, during a particular period is to be determined on the basis that the amendment had not been made.</w:t>
      </w:r>
    </w:p>
    <w:p w:rsidR="00E468C8" w:rsidRDefault="0062711D">
      <w:pPr>
        <w:pStyle w:val="Subsection"/>
      </w:pPr>
      <w:r>
        <w:tab/>
        <w:t>(4)</w:t>
      </w:r>
      <w:r>
        <w:tab/>
        <w:t>For the purpose of subclause (3):</w:t>
      </w:r>
    </w:p>
    <w:p w:rsidR="00E468C8" w:rsidRDefault="0062711D">
      <w:pPr>
        <w:pStyle w:val="indenta"/>
      </w:pPr>
      <w:r>
        <w:tab/>
        <w:t>(a)</w:t>
      </w:r>
      <w:r>
        <w:tab/>
        <w:t xml:space="preserve">a Customs Tariff or Customs Tariff alteration proposed in the Parliament is taken to be an amendment of the </w:t>
      </w:r>
      <w:r>
        <w:rPr>
          <w:i/>
          <w:iCs/>
        </w:rPr>
        <w:t>Customs Tariff Act 1995</w:t>
      </w:r>
      <w:r>
        <w:t>; and</w:t>
      </w:r>
    </w:p>
    <w:p w:rsidR="00E468C8" w:rsidRDefault="0062711D">
      <w:pPr>
        <w:pStyle w:val="indenta"/>
      </w:pPr>
      <w:r>
        <w:tab/>
        <w:t>(b)</w:t>
      </w:r>
      <w:r>
        <w:tab/>
        <w:t xml:space="preserve">an excise tariff alteration proposed in the Parliament is taken to be an amendment of the </w:t>
      </w:r>
      <w:r>
        <w:rPr>
          <w:i/>
          <w:iCs/>
        </w:rPr>
        <w:t>Excise Tariff Act 1921</w:t>
      </w:r>
      <w:r>
        <w:t>.</w:t>
      </w:r>
    </w:p>
    <w:p w:rsidR="00E468C8" w:rsidRDefault="0062711D">
      <w:pPr>
        <w:pStyle w:val="Heading5"/>
      </w:pPr>
      <w:bookmarkStart w:id="161" w:name="_Toc449349465"/>
      <w:bookmarkStart w:id="162" w:name="_Toc449413034"/>
      <w:bookmarkStart w:id="163" w:name="_Toc449416360"/>
      <w:bookmarkStart w:id="164" w:name="_Toc451743879"/>
      <w:bookmarkStart w:id="165" w:name="_Toc452883140"/>
      <w:bookmarkStart w:id="166" w:name="_Toc453383467"/>
      <w:r>
        <w:rPr>
          <w:rStyle w:val="CharSectno"/>
        </w:rPr>
        <w:t>6</w:t>
      </w:r>
      <w:r>
        <w:t xml:space="preserve">  Franchise fees windfall tax reimbursement payments</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rsidR="00E468C8" w:rsidRDefault="0062711D">
      <w:pPr>
        <w:pStyle w:val="Subsection"/>
      </w:pPr>
      <w:r>
        <w:tab/>
      </w:r>
      <w:r>
        <w:tab/>
        <w:t>For the purposes of section 11B, the franchise fees windfall tax reimbursement payment to be made to a State is equal to the sum of the amounts determined by the Commissioner, before 22 June 2000, to be:</w:t>
      </w:r>
    </w:p>
    <w:p w:rsidR="00E468C8" w:rsidRDefault="0062711D">
      <w:pPr>
        <w:pStyle w:val="indenta"/>
      </w:pPr>
      <w:r>
        <w:tab/>
        <w:t>(a)</w:t>
      </w:r>
      <w:r>
        <w:tab/>
        <w:t xml:space="preserve">the total of the amounts of tax collected by the State under the </w:t>
      </w:r>
      <w:r>
        <w:rPr>
          <w:i/>
          <w:iCs/>
        </w:rPr>
        <w:t>Franchise Fees Windfall Tax (Collection) Act 1997</w:t>
      </w:r>
      <w:r>
        <w:t xml:space="preserve"> that are remitted to the Commissioner during the pre</w:t>
      </w:r>
      <w:r>
        <w:noBreakHyphen/>
        <w:t>1 June period; and</w:t>
      </w:r>
    </w:p>
    <w:p w:rsidR="00E468C8" w:rsidRDefault="0062711D">
      <w:pPr>
        <w:pStyle w:val="indenta"/>
      </w:pPr>
      <w:r>
        <w:lastRenderedPageBreak/>
        <w:tab/>
        <w:t>(b)</w:t>
      </w:r>
      <w:r>
        <w:tab/>
        <w:t>the total of the amounts of tax to be collected by the State under that Act that is likely to be remitted to the Commissioner during the month of June 2000.</w:t>
      </w:r>
    </w:p>
    <w:p w:rsidR="00E468C8" w:rsidRDefault="0062711D">
      <w:pPr>
        <w:pStyle w:val="Heading5"/>
      </w:pPr>
      <w:bookmarkStart w:id="167" w:name="_Toc420825152"/>
      <w:bookmarkStart w:id="168" w:name="_Toc421425108"/>
      <w:bookmarkStart w:id="169" w:name="_Toc421597111"/>
      <w:bookmarkStart w:id="170" w:name="_Toc421597731"/>
      <w:bookmarkStart w:id="171" w:name="_Toc422101873"/>
      <w:bookmarkStart w:id="172" w:name="_Toc422644242"/>
      <w:bookmarkStart w:id="173" w:name="_Toc423142134"/>
      <w:bookmarkStart w:id="174" w:name="_Toc434046893"/>
      <w:bookmarkStart w:id="175" w:name="_Toc434725739"/>
      <w:bookmarkStart w:id="176" w:name="_Toc434995265"/>
      <w:bookmarkStart w:id="177" w:name="_Toc434997450"/>
      <w:bookmarkStart w:id="178" w:name="_Toc449340145"/>
      <w:bookmarkStart w:id="179" w:name="_Toc449341092"/>
      <w:bookmarkStart w:id="180" w:name="_Toc449349466"/>
      <w:bookmarkStart w:id="181" w:name="_Toc449413035"/>
      <w:bookmarkStart w:id="182" w:name="_Toc449416361"/>
      <w:bookmarkStart w:id="183" w:name="_Toc451743880"/>
      <w:bookmarkStart w:id="184" w:name="_Toc452883141"/>
      <w:bookmarkStart w:id="185" w:name="_Toc453383468"/>
      <w:r>
        <w:rPr>
          <w:rStyle w:val="CharSectno"/>
        </w:rPr>
        <w:t>7</w:t>
      </w:r>
      <w:r>
        <w:t xml:space="preserve">  Special revenue assistance grants</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rsidR="00E468C8" w:rsidRDefault="0062711D">
      <w:pPr>
        <w:pStyle w:val="Subsection"/>
      </w:pPr>
      <w:r>
        <w:tab/>
      </w:r>
      <w:r>
        <w:tab/>
        <w:t xml:space="preserve">For the purposes of section 12, the </w:t>
      </w:r>
      <w:r>
        <w:rPr>
          <w:b/>
          <w:bCs/>
          <w:i/>
          <w:iCs/>
        </w:rPr>
        <w:t>base amount</w:t>
      </w:r>
      <w:r>
        <w:t xml:space="preserve"> for each State is zero.</w:t>
      </w:r>
    </w:p>
    <w:p w:rsidR="00E468C8" w:rsidRDefault="0062711D">
      <w:pPr>
        <w:pStyle w:val="Heading5"/>
      </w:pPr>
      <w:bookmarkStart w:id="186" w:name="_Toc420825153"/>
      <w:bookmarkStart w:id="187" w:name="_Toc421425109"/>
      <w:bookmarkStart w:id="188" w:name="_Toc421597112"/>
      <w:bookmarkStart w:id="189" w:name="_Toc421597732"/>
      <w:bookmarkStart w:id="190" w:name="_Toc422101874"/>
      <w:bookmarkStart w:id="191" w:name="_Toc422644243"/>
      <w:bookmarkStart w:id="192" w:name="_Toc423142135"/>
      <w:bookmarkStart w:id="193" w:name="_Toc434046894"/>
      <w:bookmarkStart w:id="194" w:name="_Toc434725740"/>
      <w:bookmarkStart w:id="195" w:name="_Toc434995266"/>
      <w:bookmarkStart w:id="196" w:name="_Toc434997451"/>
      <w:bookmarkStart w:id="197" w:name="_Toc449340146"/>
      <w:bookmarkStart w:id="198" w:name="_Toc449341093"/>
      <w:bookmarkStart w:id="199" w:name="_Toc449349467"/>
      <w:bookmarkStart w:id="200" w:name="_Toc449413036"/>
      <w:bookmarkStart w:id="201" w:name="_Toc449416362"/>
      <w:bookmarkStart w:id="202" w:name="_Toc451743881"/>
      <w:bookmarkStart w:id="203" w:name="_Toc452883142"/>
      <w:bookmarkStart w:id="204" w:name="_Toc453383469"/>
      <w:r>
        <w:rPr>
          <w:rStyle w:val="CharSectno"/>
        </w:rPr>
        <w:t>8</w:t>
      </w:r>
      <w:r>
        <w:t xml:space="preserve">  Competition payments</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rsidR="00E468C8" w:rsidRDefault="0062711D">
      <w:pPr>
        <w:pStyle w:val="Subsection"/>
      </w:pPr>
      <w:r>
        <w:tab/>
      </w:r>
      <w:r>
        <w:tab/>
        <w:t>For the purposes of section 12A, the maximum amount that may be paid to a State is the amount worked out using the formula:</w:t>
      </w:r>
    </w:p>
    <w:p w:rsidR="00E468C8" w:rsidRDefault="00782371" w:rsidP="00282E8E">
      <w:pPr>
        <w:pStyle w:val="Formula"/>
        <w:spacing w:before="120"/>
      </w:pPr>
      <w:r>
        <w:rPr>
          <w:noProof/>
        </w:rPr>
        <w:drawing>
          <wp:inline distT="0" distB="0" distL="0" distR="0" wp14:anchorId="6DA9207B" wp14:editId="63939512">
            <wp:extent cx="2865600" cy="709200"/>
            <wp:effectExtent l="0" t="0" r="0" b="0"/>
            <wp:docPr id="5" name="Picture 5" descr="Start formula Base amount times Previous year index factor times start fraction State population over Total population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865600" cy="709200"/>
                    </a:xfrm>
                    <a:prstGeom prst="rect">
                      <a:avLst/>
                    </a:prstGeom>
                  </pic:spPr>
                </pic:pic>
              </a:graphicData>
            </a:graphic>
          </wp:inline>
        </w:drawing>
      </w:r>
    </w:p>
    <w:p w:rsidR="00E468C8" w:rsidRDefault="0062711D">
      <w:pPr>
        <w:pStyle w:val="subsection2"/>
      </w:pPr>
      <w:r>
        <w:t>where:</w:t>
      </w:r>
    </w:p>
    <w:p w:rsidR="00E468C8" w:rsidRDefault="0062711D">
      <w:pPr>
        <w:pStyle w:val="Definition"/>
      </w:pPr>
      <w:r>
        <w:rPr>
          <w:b/>
          <w:bCs/>
          <w:i/>
          <w:iCs/>
        </w:rPr>
        <w:t>base amount</w:t>
      </w:r>
      <w:r>
        <w:t xml:space="preserve"> means $426,276,076.</w:t>
      </w:r>
    </w:p>
    <w:p w:rsidR="00E468C8" w:rsidRDefault="0062711D">
      <w:pPr>
        <w:pStyle w:val="Definition"/>
      </w:pPr>
      <w:r>
        <w:rPr>
          <w:b/>
          <w:bCs/>
          <w:i/>
          <w:iCs/>
        </w:rPr>
        <w:t>index factor</w:t>
      </w:r>
      <w:r>
        <w:t xml:space="preserve"> means the index factor for the grant year.</w:t>
      </w:r>
    </w:p>
    <w:p w:rsidR="00E468C8" w:rsidRDefault="0062711D">
      <w:pPr>
        <w:pStyle w:val="Definition"/>
      </w:pPr>
      <w:r>
        <w:rPr>
          <w:b/>
          <w:bCs/>
          <w:i/>
          <w:iCs/>
        </w:rPr>
        <w:t>previous year index factor</w:t>
      </w:r>
      <w:r>
        <w:t xml:space="preserve"> means the index factor for the previous year.</w:t>
      </w:r>
    </w:p>
    <w:p w:rsidR="00E468C8" w:rsidRDefault="0062711D">
      <w:pPr>
        <w:pStyle w:val="Definition"/>
      </w:pPr>
      <w:r>
        <w:rPr>
          <w:b/>
          <w:bCs/>
          <w:i/>
          <w:iCs/>
        </w:rPr>
        <w:t>State population</w:t>
      </w:r>
      <w:r>
        <w:t xml:space="preserve"> means the estimated population of the State on 31 December 1999.</w:t>
      </w:r>
    </w:p>
    <w:p w:rsidR="00E468C8" w:rsidRDefault="0062711D">
      <w:pPr>
        <w:pStyle w:val="Definition"/>
      </w:pPr>
      <w:r>
        <w:rPr>
          <w:b/>
          <w:bCs/>
          <w:i/>
          <w:iCs/>
        </w:rPr>
        <w:t>total population</w:t>
      </w:r>
      <w:r>
        <w:t xml:space="preserve"> means the sum of the estimated populations of all the States on 31 December 1999.</w:t>
      </w:r>
    </w:p>
    <w:p w:rsidR="00E468C8" w:rsidRDefault="00E468C8">
      <w:pPr>
        <w:pBdr>
          <w:top w:val="single" w:sz="4" w:space="1" w:color="auto"/>
        </w:pBdr>
      </w:pPr>
    </w:p>
    <w:p w:rsidR="00E468C8" w:rsidRDefault="00E468C8"/>
    <w:p w:rsidR="00E468C8" w:rsidRDefault="00E468C8"/>
    <w:p w:rsidR="00E468C8" w:rsidRDefault="0062711D">
      <w:pPr>
        <w:rPr>
          <w:i/>
          <w:iCs/>
        </w:rPr>
      </w:pPr>
      <w:r>
        <w:t>[</w:t>
      </w:r>
      <w:r>
        <w:rPr>
          <w:i/>
          <w:iCs/>
        </w:rPr>
        <w:t>Minister’s second reading speech made in—</w:t>
      </w:r>
      <w:bookmarkStart w:id="205" w:name="_GoBack"/>
      <w:bookmarkEnd w:id="205"/>
    </w:p>
    <w:p w:rsidR="00E468C8" w:rsidRDefault="0062711D">
      <w:pPr>
        <w:rPr>
          <w:i/>
          <w:iCs/>
        </w:rPr>
      </w:pPr>
      <w:r>
        <w:rPr>
          <w:i/>
          <w:iCs/>
        </w:rPr>
        <w:t>House of Representatives on 10 June 1999</w:t>
      </w:r>
    </w:p>
    <w:p w:rsidR="00E468C8" w:rsidRDefault="0062711D">
      <w:r>
        <w:rPr>
          <w:i/>
          <w:iCs/>
        </w:rPr>
        <w:t>Senate on 26 August 1999</w:t>
      </w:r>
      <w:r>
        <w:t>]</w:t>
      </w:r>
    </w:p>
    <w:p w:rsidR="00E468C8" w:rsidRDefault="00E468C8"/>
    <w:p w:rsidR="00E468C8" w:rsidRDefault="0062711D">
      <w:pPr>
        <w:framePr w:w="947" w:h="323" w:hSpace="181" w:wrap="notBeside" w:vAnchor="page" w:hAnchor="page" w:x="2441" w:y="12241"/>
      </w:pPr>
      <w:r>
        <w:br w:type="page"/>
        <w:t>(110/99)</w:t>
      </w:r>
    </w:p>
    <w:p w:rsidR="00E468C8" w:rsidRDefault="00E468C8">
      <w:pPr>
        <w:pStyle w:val="Definition"/>
      </w:pPr>
    </w:p>
    <w:sectPr w:rsidR="00E468C8">
      <w:headerReference w:type="even" r:id="rId20"/>
      <w:headerReference w:type="default" r:id="rId21"/>
      <w:footerReference w:type="even" r:id="rId22"/>
      <w:footerReference w:type="default" r:id="rId23"/>
      <w:headerReference w:type="first" r:id="rId24"/>
      <w:footerReference w:type="first" r:id="rId25"/>
      <w:pgSz w:w="11906" w:h="16838" w:code="9"/>
      <w:pgMar w:top="1871" w:right="2410" w:bottom="4252" w:left="2410" w:header="709" w:footer="3402" w:gutter="0"/>
      <w:pgNumType w:start="1"/>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8C8" w:rsidRDefault="0062711D">
      <w:pPr>
        <w:spacing w:line="240" w:lineRule="auto"/>
      </w:pPr>
      <w:r>
        <w:separator/>
      </w:r>
    </w:p>
  </w:endnote>
  <w:endnote w:type="continuationSeparator" w:id="0">
    <w:p w:rsidR="00E468C8" w:rsidRDefault="006271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8C8" w:rsidRDefault="00E468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8C8" w:rsidRDefault="00E468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8C8" w:rsidRDefault="00E468C8">
    <w:pPr>
      <w:pBdr>
        <w:top w:val="single" w:sz="6" w:space="1" w:color="auto"/>
      </w:pBdr>
      <w:rPr>
        <w:sz w:val="18"/>
        <w:szCs w:val="18"/>
      </w:rPr>
    </w:pPr>
  </w:p>
  <w:p w:rsidR="00E468C8" w:rsidRDefault="0062711D">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States Grants (General Purposes) Amendment Act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126,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xiii</w:t>
    </w:r>
    <w:r>
      <w:rPr>
        <w:i/>
        <w:iCs/>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8C8" w:rsidRDefault="00E468C8">
    <w:pPr>
      <w:pBdr>
        <w:top w:val="single" w:sz="6" w:space="1" w:color="auto"/>
      </w:pBdr>
      <w:rPr>
        <w:sz w:val="18"/>
        <w:szCs w:val="18"/>
      </w:rPr>
    </w:pPr>
  </w:p>
  <w:p w:rsidR="00E468C8" w:rsidRDefault="0062711D">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i</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6B33E8">
      <w:rPr>
        <w:i/>
        <w:iCs/>
        <w:noProof/>
        <w:sz w:val="18"/>
        <w:szCs w:val="18"/>
      </w:rPr>
      <w:t>States Grants (General Purposes) Amendment Act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6B33E8">
      <w:rPr>
        <w:i/>
        <w:iCs/>
        <w:noProof/>
        <w:sz w:val="18"/>
        <w:szCs w:val="18"/>
      </w:rPr>
      <w:t>No. 126, 1999</w:t>
    </w:r>
    <w:r>
      <w:rPr>
        <w:i/>
        <w:iCs/>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8C8" w:rsidRDefault="00E468C8">
    <w:pPr>
      <w:pBdr>
        <w:top w:val="single" w:sz="6" w:space="1" w:color="auto"/>
      </w:pBdr>
      <w:jc w:val="right"/>
      <w:rPr>
        <w:sz w:val="18"/>
        <w:szCs w:val="18"/>
      </w:rPr>
    </w:pPr>
  </w:p>
  <w:p w:rsidR="00E468C8" w:rsidRDefault="0062711D">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10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6B33E8">
      <w:rPr>
        <w:i/>
        <w:iCs/>
        <w:noProof/>
        <w:sz w:val="18"/>
        <w:szCs w:val="18"/>
      </w:rPr>
      <w:t>States Grants (General Purposes) Amendment Act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6B33E8">
      <w:rPr>
        <w:i/>
        <w:iCs/>
        <w:noProof/>
        <w:sz w:val="18"/>
        <w:szCs w:val="18"/>
      </w:rPr>
      <w:t>No. 126, 1999</w:t>
    </w:r>
    <w:r>
      <w:rPr>
        <w:i/>
        <w:iCs/>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8C8" w:rsidRDefault="00E468C8">
    <w:pPr>
      <w:pBdr>
        <w:top w:val="single" w:sz="6" w:space="1" w:color="auto"/>
      </w:pBdr>
      <w:rPr>
        <w:sz w:val="18"/>
        <w:szCs w:val="18"/>
      </w:rPr>
    </w:pPr>
  </w:p>
  <w:p w:rsidR="00E468C8" w:rsidRDefault="0062711D">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6B33E8">
      <w:rPr>
        <w:i/>
        <w:iCs/>
        <w:noProof/>
        <w:sz w:val="18"/>
        <w:szCs w:val="18"/>
      </w:rPr>
      <w:t>States Grants (General Purposes) Amendment Act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6B33E8">
      <w:rPr>
        <w:i/>
        <w:iCs/>
        <w:noProof/>
        <w:sz w:val="18"/>
        <w:szCs w:val="18"/>
      </w:rPr>
      <w:t>No. 126,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9</w:t>
    </w:r>
    <w:r>
      <w:rPr>
        <w:i/>
        <w:iCs/>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8C8" w:rsidRDefault="00E468C8">
    <w:pPr>
      <w:pBdr>
        <w:top w:val="single" w:sz="6" w:space="1" w:color="auto"/>
      </w:pBdr>
      <w:rPr>
        <w:sz w:val="18"/>
        <w:szCs w:val="18"/>
      </w:rPr>
    </w:pPr>
  </w:p>
  <w:p w:rsidR="00E468C8" w:rsidRDefault="0062711D">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6B33E8">
      <w:rPr>
        <w:i/>
        <w:iCs/>
        <w:noProof/>
        <w:sz w:val="18"/>
        <w:szCs w:val="18"/>
      </w:rPr>
      <w:t>States Grants (General Purposes) Amendment Act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6B33E8">
      <w:rPr>
        <w:i/>
        <w:iCs/>
        <w:noProof/>
        <w:sz w:val="18"/>
        <w:szCs w:val="18"/>
      </w:rPr>
      <w:t>No. 126,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1</w:t>
    </w:r>
    <w:r>
      <w:rP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8C8" w:rsidRDefault="0062711D">
      <w:pPr>
        <w:spacing w:line="240" w:lineRule="auto"/>
      </w:pPr>
      <w:r>
        <w:separator/>
      </w:r>
    </w:p>
  </w:footnote>
  <w:footnote w:type="continuationSeparator" w:id="0">
    <w:p w:rsidR="00E468C8" w:rsidRDefault="006271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8C8" w:rsidRDefault="00E468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8C8" w:rsidRDefault="00E468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8C8" w:rsidRDefault="00E468C8">
    <w:pPr>
      <w:pBdr>
        <w:bottom w:val="single" w:sz="12"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8C8" w:rsidRDefault="00E468C8">
    <w:pPr>
      <w:pBdr>
        <w:bottom w:val="single" w:sz="12"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8C8" w:rsidRDefault="0062711D">
    <w:pPr>
      <w:rPr>
        <w:sz w:val="20"/>
        <w:szCs w:val="20"/>
      </w:rPr>
    </w:pPr>
    <w:r>
      <w:rPr>
        <w:b/>
        <w:bCs/>
        <w:sz w:val="20"/>
        <w:szCs w:val="20"/>
      </w:rPr>
      <w:fldChar w:fldCharType="begin"/>
    </w:r>
    <w:r>
      <w:rPr>
        <w:b/>
        <w:bCs/>
        <w:sz w:val="20"/>
        <w:szCs w:val="20"/>
      </w:rPr>
      <w:instrText xml:space="preserve"> STYLEREF CharAmSchNo </w:instrText>
    </w:r>
    <w:r w:rsidR="006B33E8">
      <w:rPr>
        <w:b/>
        <w:bCs/>
        <w:sz w:val="20"/>
        <w:szCs w:val="20"/>
      </w:rPr>
      <w:fldChar w:fldCharType="separate"/>
    </w:r>
    <w:r w:rsidR="006B33E8">
      <w:rPr>
        <w:b/>
        <w:bCs/>
        <w:noProof/>
        <w:sz w:val="20"/>
        <w:szCs w:val="20"/>
      </w:rPr>
      <w:t>Schedule 1</w:t>
    </w:r>
    <w:r>
      <w:rPr>
        <w:b/>
        <w:bCs/>
        <w:sz w:val="20"/>
        <w:szCs w:val="20"/>
      </w:rPr>
      <w:fldChar w:fldCharType="end"/>
    </w:r>
    <w:r>
      <w:rPr>
        <w:sz w:val="20"/>
        <w:szCs w:val="20"/>
      </w:rPr>
      <w:t xml:space="preserve">  </w:t>
    </w:r>
    <w:r>
      <w:rPr>
        <w:sz w:val="20"/>
        <w:szCs w:val="20"/>
      </w:rPr>
      <w:fldChar w:fldCharType="begin"/>
    </w:r>
    <w:r>
      <w:rPr>
        <w:sz w:val="20"/>
        <w:szCs w:val="20"/>
      </w:rPr>
      <w:instrText xml:space="preserve"> STYLEREF CharAmSchText </w:instrText>
    </w:r>
    <w:r w:rsidR="006B33E8">
      <w:rPr>
        <w:sz w:val="20"/>
        <w:szCs w:val="20"/>
      </w:rPr>
      <w:fldChar w:fldCharType="separate"/>
    </w:r>
    <w:r w:rsidR="006B33E8">
      <w:rPr>
        <w:noProof/>
        <w:sz w:val="20"/>
        <w:szCs w:val="20"/>
      </w:rPr>
      <w:t>States Grants (General Purposes) Act 1994</w:t>
    </w:r>
    <w:r>
      <w:rPr>
        <w:sz w:val="20"/>
        <w:szCs w:val="20"/>
      </w:rPr>
      <w:fldChar w:fldCharType="end"/>
    </w:r>
  </w:p>
  <w:p w:rsidR="00E468C8" w:rsidRDefault="0062711D">
    <w:pPr>
      <w:rPr>
        <w:b/>
        <w:bCs/>
        <w:sz w:val="20"/>
        <w:szCs w:val="20"/>
      </w:rPr>
    </w:pPr>
    <w:r>
      <w:rPr>
        <w:b/>
        <w:bCs/>
        <w:sz w:val="20"/>
        <w:szCs w:val="20"/>
      </w:rPr>
      <w:fldChar w:fldCharType="begin"/>
    </w:r>
    <w:r>
      <w:rPr>
        <w:b/>
        <w:bCs/>
        <w:sz w:val="20"/>
        <w:szCs w:val="20"/>
      </w:rPr>
      <w:instrText xml:space="preserve"> STYLEREF CharAmPartNo </w:instrText>
    </w:r>
    <w:r>
      <w:rPr>
        <w:b/>
        <w:bCs/>
        <w:sz w:val="20"/>
        <w:szCs w:val="20"/>
      </w:rPr>
      <w:fldChar w:fldCharType="end"/>
    </w:r>
    <w:r>
      <w:rPr>
        <w:sz w:val="20"/>
        <w:szCs w:val="20"/>
      </w:rPr>
      <w:t xml:space="preserve">  </w:t>
    </w:r>
    <w:r>
      <w:rPr>
        <w:sz w:val="20"/>
        <w:szCs w:val="20"/>
      </w:rPr>
      <w:fldChar w:fldCharType="begin"/>
    </w:r>
    <w:r>
      <w:rPr>
        <w:sz w:val="20"/>
        <w:szCs w:val="20"/>
      </w:rPr>
      <w:instrText xml:space="preserve"> STYLEREF CharAmPartText </w:instrText>
    </w:r>
    <w:r>
      <w:rPr>
        <w:sz w:val="20"/>
        <w:szCs w:val="20"/>
      </w:rPr>
      <w:fldChar w:fldCharType="end"/>
    </w:r>
  </w:p>
  <w:p w:rsidR="00E468C8" w:rsidRDefault="00E468C8">
    <w:pPr>
      <w:pBdr>
        <w:bottom w:val="single" w:sz="6"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8C8" w:rsidRDefault="0062711D">
    <w:pPr>
      <w:jc w:val="right"/>
      <w:rPr>
        <w:sz w:val="20"/>
        <w:szCs w:val="20"/>
      </w:rPr>
    </w:pPr>
    <w:r>
      <w:rPr>
        <w:sz w:val="20"/>
        <w:szCs w:val="20"/>
      </w:rPr>
      <w:fldChar w:fldCharType="begin"/>
    </w:r>
    <w:r>
      <w:rPr>
        <w:sz w:val="20"/>
        <w:szCs w:val="20"/>
      </w:rPr>
      <w:instrText xml:space="preserve"> STYLEREF CharAmSchText </w:instrText>
    </w:r>
    <w:r>
      <w:rPr>
        <w:sz w:val="20"/>
        <w:szCs w:val="20"/>
      </w:rPr>
      <w:fldChar w:fldCharType="separate"/>
    </w:r>
    <w:r w:rsidR="006B33E8">
      <w:rPr>
        <w:noProof/>
        <w:sz w:val="20"/>
        <w:szCs w:val="20"/>
      </w:rPr>
      <w:t>States Grants (General Purposes) Act 1994</w: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CharAmSchNo </w:instrText>
    </w:r>
    <w:r>
      <w:rPr>
        <w:b/>
        <w:bCs/>
        <w:sz w:val="20"/>
        <w:szCs w:val="20"/>
      </w:rPr>
      <w:fldChar w:fldCharType="separate"/>
    </w:r>
    <w:r w:rsidR="006B33E8">
      <w:rPr>
        <w:b/>
        <w:bCs/>
        <w:noProof/>
        <w:sz w:val="20"/>
        <w:szCs w:val="20"/>
      </w:rPr>
      <w:t>Schedule 1</w:t>
    </w:r>
    <w:r>
      <w:rPr>
        <w:b/>
        <w:bCs/>
        <w:sz w:val="20"/>
        <w:szCs w:val="20"/>
      </w:rPr>
      <w:fldChar w:fldCharType="end"/>
    </w:r>
  </w:p>
  <w:p w:rsidR="00E468C8" w:rsidRDefault="0062711D">
    <w:pPr>
      <w:jc w:val="right"/>
      <w:rPr>
        <w:b/>
        <w:bCs/>
        <w:sz w:val="20"/>
        <w:szCs w:val="20"/>
      </w:rPr>
    </w:pPr>
    <w:r>
      <w:rPr>
        <w:sz w:val="20"/>
        <w:szCs w:val="20"/>
      </w:rPr>
      <w:fldChar w:fldCharType="begin"/>
    </w:r>
    <w:r>
      <w:rPr>
        <w:sz w:val="20"/>
        <w:szCs w:val="20"/>
      </w:rPr>
      <w:instrText xml:space="preserve"> STYLEREF CharAmPartText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CharAmPartNo </w:instrText>
    </w:r>
    <w:r>
      <w:rPr>
        <w:b/>
        <w:bCs/>
        <w:sz w:val="20"/>
        <w:szCs w:val="20"/>
      </w:rPr>
      <w:fldChar w:fldCharType="end"/>
    </w:r>
  </w:p>
  <w:p w:rsidR="00E468C8" w:rsidRDefault="00E468C8">
    <w:pPr>
      <w:pBdr>
        <w:bottom w:val="single" w:sz="6" w:space="1" w:color="auto"/>
      </w:pBd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8C8" w:rsidRDefault="00E468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CC839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E0E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129D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C279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C27E9C"/>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4DEEF608"/>
    <w:lvl w:ilvl="0">
      <w:start w:val="1"/>
      <w:numFmt w:val="bullet"/>
      <w:pStyle w:val="ListBullet2"/>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093A4CE0"/>
    <w:lvl w:ilvl="0">
      <w:start w:val="1"/>
      <w:numFmt w:val="bullet"/>
      <w:pStyle w:val="ListBullet5"/>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6A720894"/>
    <w:lvl w:ilvl="0">
      <w:start w:val="1"/>
      <w:numFmt w:val="bullet"/>
      <w:pStyle w:val="List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883E3D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0AA58C"/>
    <w:lvl w:ilvl="0">
      <w:start w:val="1"/>
      <w:numFmt w:val="bullet"/>
      <w:pStyle w:val="ListBullet3"/>
      <w:lvlText w:val=""/>
      <w:lvlJc w:val="left"/>
      <w:pPr>
        <w:tabs>
          <w:tab w:val="num" w:pos="360"/>
        </w:tabs>
        <w:ind w:left="360" w:hanging="360"/>
      </w:pPr>
      <w:rPr>
        <w:rFonts w:ascii="Symbol" w:hAnsi="Symbol" w:cs="Symbol" w:hint="default"/>
      </w:rPr>
    </w:lvl>
  </w:abstractNum>
  <w:abstractNum w:abstractNumId="10" w15:restartNumberingAfterBreak="0">
    <w:nsid w:val="1F565067"/>
    <w:multiLevelType w:val="singleLevel"/>
    <w:tmpl w:val="C4D0FBA0"/>
    <w:lvl w:ilvl="0">
      <w:start w:val="1"/>
      <w:numFmt w:val="bullet"/>
      <w:pStyle w:val="TLPNotebullet"/>
      <w:lvlText w:val=""/>
      <w:lvlJc w:val="left"/>
      <w:pPr>
        <w:tabs>
          <w:tab w:val="num" w:pos="360"/>
        </w:tabs>
        <w:ind w:left="360" w:hanging="360"/>
      </w:pPr>
      <w:rPr>
        <w:rFonts w:ascii="Symbol" w:hAnsi="Symbol" w:cs="Symbol" w:hint="default"/>
      </w:rPr>
    </w:lvl>
  </w:abstractNum>
  <w:abstractNum w:abstractNumId="11" w15:restartNumberingAfterBreak="0">
    <w:nsid w:val="26F706C3"/>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2BE36705"/>
    <w:multiLevelType w:val="singleLevel"/>
    <w:tmpl w:val="14708B10"/>
    <w:lvl w:ilvl="0">
      <w:start w:val="2"/>
      <w:numFmt w:val="decimal"/>
      <w:lvlText w:val="(%1)"/>
      <w:lvlJc w:val="left"/>
      <w:pPr>
        <w:tabs>
          <w:tab w:val="num" w:pos="1140"/>
        </w:tabs>
        <w:ind w:left="1140" w:hanging="375"/>
      </w:pPr>
      <w:rPr>
        <w:rFonts w:hint="default"/>
      </w:rPr>
    </w:lvl>
  </w:abstractNum>
  <w:abstractNum w:abstractNumId="13" w15:restartNumberingAfterBreak="0">
    <w:nsid w:val="7627142F"/>
    <w:multiLevelType w:val="singleLevel"/>
    <w:tmpl w:val="F7ECB452"/>
    <w:lvl w:ilvl="0">
      <w:start w:val="3"/>
      <w:numFmt w:val="decimal"/>
      <w:lvlText w:val="%1"/>
      <w:lvlJc w:val="left"/>
      <w:pPr>
        <w:tabs>
          <w:tab w:val="num" w:pos="360"/>
        </w:tabs>
        <w:ind w:left="36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9"/>
  </w:num>
  <w:num w:numId="7">
    <w:abstractNumId w:val="9"/>
  </w:num>
  <w:num w:numId="8">
    <w:abstractNumId w:val="7"/>
  </w:num>
  <w:num w:numId="9">
    <w:abstractNumId w:val="7"/>
  </w:num>
  <w:num w:numId="10">
    <w:abstractNumId w:val="6"/>
  </w:num>
  <w:num w:numId="11">
    <w:abstractNumId w:val="6"/>
  </w:num>
  <w:num w:numId="12">
    <w:abstractNumId w:val="5"/>
  </w:num>
  <w:num w:numId="13">
    <w:abstractNumId w:val="5"/>
  </w:num>
  <w:num w:numId="14">
    <w:abstractNumId w:val="4"/>
  </w:num>
  <w:num w:numId="15">
    <w:abstractNumId w:val="4"/>
  </w:num>
  <w:num w:numId="16">
    <w:abstractNumId w:val="10"/>
  </w:num>
  <w:num w:numId="17">
    <w:abstractNumId w:val="8"/>
  </w:num>
  <w:num w:numId="18">
    <w:abstractNumId w:val="3"/>
  </w:num>
  <w:num w:numId="19">
    <w:abstractNumId w:val="2"/>
  </w:num>
  <w:num w:numId="20">
    <w:abstractNumId w:val="1"/>
  </w:num>
  <w:num w:numId="21">
    <w:abstractNumId w:val="0"/>
  </w:num>
  <w:num w:numId="22">
    <w:abstractNumId w:val="12"/>
  </w:num>
  <w:num w:numId="23">
    <w:abstractNumId w:val="1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defaultTabStop w:val="720"/>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DBC"/>
    <w:rsid w:val="0027019F"/>
    <w:rsid w:val="00282E8E"/>
    <w:rsid w:val="003B78B3"/>
    <w:rsid w:val="004D3FED"/>
    <w:rsid w:val="00613DBC"/>
    <w:rsid w:val="0062711D"/>
    <w:rsid w:val="006B33E8"/>
    <w:rsid w:val="00782371"/>
    <w:rsid w:val="009D16C9"/>
    <w:rsid w:val="00C562D8"/>
    <w:rsid w:val="00E468C8"/>
    <w:rsid w:val="00EC3036"/>
    <w:rsid w:val="00F12275"/>
    <w:rsid w:val="00F85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lsdException w:name="List Bullet 4" w:semiHidden="1"/>
    <w:lsdException w:name="List Bullet 5" w:semiHidden="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spacing w:after="0" w:line="260" w:lineRule="atLeast"/>
    </w:pPr>
    <w:rPr>
      <w:rFonts w:ascii="Times" w:hAnsi="Times" w:cs="Times"/>
      <w:lang w:val="en-AU"/>
    </w:rPr>
  </w:style>
  <w:style w:type="paragraph" w:styleId="Heading1">
    <w:name w:val="heading 1"/>
    <w:aliases w:val="c"/>
    <w:basedOn w:val="Normal"/>
    <w:next w:val="Heading2"/>
    <w:link w:val="Heading1Char"/>
    <w:uiPriority w:val="99"/>
    <w:qFormat/>
    <w:pPr>
      <w:keepNext/>
      <w:keepLines/>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spacing w:before="280"/>
      <w:outlineLvl w:val="4"/>
    </w:pPr>
    <w:rPr>
      <w:sz w:val="24"/>
      <w:szCs w:val="24"/>
    </w:rPr>
  </w:style>
  <w:style w:type="paragraph" w:styleId="Heading6">
    <w:name w:val="heading 6"/>
    <w:aliases w:val="as"/>
    <w:basedOn w:val="Heading1"/>
    <w:next w:val="Heading7"/>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lang w:val="en-AU"/>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lang w:val="en-AU"/>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lang w:val="en-AU"/>
    </w:rPr>
  </w:style>
  <w:style w:type="character" w:customStyle="1" w:styleId="Heading4Char">
    <w:name w:val="Heading 4 Char"/>
    <w:aliases w:val="sd Char"/>
    <w:basedOn w:val="DefaultParagraphFont"/>
    <w:link w:val="Heading4"/>
    <w:uiPriority w:val="9"/>
    <w:semiHidden/>
    <w:rPr>
      <w:b/>
      <w:bCs/>
      <w:sz w:val="28"/>
      <w:szCs w:val="28"/>
      <w:lang w:val="en-AU"/>
    </w:rPr>
  </w:style>
  <w:style w:type="character" w:customStyle="1" w:styleId="Heading5Char">
    <w:name w:val="Heading 5 Char"/>
    <w:aliases w:val="s Char"/>
    <w:basedOn w:val="DefaultParagraphFont"/>
    <w:link w:val="Heading5"/>
    <w:uiPriority w:val="9"/>
    <w:semiHidden/>
    <w:rPr>
      <w:b/>
      <w:bCs/>
      <w:i/>
      <w:iCs/>
      <w:sz w:val="26"/>
      <w:szCs w:val="26"/>
      <w:lang w:val="en-AU"/>
    </w:rPr>
  </w:style>
  <w:style w:type="character" w:customStyle="1" w:styleId="Heading6Char">
    <w:name w:val="Heading 6 Char"/>
    <w:aliases w:val="as Char"/>
    <w:basedOn w:val="DefaultParagraphFont"/>
    <w:link w:val="Heading6"/>
    <w:uiPriority w:val="9"/>
    <w:semiHidden/>
    <w:rPr>
      <w:b/>
      <w:bCs/>
      <w:lang w:val="en-AU"/>
    </w:rPr>
  </w:style>
  <w:style w:type="character" w:customStyle="1" w:styleId="Heading7Char">
    <w:name w:val="Heading 7 Char"/>
    <w:aliases w:val="ap Char"/>
    <w:basedOn w:val="DefaultParagraphFont"/>
    <w:link w:val="Heading7"/>
    <w:uiPriority w:val="9"/>
    <w:semiHidden/>
    <w:rPr>
      <w:sz w:val="24"/>
      <w:szCs w:val="24"/>
      <w:lang w:val="en-AU"/>
    </w:rPr>
  </w:style>
  <w:style w:type="character" w:customStyle="1" w:styleId="Heading8Char">
    <w:name w:val="Heading 8 Char"/>
    <w:aliases w:val="ad Char"/>
    <w:basedOn w:val="DefaultParagraphFont"/>
    <w:link w:val="Heading8"/>
    <w:uiPriority w:val="9"/>
    <w:semiHidden/>
    <w:rPr>
      <w:i/>
      <w:iCs/>
      <w:sz w:val="24"/>
      <w:szCs w:val="24"/>
      <w:lang w:val="en-AU"/>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lang w:val="en-AU"/>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rPr>
      <w:rFonts w:ascii="Courier New" w:hAnsi="Courier New" w:cs="Courier New"/>
      <w:sz w:val="20"/>
      <w:szCs w:val="20"/>
      <w:lang w:val="en-AU"/>
    </w:rPr>
  </w:style>
  <w:style w:type="paragraph" w:customStyle="1" w:styleId="ShortT">
    <w:name w:val="ShortT"/>
    <w:basedOn w:val="Normal"/>
    <w:next w:val="Normal"/>
    <w:uiPriority w:val="99"/>
    <w:rPr>
      <w:b/>
      <w:bCs/>
      <w:sz w:val="40"/>
      <w:szCs w:val="40"/>
    </w:rPr>
  </w:style>
  <w:style w:type="paragraph" w:customStyle="1" w:styleId="Actno">
    <w:name w:val="Actno"/>
    <w:basedOn w:val="ShortT"/>
    <w:next w:val="Normal"/>
    <w:uiPriority w:val="99"/>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rFonts w:ascii="Times" w:hAnsi="Times" w:cs="Times"/>
      <w:lang w:val="en-AU"/>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Bold">
    <w:name w:val="BoxHeadBold"/>
    <w:aliases w:val="bhb"/>
    <w:basedOn w:val="BoxText"/>
    <w:next w:val="BoxText"/>
    <w:uiPriority w:val="99"/>
    <w:rPr>
      <w:b/>
      <w:bCs/>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59" w:hanging="425"/>
    </w:pPr>
  </w:style>
  <w:style w:type="paragraph" w:customStyle="1" w:styleId="BoxNote">
    <w:name w:val="BoxNote"/>
    <w:aliases w:val="bn"/>
    <w:basedOn w:val="BoxText"/>
    <w:uiPriority w:val="99"/>
    <w:pPr>
      <w:tabs>
        <w:tab w:val="left" w:pos="1985"/>
      </w:tabs>
      <w:spacing w:before="122" w:line="198" w:lineRule="exact"/>
      <w:ind w:left="2948" w:hanging="1814"/>
    </w:pPr>
    <w:rPr>
      <w:sz w:val="18"/>
      <w:szCs w:val="18"/>
    </w:r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Definition">
    <w:name w:val="Definition"/>
    <w:aliases w:val="dd"/>
    <w:basedOn w:val="Subsection"/>
    <w:uiPriority w:val="99"/>
    <w:pPr>
      <w:tabs>
        <w:tab w:val="clear" w:pos="1021"/>
      </w:tabs>
      <w:ind w:firstLine="0"/>
    </w:pPr>
  </w:style>
  <w:style w:type="paragraph" w:styleId="Footer">
    <w:name w:val="footer"/>
    <w:basedOn w:val="Normal"/>
    <w:link w:val="FooterChar"/>
    <w:uiPriority w:val="99"/>
    <w:pPr>
      <w:tabs>
        <w:tab w:val="center" w:pos="4150"/>
        <w:tab w:val="right" w:pos="8307"/>
      </w:tabs>
    </w:pPr>
  </w:style>
  <w:style w:type="character" w:customStyle="1" w:styleId="FooterChar">
    <w:name w:val="Footer Char"/>
    <w:basedOn w:val="DefaultParagraphFont"/>
    <w:link w:val="Footer"/>
    <w:uiPriority w:val="99"/>
    <w:semiHidden/>
    <w:rPr>
      <w:rFonts w:ascii="Times" w:hAnsi="Times" w:cs="Times"/>
      <w:lang w:val="en-AU"/>
    </w:rPr>
  </w:style>
  <w:style w:type="paragraph" w:customStyle="1" w:styleId="Formula">
    <w:name w:val="Formula"/>
    <w:basedOn w:val="Normal"/>
    <w:uiPriority w:val="99"/>
    <w:pPr>
      <w:ind w:left="1134"/>
    </w:pPr>
    <w:rPr>
      <w:sz w:val="20"/>
      <w:szCs w:val="20"/>
    </w:rPr>
  </w:style>
  <w:style w:type="paragraph" w:styleId="Header">
    <w:name w:val="header"/>
    <w:basedOn w:val="Normal"/>
    <w:link w:val="HeaderChar"/>
    <w:uiPriority w:val="99"/>
    <w:pPr>
      <w:keepNext/>
      <w:keepLines/>
      <w:spacing w:line="160" w:lineRule="exact"/>
    </w:pPr>
    <w:rPr>
      <w:sz w:val="16"/>
      <w:szCs w:val="16"/>
    </w:rPr>
  </w:style>
  <w:style w:type="character" w:customStyle="1" w:styleId="HeaderChar">
    <w:name w:val="Header Char"/>
    <w:basedOn w:val="DefaultParagraphFont"/>
    <w:link w:val="Header"/>
    <w:uiPriority w:val="99"/>
    <w:semiHidden/>
    <w:rPr>
      <w:rFonts w:ascii="Times" w:hAnsi="Times" w:cs="Times"/>
      <w:lang w:val="en-AU"/>
    </w:r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indentii">
    <w:name w:val="indent(ii)"/>
    <w:aliases w:val="aa"/>
    <w:basedOn w:val="indenta"/>
    <w:uiPriority w:val="99"/>
    <w:pPr>
      <w:tabs>
        <w:tab w:val="clear" w:pos="1531"/>
        <w:tab w:val="right" w:pos="1985"/>
      </w:tabs>
      <w:ind w:left="2098" w:hanging="2098"/>
    </w:p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customStyle="1" w:styleId="ItemHead">
    <w:name w:val="ItemHead"/>
    <w:aliases w:val="ih"/>
    <w:basedOn w:val="Heading1"/>
    <w:next w:val="Item"/>
    <w:uiPriority w:val="99"/>
    <w:pPr>
      <w:keepNext w:val="0"/>
      <w:spacing w:before="220"/>
      <w:ind w:left="709" w:hanging="709"/>
      <w:outlineLvl w:val="9"/>
    </w:pPr>
    <w:rPr>
      <w:rFonts w:ascii="Helvetica" w:hAnsi="Helvetica" w:cs="Helvetica"/>
      <w:sz w:val="24"/>
      <w:szCs w:val="24"/>
    </w:rPr>
  </w:style>
  <w:style w:type="character" w:styleId="LineNumber">
    <w:name w:val="line number"/>
    <w:basedOn w:val="DefaultParagraphFont"/>
    <w:uiPriority w:val="99"/>
    <w:rPr>
      <w:rFonts w:ascii="Times" w:hAnsi="Times" w:cs="Times"/>
      <w:sz w:val="16"/>
      <w:szCs w:val="16"/>
    </w:rPr>
  </w:style>
  <w:style w:type="paragraph" w:styleId="ListBullet">
    <w:name w:val="List Bullet"/>
    <w:basedOn w:val="Normal"/>
    <w:uiPriority w:val="99"/>
    <w:pPr>
      <w:numPr>
        <w:numId w:val="2"/>
      </w:numPr>
      <w:tabs>
        <w:tab w:val="clear" w:pos="643"/>
      </w:tabs>
      <w:ind w:left="284" w:hanging="284"/>
    </w:pPr>
  </w:style>
  <w:style w:type="paragraph" w:styleId="ListBullet2">
    <w:name w:val="List Bullet 2"/>
    <w:basedOn w:val="Normal"/>
    <w:uiPriority w:val="99"/>
    <w:pPr>
      <w:numPr>
        <w:numId w:val="4"/>
      </w:numPr>
      <w:tabs>
        <w:tab w:val="clear" w:pos="1209"/>
        <w:tab w:val="num" w:pos="643"/>
      </w:tabs>
      <w:ind w:left="643"/>
    </w:pPr>
  </w:style>
  <w:style w:type="paragraph" w:styleId="ListBullet3">
    <w:name w:val="List Bullet 3"/>
    <w:basedOn w:val="Normal"/>
    <w:uiPriority w:val="99"/>
    <w:pPr>
      <w:numPr>
        <w:numId w:val="6"/>
      </w:numPr>
      <w:tabs>
        <w:tab w:val="clear" w:pos="360"/>
        <w:tab w:val="num" w:pos="926"/>
      </w:tabs>
      <w:ind w:left="926"/>
    </w:pPr>
  </w:style>
  <w:style w:type="paragraph" w:styleId="ListBullet4">
    <w:name w:val="List Bullet 4"/>
    <w:basedOn w:val="Normal"/>
    <w:uiPriority w:val="99"/>
    <w:pPr>
      <w:tabs>
        <w:tab w:val="num" w:pos="643"/>
        <w:tab w:val="num" w:pos="1209"/>
      </w:tabs>
      <w:ind w:left="1209" w:hanging="360"/>
    </w:pPr>
  </w:style>
  <w:style w:type="paragraph" w:styleId="ListBullet5">
    <w:name w:val="List Bullet 5"/>
    <w:basedOn w:val="Normal"/>
    <w:uiPriority w:val="99"/>
    <w:pPr>
      <w:numPr>
        <w:numId w:val="10"/>
      </w:numPr>
      <w:tabs>
        <w:tab w:val="num" w:pos="1492"/>
      </w:tabs>
      <w:ind w:left="1492"/>
    </w:pPr>
  </w:style>
  <w:style w:type="paragraph" w:customStyle="1" w:styleId="LongT">
    <w:name w:val="LongT"/>
    <w:basedOn w:val="Normal"/>
    <w:uiPriority w:val="99"/>
    <w:rPr>
      <w:b/>
      <w:bCs/>
      <w:sz w:val="32"/>
      <w:szCs w:val="32"/>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margin">
    <w:name w:val="note(margin)"/>
    <w:aliases w:val="nm"/>
    <w:basedOn w:val="notetext"/>
    <w:uiPriority w:val="99"/>
    <w:pPr>
      <w:tabs>
        <w:tab w:val="left" w:pos="709"/>
      </w:tabs>
      <w:ind w:left="709" w:hanging="709"/>
    </w:pPr>
  </w:style>
  <w:style w:type="paragraph" w:customStyle="1" w:styleId="notepara">
    <w:name w:val="note(para)"/>
    <w:aliases w:val="na"/>
    <w:basedOn w:val="notetext"/>
    <w:uiPriority w:val="99"/>
    <w:pPr>
      <w:ind w:left="2353" w:hanging="709"/>
    </w:pPr>
  </w:style>
  <w:style w:type="character" w:styleId="PageNumber">
    <w:name w:val="page number"/>
    <w:basedOn w:val="DefaultParagraphFont"/>
    <w:uiPriority w:val="99"/>
  </w:style>
  <w:style w:type="paragraph" w:customStyle="1" w:styleId="Page1">
    <w:name w:val="Page1"/>
    <w:basedOn w:val="Normal"/>
    <w:uiPriority w:val="99"/>
    <w:pPr>
      <w:spacing w:before="400" w:line="240" w:lineRule="auto"/>
    </w:pPr>
    <w:rPr>
      <w:b/>
      <w:bCs/>
      <w:sz w:val="32"/>
      <w:szCs w:val="32"/>
    </w:rPr>
  </w:style>
  <w:style w:type="paragraph" w:customStyle="1" w:styleId="PageBreak">
    <w:name w:val="PageBreak"/>
    <w:aliases w:val="pb"/>
    <w:basedOn w:val="Normal"/>
    <w:next w:val="Heading2"/>
    <w:uiPriority w:val="99"/>
    <w:pPr>
      <w:spacing w:line="240" w:lineRule="auto"/>
    </w:pPr>
    <w:rPr>
      <w:sz w:val="2"/>
      <w:szCs w:val="2"/>
    </w:rPr>
  </w:style>
  <w:style w:type="paragraph" w:customStyle="1" w:styleId="parabullet">
    <w:name w:val="para bullet"/>
    <w:aliases w:val="b"/>
    <w:basedOn w:val="Normal"/>
    <w:uiPriority w:val="99"/>
    <w:pPr>
      <w:spacing w:before="240"/>
      <w:ind w:left="1843" w:hanging="284"/>
    </w:p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enalty">
    <w:name w:val="Penalty"/>
    <w:basedOn w:val="Normal"/>
    <w:uiPriority w:val="99"/>
    <w:pPr>
      <w:tabs>
        <w:tab w:val="left" w:pos="2977"/>
      </w:tabs>
      <w:spacing w:before="180"/>
      <w:ind w:left="1985" w:hanging="851"/>
    </w:p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customStyle="1" w:styleId="Subitem">
    <w:name w:val="Subitem"/>
    <w:aliases w:val="iss"/>
    <w:basedOn w:val="Normal"/>
    <w:uiPriority w:val="99"/>
    <w:pPr>
      <w:spacing w:before="180"/>
      <w:ind w:left="709" w:hanging="709"/>
    </w:p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styleId="Subtitle">
    <w:name w:val="Subtitle"/>
    <w:basedOn w:val="Normal"/>
    <w:link w:val="SubtitleChar"/>
    <w:uiPriority w:val="99"/>
    <w:qFormat/>
    <w:pPr>
      <w:spacing w:after="60"/>
      <w:jc w:val="center"/>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val="en-AU"/>
    </w:rPr>
  </w:style>
  <w:style w:type="paragraph" w:styleId="TableofAuthorities">
    <w:name w:val="table of authorities"/>
    <w:basedOn w:val="Normal"/>
    <w:next w:val="Normal"/>
    <w:uiPriority w:val="99"/>
    <w:pPr>
      <w:ind w:left="220" w:hanging="220"/>
    </w:p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paragraph" w:customStyle="1" w:styleId="Table">
    <w:name w:val="Table"/>
    <w:aliases w:val="t"/>
    <w:basedOn w:val="Normal"/>
    <w:uiPriority w:val="99"/>
    <w:pPr>
      <w:spacing w:before="60" w:line="240" w:lineRule="atLeast"/>
    </w:pPr>
    <w:rPr>
      <w:sz w:val="20"/>
      <w:szCs w:val="20"/>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AU"/>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Notebullet">
    <w:name w:val="TLPNote(bullet)"/>
    <w:basedOn w:val="Normal"/>
    <w:uiPriority w:val="99"/>
    <w:pPr>
      <w:numPr>
        <w:numId w:val="16"/>
      </w:numPr>
      <w:tabs>
        <w:tab w:val="clear" w:pos="360"/>
      </w:tabs>
      <w:spacing w:before="122" w:line="198" w:lineRule="exact"/>
      <w:ind w:left="2552" w:hanging="284"/>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styleId="TOC1">
    <w:name w:val="toc 1"/>
    <w:basedOn w:val="Heading1"/>
    <w:next w:val="Normal"/>
    <w:uiPriority w:val="99"/>
    <w:pPr>
      <w:tabs>
        <w:tab w:val="right" w:pos="7088"/>
      </w:tabs>
      <w:spacing w:before="120" w:line="240" w:lineRule="auto"/>
      <w:ind w:left="1474" w:right="567" w:hanging="1474"/>
      <w:outlineLvl w:val="9"/>
    </w:pPr>
    <w:rPr>
      <w:sz w:val="28"/>
      <w:szCs w:val="28"/>
    </w:rPr>
  </w:style>
  <w:style w:type="paragraph" w:styleId="TOC2">
    <w:name w:val="toc 2"/>
    <w:basedOn w:val="Heading2"/>
    <w:next w:val="Normal"/>
    <w:uiPriority w:val="99"/>
    <w:pPr>
      <w:tabs>
        <w:tab w:val="right" w:pos="7088"/>
      </w:tabs>
      <w:spacing w:before="120" w:line="240" w:lineRule="auto"/>
      <w:ind w:left="879" w:right="567" w:hanging="879"/>
      <w:outlineLvl w:val="9"/>
    </w:pPr>
    <w:rPr>
      <w:sz w:val="24"/>
      <w:szCs w:val="24"/>
    </w:rPr>
  </w:style>
  <w:style w:type="paragraph" w:styleId="TOC3">
    <w:name w:val="toc 3"/>
    <w:basedOn w:val="Heading3"/>
    <w:next w:val="Normal"/>
    <w:uiPriority w:val="99"/>
    <w:pPr>
      <w:tabs>
        <w:tab w:val="right" w:pos="7088"/>
      </w:tabs>
      <w:spacing w:before="80" w:line="240" w:lineRule="auto"/>
      <w:ind w:left="1604" w:right="567" w:hanging="1179"/>
      <w:outlineLvl w:val="9"/>
    </w:pPr>
    <w:rPr>
      <w:sz w:val="22"/>
      <w:szCs w:val="22"/>
    </w:rPr>
  </w:style>
  <w:style w:type="paragraph" w:styleId="TOC4">
    <w:name w:val="toc 4"/>
    <w:basedOn w:val="Heading4"/>
    <w:next w:val="Normal"/>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uiPriority w:val="99"/>
    <w:pPr>
      <w:keepNext w:val="0"/>
      <w:tabs>
        <w:tab w:val="right" w:leader="dot" w:pos="7088"/>
      </w:tabs>
      <w:spacing w:before="40" w:line="240" w:lineRule="auto"/>
      <w:ind w:left="2098" w:right="567" w:hanging="680"/>
      <w:outlineLvl w:val="9"/>
    </w:pPr>
    <w:rPr>
      <w:b w:val="0"/>
      <w:bCs w:val="0"/>
      <w:sz w:val="18"/>
      <w:szCs w:val="18"/>
    </w:rPr>
  </w:style>
  <w:style w:type="paragraph" w:styleId="TOC6">
    <w:name w:val="toc 6"/>
    <w:basedOn w:val="TOC1"/>
    <w:next w:val="Normal"/>
    <w:uiPriority w:val="99"/>
    <w:pPr>
      <w:keepNext w:val="0"/>
      <w:ind w:left="1344" w:hanging="1344"/>
    </w:pPr>
    <w:rPr>
      <w:sz w:val="24"/>
      <w:szCs w:val="24"/>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styleId="TOC9">
    <w:name w:val="toc 9"/>
    <w:basedOn w:val="Heading9"/>
    <w:next w:val="Normal"/>
    <w:uiPriority w:val="99"/>
    <w:pPr>
      <w:tabs>
        <w:tab w:val="right" w:pos="7088"/>
      </w:tabs>
      <w:spacing w:before="80" w:line="240" w:lineRule="auto"/>
      <w:ind w:left="851" w:right="567" w:firstLine="0"/>
      <w:outlineLvl w:val="9"/>
    </w:pPr>
    <w:rPr>
      <w:b w:val="0"/>
      <w:bCs w:val="0"/>
      <w:sz w:val="20"/>
      <w:szCs w:val="20"/>
    </w:rPr>
  </w:style>
  <w:style w:type="paragraph" w:customStyle="1" w:styleId="TofSectsGroupHeading">
    <w:name w:val="TofSects(GroupHeading)"/>
    <w:basedOn w:val="TOC4"/>
    <w:next w:val="TofSectsSection"/>
    <w:uiPriority w:val="99"/>
    <w:pPr>
      <w:tabs>
        <w:tab w:val="clear" w:pos="7088"/>
      </w:tabs>
      <w:spacing w:before="240" w:after="120"/>
      <w:ind w:left="794" w:right="0" w:firstLine="0"/>
    </w:p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kern w:val="0"/>
      <w:sz w:val="24"/>
      <w:szCs w:val="24"/>
    </w:rPr>
  </w:style>
  <w:style w:type="paragraph" w:customStyle="1" w:styleId="TofSectsSection">
    <w:name w:val="TofSects(Section)"/>
    <w:basedOn w:val="TOC5"/>
    <w:uiPriority w:val="99"/>
    <w:pPr>
      <w:tabs>
        <w:tab w:val="clear" w:pos="7088"/>
      </w:tabs>
      <w:ind w:left="1588" w:right="0" w:hanging="794"/>
    </w:pPr>
  </w:style>
  <w:style w:type="paragraph" w:customStyle="1" w:styleId="TofSectsSubdiv">
    <w:name w:val="TofSects(Subdiv)"/>
    <w:basedOn w:val="TOC4"/>
    <w:uiPriority w:val="99"/>
    <w:pPr>
      <w:tabs>
        <w:tab w:val="clear" w:pos="7088"/>
      </w:tabs>
      <w:ind w:left="1588" w:right="0" w:hanging="794"/>
    </w:pPr>
    <w:rPr>
      <w:b w:val="0"/>
      <w:bCs w:val="0"/>
      <w:sz w:val="22"/>
      <w:szCs w:val="22"/>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Segoe UI" w:hAnsi="Segoe UI" w:cs="Segoe UI"/>
      <w:sz w:val="16"/>
      <w:szCs w:val="16"/>
      <w:lang w:val="en-AU"/>
    </w:rPr>
  </w:style>
  <w:style w:type="paragraph" w:customStyle="1" w:styleId="noteParlAmend">
    <w:name w:val="note(ParlAmend)"/>
    <w:aliases w:val="npp"/>
    <w:basedOn w:val="Normal"/>
    <w:next w:val="ParlAmend"/>
    <w:uiPriority w:val="99"/>
    <w:pPr>
      <w:jc w:val="right"/>
    </w:pPr>
    <w:rPr>
      <w:rFonts w:ascii="Helvetica" w:hAnsi="Helvetica" w:cs="Helvetica"/>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2487</Words>
  <Characters>12333</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2023-09-18T00:51:00Z</dcterms:created>
  <dcterms:modified xsi:type="dcterms:W3CDTF">2023-12-20T00:11:00Z</dcterms:modified>
</cp:coreProperties>
</file>