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718" w:rsidRDefault="00CC45DE">
      <w:pPr>
        <w:spacing w:line="240" w:lineRule="auto"/>
      </w:pPr>
      <w:r>
        <w:rPr>
          <w:noProof/>
          <w:sz w:val="20"/>
          <w:szCs w:val="20"/>
        </w:rPr>
        <w:drawing>
          <wp:inline distT="0" distB="0" distL="0" distR="0" wp14:anchorId="74904CE5" wp14:editId="5EE2DD0F">
            <wp:extent cx="1447800" cy="1066800"/>
            <wp:effectExtent l="0" t="0" r="0" b="0"/>
            <wp:docPr id="12" name="Picture 1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718" w:rsidRDefault="009A2718"/>
    <w:p w:rsidR="009A2718" w:rsidRDefault="009A2718"/>
    <w:p w:rsidR="009A2718" w:rsidRDefault="009A2718"/>
    <w:p w:rsidR="009A2718" w:rsidRDefault="009A2718"/>
    <w:p w:rsidR="009A2718" w:rsidRDefault="0094702D">
      <w:pPr>
        <w:pStyle w:val="ShortT"/>
      </w:pPr>
      <w:r>
        <w:t>Radiocommunications (Transmitter Licence Tax) Amendment Act 2000</w:t>
      </w:r>
    </w:p>
    <w:p w:rsidR="009A2718" w:rsidRDefault="009A2718"/>
    <w:p w:rsidR="009A2718" w:rsidRPr="00E16F96" w:rsidRDefault="0094702D">
      <w:pPr>
        <w:pStyle w:val="Actno"/>
        <w:spacing w:before="400"/>
        <w:rPr>
          <w:sz w:val="40"/>
          <w:szCs w:val="40"/>
        </w:rPr>
      </w:pPr>
      <w:r w:rsidRPr="00E16F96">
        <w:rPr>
          <w:sz w:val="40"/>
          <w:szCs w:val="40"/>
        </w:rPr>
        <w:t>No. 36, 2000</w:t>
      </w:r>
    </w:p>
    <w:p w:rsidR="009A2718" w:rsidRDefault="009A2718"/>
    <w:p w:rsidR="009A2718" w:rsidRDefault="009A2718"/>
    <w:p w:rsidR="009A2718" w:rsidRDefault="009A2718"/>
    <w:p w:rsidR="009A2718" w:rsidRDefault="009A2718"/>
    <w:p w:rsidR="009A2718" w:rsidRDefault="0094702D">
      <w:pPr>
        <w:pStyle w:val="LongT"/>
        <w:outlineLvl w:val="0"/>
      </w:pPr>
      <w:r>
        <w:t xml:space="preserve">An Act to amend the </w:t>
      </w:r>
      <w:r>
        <w:rPr>
          <w:i/>
          <w:iCs/>
        </w:rPr>
        <w:t>Radiocommunications (Transmitter Licence Tax) Act 1983</w:t>
      </w:r>
      <w:r>
        <w:t>, and for related purposes</w:t>
      </w:r>
    </w:p>
    <w:p w:rsidR="009A2718" w:rsidRDefault="0094702D">
      <w:pPr>
        <w:pStyle w:val="Header"/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:rsidR="009A2718" w:rsidRDefault="0094702D">
      <w:pPr>
        <w:pStyle w:val="Header"/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:rsidR="009A2718" w:rsidRDefault="009A2718">
      <w:pPr>
        <w:sectPr w:rsidR="009A271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2410" w:bottom="3544" w:left="2410" w:header="709" w:footer="4111" w:gutter="0"/>
          <w:cols w:space="709"/>
        </w:sectPr>
      </w:pPr>
    </w:p>
    <w:p w:rsidR="009A2718" w:rsidRDefault="0094702D">
      <w:pPr>
        <w:outlineLvl w:val="0"/>
        <w:rPr>
          <w:sz w:val="36"/>
          <w:szCs w:val="36"/>
        </w:rPr>
      </w:pPr>
      <w:r>
        <w:rPr>
          <w:sz w:val="36"/>
          <w:szCs w:val="36"/>
        </w:rPr>
        <w:lastRenderedPageBreak/>
        <w:t>Contents</w:t>
      </w:r>
    </w:p>
    <w:p w:rsidR="009A2718" w:rsidRDefault="0094702D">
      <w:pPr>
        <w:pStyle w:val="TOC5"/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_Toc443380437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9A2718" w:rsidRDefault="0094702D">
      <w:pPr>
        <w:pStyle w:val="TOC5"/>
        <w:rPr>
          <w:noProof/>
        </w:rPr>
      </w:pPr>
      <w:r>
        <w:rPr>
          <w:noProof/>
        </w:rPr>
        <w:t>2</w:t>
      </w:r>
      <w:r>
        <w:rPr>
          <w:noProof/>
        </w:rPr>
        <w:tab/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_Toc443380438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9A2718" w:rsidRDefault="0094702D">
      <w:pPr>
        <w:pStyle w:val="TOC5"/>
        <w:rPr>
          <w:noProof/>
        </w:rPr>
      </w:pPr>
      <w:r>
        <w:rPr>
          <w:noProof/>
        </w:rPr>
        <w:t>3</w:t>
      </w:r>
      <w:r>
        <w:rPr>
          <w:noProof/>
        </w:rPr>
        <w:tab/>
        <w:t>Schedule(s)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_Toc443380439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9A2718" w:rsidRDefault="0094702D">
      <w:pPr>
        <w:pStyle w:val="TOC6"/>
        <w:rPr>
          <w:noProof/>
        </w:rPr>
      </w:pPr>
      <w:r>
        <w:rPr>
          <w:noProof/>
        </w:rPr>
        <w:t>Schedule 1—Radiocommunications (Transmitter Licence Tax) Act 1983</w:t>
      </w:r>
      <w:r>
        <w:rPr>
          <w:b w:val="0"/>
          <w:bCs w:val="0"/>
          <w:noProof/>
          <w:sz w:val="18"/>
          <w:szCs w:val="18"/>
        </w:rPr>
        <w:tab/>
      </w:r>
      <w:r>
        <w:rPr>
          <w:b w:val="0"/>
          <w:bCs w:val="0"/>
          <w:noProof/>
          <w:sz w:val="18"/>
          <w:szCs w:val="18"/>
        </w:rPr>
        <w:fldChar w:fldCharType="begin"/>
      </w:r>
      <w:r>
        <w:rPr>
          <w:b w:val="0"/>
          <w:bCs w:val="0"/>
          <w:noProof/>
          <w:sz w:val="18"/>
          <w:szCs w:val="18"/>
        </w:rPr>
        <w:instrText xml:space="preserve"> PAGEREF _Toc443380440 \h </w:instrText>
      </w:r>
      <w:r>
        <w:rPr>
          <w:b w:val="0"/>
          <w:bCs w:val="0"/>
          <w:noProof/>
          <w:sz w:val="18"/>
          <w:szCs w:val="18"/>
        </w:rPr>
      </w:r>
      <w:r>
        <w:rPr>
          <w:b w:val="0"/>
          <w:bCs w:val="0"/>
          <w:noProof/>
          <w:sz w:val="18"/>
          <w:szCs w:val="18"/>
        </w:rPr>
        <w:fldChar w:fldCharType="separate"/>
      </w:r>
      <w:r>
        <w:rPr>
          <w:b w:val="0"/>
          <w:bCs w:val="0"/>
          <w:noProof/>
          <w:sz w:val="18"/>
          <w:szCs w:val="18"/>
        </w:rPr>
        <w:t>3</w:t>
      </w:r>
      <w:r>
        <w:rPr>
          <w:b w:val="0"/>
          <w:bCs w:val="0"/>
          <w:noProof/>
          <w:sz w:val="18"/>
          <w:szCs w:val="18"/>
        </w:rPr>
        <w:fldChar w:fldCharType="end"/>
      </w:r>
    </w:p>
    <w:p w:rsidR="009A2718" w:rsidRDefault="0094702D">
      <w:r>
        <w:fldChar w:fldCharType="end"/>
      </w:r>
    </w:p>
    <w:p w:rsidR="009A2718" w:rsidRDefault="009A2718">
      <w:pPr>
        <w:sectPr w:rsidR="009A2718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 w:code="9"/>
          <w:pgMar w:top="2381" w:right="2410" w:bottom="3544" w:left="2410" w:header="709" w:footer="4111" w:gutter="0"/>
          <w:pgNumType w:fmt="lowerRoman" w:start="1"/>
          <w:cols w:space="709"/>
        </w:sectPr>
      </w:pPr>
    </w:p>
    <w:p w:rsidR="009A2718" w:rsidRDefault="00CC45DE">
      <w:pPr>
        <w:spacing w:line="240" w:lineRule="auto"/>
      </w:pPr>
      <w:r>
        <w:rPr>
          <w:noProof/>
          <w:sz w:val="20"/>
          <w:szCs w:val="20"/>
        </w:rPr>
        <w:lastRenderedPageBreak/>
        <w:drawing>
          <wp:inline distT="0" distB="0" distL="0" distR="0" wp14:anchorId="74904CE5" wp14:editId="5EE2DD0F">
            <wp:extent cx="1447800" cy="10668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2718" w:rsidRDefault="0094702D">
      <w:pPr>
        <w:spacing w:before="80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fldChar w:fldCharType="begin"/>
      </w:r>
      <w:r>
        <w:rPr>
          <w:b/>
          <w:bCs/>
          <w:sz w:val="40"/>
          <w:szCs w:val="40"/>
        </w:rPr>
        <w:instrText xml:space="preserve"> STYLEREF ShortT </w:instrText>
      </w:r>
      <w:r>
        <w:rPr>
          <w:b/>
          <w:bCs/>
          <w:sz w:val="40"/>
          <w:szCs w:val="40"/>
        </w:rPr>
        <w:fldChar w:fldCharType="separate"/>
      </w:r>
      <w:r>
        <w:rPr>
          <w:b/>
          <w:bCs/>
          <w:noProof/>
          <w:sz w:val="40"/>
          <w:szCs w:val="40"/>
        </w:rPr>
        <w:t>Radiocommunications (Transmitter Licence Tax) Amendment Act 2000</w:t>
      </w:r>
      <w:r>
        <w:rPr>
          <w:b/>
          <w:bCs/>
          <w:sz w:val="40"/>
          <w:szCs w:val="40"/>
        </w:rPr>
        <w:fldChar w:fldCharType="end"/>
      </w:r>
    </w:p>
    <w:p w:rsidR="009A2718" w:rsidRDefault="0094702D">
      <w:pPr>
        <w:spacing w:before="80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STYLEREF Actno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No. 36, 2000</w:t>
      </w:r>
      <w:r>
        <w:rPr>
          <w:b/>
          <w:bCs/>
          <w:sz w:val="28"/>
          <w:szCs w:val="28"/>
        </w:rPr>
        <w:fldChar w:fldCharType="end"/>
      </w:r>
    </w:p>
    <w:p w:rsidR="009A2718" w:rsidRDefault="009A2718">
      <w:pPr>
        <w:pBdr>
          <w:bottom w:val="single" w:sz="6" w:space="0" w:color="auto"/>
        </w:pBdr>
        <w:spacing w:before="400" w:line="240" w:lineRule="auto"/>
        <w:rPr>
          <w:b/>
          <w:bCs/>
          <w:sz w:val="28"/>
          <w:szCs w:val="28"/>
        </w:rPr>
      </w:pPr>
    </w:p>
    <w:p w:rsidR="009A2718" w:rsidRDefault="009A2718">
      <w:pPr>
        <w:spacing w:line="40" w:lineRule="exact"/>
        <w:rPr>
          <w:b/>
          <w:bCs/>
          <w:sz w:val="28"/>
          <w:szCs w:val="28"/>
        </w:rPr>
      </w:pPr>
    </w:p>
    <w:p w:rsidR="009A2718" w:rsidRDefault="009A2718">
      <w:pPr>
        <w:pBdr>
          <w:top w:val="single" w:sz="12" w:space="0" w:color="auto"/>
        </w:pBdr>
        <w:spacing w:line="240" w:lineRule="auto"/>
        <w:rPr>
          <w:b/>
          <w:bCs/>
          <w:sz w:val="28"/>
          <w:szCs w:val="28"/>
        </w:rPr>
      </w:pPr>
    </w:p>
    <w:p w:rsidR="009A2718" w:rsidRDefault="0094702D" w:rsidP="00A35620">
      <w:pPr>
        <w:pStyle w:val="Page1"/>
        <w:spacing w:before="1080"/>
      </w:pPr>
      <w:r>
        <w:t xml:space="preserve">An Act to amend the </w:t>
      </w:r>
      <w:r>
        <w:rPr>
          <w:i/>
          <w:iCs/>
        </w:rPr>
        <w:t>Radiocommunications (Transmitter Licence Tax) Act 1983</w:t>
      </w:r>
      <w:r>
        <w:t>, and for related purposes</w:t>
      </w:r>
    </w:p>
    <w:p w:rsidR="009A2718" w:rsidRDefault="0094702D">
      <w:pPr>
        <w:spacing w:before="120"/>
      </w:pPr>
      <w:r>
        <w:t>[</w:t>
      </w:r>
      <w:r>
        <w:rPr>
          <w:i/>
          <w:iCs/>
        </w:rPr>
        <w:t>Assented to 3 May 2000</w:t>
      </w:r>
      <w:r>
        <w:t>]</w:t>
      </w:r>
    </w:p>
    <w:p w:rsidR="009A2718" w:rsidRDefault="0094702D">
      <w:pPr>
        <w:spacing w:before="240" w:line="240" w:lineRule="auto"/>
        <w:outlineLvl w:val="0"/>
        <w:rPr>
          <w:sz w:val="32"/>
          <w:szCs w:val="32"/>
        </w:rPr>
      </w:pPr>
      <w:r>
        <w:rPr>
          <w:sz w:val="32"/>
          <w:szCs w:val="32"/>
        </w:rPr>
        <w:t>The Parliament of Australia enacts:</w:t>
      </w:r>
    </w:p>
    <w:p w:rsidR="009A2718" w:rsidRDefault="0094702D">
      <w:pPr>
        <w:pStyle w:val="Heading5"/>
      </w:pPr>
      <w:bookmarkStart w:id="1" w:name="_Toc436562960"/>
      <w:bookmarkStart w:id="2" w:name="_Toc436640059"/>
      <w:bookmarkStart w:id="3" w:name="_Toc443117752"/>
      <w:bookmarkStart w:id="4" w:name="_Toc443188781"/>
      <w:bookmarkStart w:id="5" w:name="_Toc443380358"/>
      <w:bookmarkStart w:id="6" w:name="_Toc443380437"/>
      <w:r>
        <w:rPr>
          <w:rStyle w:val="CharSectno"/>
        </w:rPr>
        <w:lastRenderedPageBreak/>
        <w:t>1</w:t>
      </w:r>
      <w:r>
        <w:t xml:space="preserve">  Short title</w:t>
      </w:r>
      <w:bookmarkEnd w:id="1"/>
      <w:bookmarkEnd w:id="2"/>
      <w:bookmarkEnd w:id="3"/>
      <w:bookmarkEnd w:id="4"/>
      <w:bookmarkEnd w:id="5"/>
      <w:bookmarkEnd w:id="6"/>
    </w:p>
    <w:p w:rsidR="009A2718" w:rsidRDefault="0094702D">
      <w:pPr>
        <w:pStyle w:val="Subsection"/>
      </w:pPr>
      <w:r>
        <w:tab/>
      </w:r>
      <w:r>
        <w:tab/>
        <w:t xml:space="preserve">This Act may be cited as the </w:t>
      </w:r>
      <w:r>
        <w:rPr>
          <w:i/>
          <w:iCs/>
        </w:rPr>
        <w:t>Radiocommunications (Transmitter Licence Tax) Amendment Act 2000</w:t>
      </w:r>
      <w:r>
        <w:t>.</w:t>
      </w:r>
    </w:p>
    <w:p w:rsidR="009A2718" w:rsidRDefault="0094702D">
      <w:pPr>
        <w:pStyle w:val="Heading5"/>
      </w:pPr>
      <w:bookmarkStart w:id="7" w:name="_FOPNextObject"/>
      <w:bookmarkStart w:id="8" w:name="_Toc313692954"/>
      <w:bookmarkStart w:id="9" w:name="_Toc313695428"/>
      <w:bookmarkStart w:id="10" w:name="_Toc317653189"/>
      <w:bookmarkStart w:id="11" w:name="_Toc318795378"/>
      <w:bookmarkStart w:id="12" w:name="_Toc320629538"/>
      <w:bookmarkStart w:id="13" w:name="_Toc320629619"/>
      <w:bookmarkStart w:id="14" w:name="_Toc320629673"/>
      <w:bookmarkStart w:id="15" w:name="_Toc320629808"/>
      <w:bookmarkStart w:id="16" w:name="_Toc422021072"/>
      <w:bookmarkStart w:id="17" w:name="_Toc422021123"/>
      <w:bookmarkStart w:id="18" w:name="_Toc422022264"/>
      <w:bookmarkStart w:id="19" w:name="_Toc422889955"/>
      <w:bookmarkStart w:id="20" w:name="_Toc423315720"/>
      <w:bookmarkStart w:id="21" w:name="_Toc423315739"/>
      <w:bookmarkStart w:id="22" w:name="_Toc423773159"/>
      <w:bookmarkStart w:id="23" w:name="_Toc436562961"/>
      <w:bookmarkStart w:id="24" w:name="_Toc436640060"/>
      <w:bookmarkStart w:id="25" w:name="_Toc443117753"/>
      <w:bookmarkStart w:id="26" w:name="_Toc443188782"/>
      <w:bookmarkStart w:id="27" w:name="_Toc443380359"/>
      <w:bookmarkStart w:id="28" w:name="_Toc443380438"/>
      <w:bookmarkEnd w:id="7"/>
      <w:r>
        <w:rPr>
          <w:rStyle w:val="CharSectno"/>
        </w:rPr>
        <w:t>2</w:t>
      </w:r>
      <w:r>
        <w:t xml:space="preserve">  Commencement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9A2718" w:rsidRDefault="0094702D">
      <w:pPr>
        <w:pStyle w:val="Subsection"/>
      </w:pPr>
      <w:r>
        <w:tab/>
      </w:r>
      <w:r>
        <w:tab/>
        <w:t xml:space="preserve">This Act commences on the day on which Schedule 2 to the </w:t>
      </w:r>
      <w:r>
        <w:rPr>
          <w:i/>
          <w:iCs/>
        </w:rPr>
        <w:t>Radiocommunications Legislation Amendment Act 2000</w:t>
      </w:r>
      <w:r>
        <w:t xml:space="preserve"> commences.</w:t>
      </w:r>
    </w:p>
    <w:p w:rsidR="009A2718" w:rsidRDefault="0094702D">
      <w:pPr>
        <w:pStyle w:val="Heading5"/>
      </w:pPr>
      <w:bookmarkStart w:id="29" w:name="_Toc313692955"/>
      <w:bookmarkStart w:id="30" w:name="_Toc313695429"/>
      <w:bookmarkStart w:id="31" w:name="_Toc317653190"/>
      <w:bookmarkStart w:id="32" w:name="_Toc318795379"/>
      <w:bookmarkStart w:id="33" w:name="_Toc320629539"/>
      <w:bookmarkStart w:id="34" w:name="_Toc320629620"/>
      <w:bookmarkStart w:id="35" w:name="_Toc320629674"/>
      <w:bookmarkStart w:id="36" w:name="_Toc320629809"/>
      <w:bookmarkStart w:id="37" w:name="_Toc422021073"/>
      <w:bookmarkStart w:id="38" w:name="_Toc422021124"/>
      <w:bookmarkStart w:id="39" w:name="_Toc422022265"/>
      <w:bookmarkStart w:id="40" w:name="_Toc422889956"/>
      <w:bookmarkStart w:id="41" w:name="_Toc423315721"/>
      <w:bookmarkStart w:id="42" w:name="_Toc423315740"/>
      <w:bookmarkStart w:id="43" w:name="_Toc423773160"/>
      <w:bookmarkStart w:id="44" w:name="_Toc436562962"/>
      <w:bookmarkStart w:id="45" w:name="_Toc436640061"/>
      <w:bookmarkStart w:id="46" w:name="_Toc443117754"/>
      <w:bookmarkStart w:id="47" w:name="_Toc443188783"/>
      <w:bookmarkStart w:id="48" w:name="_Toc443380360"/>
      <w:bookmarkStart w:id="49" w:name="_Toc443380439"/>
      <w:r>
        <w:rPr>
          <w:rStyle w:val="CharSectno"/>
        </w:rPr>
        <w:t>3</w:t>
      </w:r>
      <w:r>
        <w:t xml:space="preserve">  Schedule(s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t>)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9A2718" w:rsidRDefault="0094702D">
      <w:pPr>
        <w:pStyle w:val="Subsection"/>
      </w:pPr>
      <w:r>
        <w:tab/>
      </w:r>
      <w:r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9A2718" w:rsidRDefault="0094702D">
      <w:pPr>
        <w:pStyle w:val="PageBreak"/>
      </w:pPr>
      <w:r>
        <w:br w:type="page"/>
      </w:r>
    </w:p>
    <w:p w:rsidR="009A2718" w:rsidRDefault="0094702D">
      <w:pPr>
        <w:pStyle w:val="Heading6"/>
      </w:pPr>
      <w:bookmarkStart w:id="50" w:name="_Toc422021074"/>
      <w:bookmarkStart w:id="51" w:name="_Toc422021125"/>
      <w:bookmarkStart w:id="52" w:name="_Toc422022266"/>
      <w:bookmarkStart w:id="53" w:name="_Toc422889957"/>
      <w:bookmarkStart w:id="54" w:name="_Toc423315722"/>
      <w:bookmarkStart w:id="55" w:name="_Toc423315741"/>
      <w:bookmarkStart w:id="56" w:name="_Toc423773161"/>
      <w:bookmarkStart w:id="57" w:name="_Toc436562963"/>
      <w:bookmarkStart w:id="58" w:name="_Toc436640062"/>
      <w:bookmarkStart w:id="59" w:name="_Toc443117755"/>
      <w:bookmarkStart w:id="60" w:name="_Toc443188784"/>
      <w:bookmarkStart w:id="61" w:name="_Toc443380361"/>
      <w:bookmarkStart w:id="62" w:name="_Toc443380440"/>
      <w:bookmarkStart w:id="63" w:name="AmSched"/>
      <w:bookmarkStart w:id="64" w:name="CurrentFind"/>
      <w:r>
        <w:rPr>
          <w:rStyle w:val="CharAmSchNo"/>
        </w:rPr>
        <w:lastRenderedPageBreak/>
        <w:t>Schedule 1</w:t>
      </w:r>
      <w:r>
        <w:t>—</w:t>
      </w:r>
      <w:r>
        <w:rPr>
          <w:rStyle w:val="CharAmSchText"/>
        </w:rPr>
        <w:t>Radiocommunications (Transmitter Licence Tax) Act 1983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bookmarkEnd w:id="63"/>
    <w:bookmarkEnd w:id="64"/>
    <w:p w:rsidR="009A2718" w:rsidRDefault="0094702D">
      <w:pPr>
        <w:pStyle w:val="Header"/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:rsidR="009A2718" w:rsidRDefault="0094702D">
      <w:pPr>
        <w:pStyle w:val="ItemHead"/>
      </w:pPr>
      <w:r>
        <w:t>1  Title</w:t>
      </w:r>
    </w:p>
    <w:p w:rsidR="009A2718" w:rsidRDefault="0094702D">
      <w:pPr>
        <w:pStyle w:val="Item"/>
      </w:pPr>
      <w:r>
        <w:t>Omit “</w:t>
      </w:r>
      <w:r>
        <w:rPr>
          <w:b/>
          <w:bCs/>
        </w:rPr>
        <w:t>of the issue</w:t>
      </w:r>
      <w:r>
        <w:t>”, substitute “</w:t>
      </w:r>
      <w:r>
        <w:rPr>
          <w:b/>
          <w:bCs/>
        </w:rPr>
        <w:t>of the coming into force</w:t>
      </w:r>
      <w:r>
        <w:t>”.</w:t>
      </w:r>
    </w:p>
    <w:p w:rsidR="009A2718" w:rsidRDefault="0094702D">
      <w:pPr>
        <w:pStyle w:val="ItemHead"/>
      </w:pPr>
      <w:r>
        <w:t>2  Paragraphs 6(3)(d) and (5)(b)</w:t>
      </w:r>
    </w:p>
    <w:p w:rsidR="009A2718" w:rsidRDefault="0094702D">
      <w:pPr>
        <w:pStyle w:val="Item"/>
      </w:pPr>
      <w:r>
        <w:t>Omit “issue of the licence”, substitute “day the licence came into force”.</w:t>
      </w:r>
    </w:p>
    <w:p w:rsidR="009A2718" w:rsidRDefault="0094702D">
      <w:pPr>
        <w:pStyle w:val="ItemHead"/>
      </w:pPr>
      <w:r>
        <w:t>3  Paragraph 6(6)(b)</w:t>
      </w:r>
    </w:p>
    <w:p w:rsidR="009A2718" w:rsidRDefault="0094702D">
      <w:pPr>
        <w:pStyle w:val="Item"/>
      </w:pPr>
      <w:r>
        <w:t>Omit “issue of the licence within 60 days after that day”, substitute “day the licence came into force within 60 days after that anniversary”.</w:t>
      </w:r>
    </w:p>
    <w:p w:rsidR="009A2718" w:rsidRDefault="0094702D">
      <w:pPr>
        <w:pStyle w:val="ItemHead"/>
      </w:pPr>
      <w:r>
        <w:t>4  Subsection 7(1)</w:t>
      </w:r>
    </w:p>
    <w:p w:rsidR="009A2718" w:rsidRDefault="0094702D">
      <w:pPr>
        <w:pStyle w:val="Item"/>
      </w:pPr>
      <w:r>
        <w:t>Omit “the issue, the anniversary of the issue,”, substitute “the issue of a transmitter licence, the anniversary of a transmitter licence coming into force”.</w:t>
      </w:r>
    </w:p>
    <w:p w:rsidR="009A2718" w:rsidRDefault="0094702D">
      <w:pPr>
        <w:pStyle w:val="ItemHead"/>
      </w:pPr>
      <w:r>
        <w:t>5  Application of amendments</w:t>
      </w:r>
    </w:p>
    <w:p w:rsidR="009A2718" w:rsidRDefault="0094702D">
      <w:pPr>
        <w:pStyle w:val="Item"/>
      </w:pPr>
      <w:r>
        <w:t>The amendments made by this Schedule apply in relation to the imposition of tax in respect of a transmitter licence, if both:</w:t>
      </w:r>
    </w:p>
    <w:p w:rsidR="009A2718" w:rsidRDefault="0094702D">
      <w:pPr>
        <w:pStyle w:val="indenta"/>
      </w:pPr>
      <w:r>
        <w:tab/>
        <w:t>(a)</w:t>
      </w:r>
      <w:r>
        <w:tab/>
        <w:t>the relevant anniversary of the issue of the licence; and</w:t>
      </w:r>
    </w:p>
    <w:p w:rsidR="009A2718" w:rsidRDefault="0094702D">
      <w:pPr>
        <w:pStyle w:val="indenta"/>
      </w:pPr>
      <w:r>
        <w:tab/>
        <w:t>(b)</w:t>
      </w:r>
      <w:r>
        <w:tab/>
        <w:t>the corresponding anniversary of the licence coming into force;</w:t>
      </w:r>
    </w:p>
    <w:p w:rsidR="009A2718" w:rsidRDefault="0094702D">
      <w:pPr>
        <w:framePr w:w="947" w:h="323" w:hSpace="181" w:wrap="notBeside" w:vAnchor="page" w:hAnchor="page" w:x="2448" w:y="11665"/>
      </w:pPr>
      <w:r>
        <w:t>(15/99)</w:t>
      </w:r>
    </w:p>
    <w:p w:rsidR="009A2718" w:rsidRDefault="0094702D">
      <w:pPr>
        <w:pStyle w:val="Item"/>
      </w:pPr>
      <w:r>
        <w:t>occur after the commencement of this item.</w:t>
      </w:r>
    </w:p>
    <w:p w:rsidR="009A2718" w:rsidRDefault="009A2718"/>
    <w:p w:rsidR="009A2718" w:rsidRDefault="009A2718">
      <w:pPr>
        <w:pBdr>
          <w:top w:val="single" w:sz="4" w:space="1" w:color="auto"/>
        </w:pBdr>
      </w:pPr>
    </w:p>
    <w:p w:rsidR="009A2718" w:rsidRDefault="0094702D">
      <w:pPr>
        <w:rPr>
          <w:i/>
          <w:iCs/>
        </w:rPr>
      </w:pPr>
      <w:r>
        <w:t>[</w:t>
      </w:r>
      <w:r>
        <w:rPr>
          <w:i/>
          <w:iCs/>
        </w:rPr>
        <w:t>Minister’s second reading speech made in—</w:t>
      </w:r>
    </w:p>
    <w:p w:rsidR="009A2718" w:rsidRDefault="0094702D">
      <w:pPr>
        <w:rPr>
          <w:i/>
          <w:iCs/>
        </w:rPr>
      </w:pPr>
      <w:r>
        <w:rPr>
          <w:i/>
          <w:iCs/>
        </w:rPr>
        <w:t>House of Representatives on 18 February 1999</w:t>
      </w:r>
    </w:p>
    <w:p w:rsidR="009A2718" w:rsidRDefault="0094702D">
      <w:r>
        <w:rPr>
          <w:i/>
          <w:iCs/>
        </w:rPr>
        <w:t>Senate on 29 March 2000</w:t>
      </w:r>
      <w:r>
        <w:t>]</w:t>
      </w:r>
    </w:p>
    <w:p w:rsidR="009A2718" w:rsidRDefault="009A2718"/>
    <w:p w:rsidR="009A2718" w:rsidRDefault="009A2718"/>
    <w:p w:rsidR="009A2718" w:rsidRDefault="009A2718">
      <w:pPr>
        <w:sectPr w:rsidR="009A271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871" w:right="2410" w:bottom="3544" w:left="2410" w:header="709" w:footer="4111" w:gutter="0"/>
          <w:pgNumType w:start="1"/>
          <w:cols w:space="709"/>
          <w:titlePg/>
        </w:sectPr>
      </w:pPr>
    </w:p>
    <w:p w:rsidR="009A2718" w:rsidRDefault="009A2718"/>
    <w:sectPr w:rsidR="009A2718">
      <w:headerReference w:type="even" r:id="rId22"/>
      <w:headerReference w:type="default" r:id="rId23"/>
      <w:footerReference w:type="even" r:id="rId24"/>
      <w:footerReference w:type="default" r:id="rId25"/>
      <w:pgSz w:w="11906" w:h="16838" w:code="9"/>
      <w:pgMar w:top="1871" w:right="2410" w:bottom="3544" w:left="2410" w:header="709" w:footer="411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718" w:rsidRDefault="0094702D">
      <w:pPr>
        <w:spacing w:line="240" w:lineRule="auto"/>
      </w:pPr>
      <w:r>
        <w:separator/>
      </w:r>
    </w:p>
  </w:endnote>
  <w:endnote w:type="continuationSeparator" w:id="0">
    <w:p w:rsidR="009A2718" w:rsidRDefault="00947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A2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A2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A2718">
    <w:pPr>
      <w:pBdr>
        <w:top w:val="single" w:sz="6" w:space="1" w:color="auto"/>
      </w:pBdr>
      <w:rPr>
        <w:sz w:val="18"/>
        <w:szCs w:val="18"/>
      </w:rPr>
    </w:pPr>
  </w:p>
  <w:p w:rsidR="009A2718" w:rsidRDefault="0094702D">
    <w:pPr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Radiocommunications (Transmitter Licence Tax) Amendment Act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36,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ii</w:t>
    </w:r>
    <w:r>
      <w:rPr>
        <w:i/>
        <w:i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A2718">
    <w:pPr>
      <w:pBdr>
        <w:top w:val="single" w:sz="6" w:space="1" w:color="auto"/>
      </w:pBdr>
      <w:rPr>
        <w:sz w:val="18"/>
        <w:szCs w:val="18"/>
      </w:rPr>
    </w:pPr>
  </w:p>
  <w:p w:rsidR="009A2718" w:rsidRDefault="0094702D">
    <w:pPr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i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 w:rsidR="00CC45DE">
      <w:rPr>
        <w:i/>
        <w:iCs/>
        <w:noProof/>
        <w:sz w:val="18"/>
        <w:szCs w:val="18"/>
      </w:rPr>
      <w:t>Radiocommunications (Transmitter Licence Tax) Amendment Act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 w:rsidR="00CC45DE">
      <w:rPr>
        <w:i/>
        <w:iCs/>
        <w:noProof/>
        <w:sz w:val="18"/>
        <w:szCs w:val="18"/>
      </w:rPr>
      <w:t>No. 36, 2000</w:t>
    </w:r>
    <w:r>
      <w:rPr>
        <w:i/>
        <w:iCs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A2718">
    <w:pPr>
      <w:pBdr>
        <w:top w:val="single" w:sz="6" w:space="1" w:color="auto"/>
      </w:pBdr>
      <w:jc w:val="right"/>
      <w:rPr>
        <w:sz w:val="18"/>
        <w:szCs w:val="18"/>
      </w:rPr>
    </w:pPr>
  </w:p>
  <w:p w:rsidR="009A2718" w:rsidRDefault="0094702D">
    <w:pPr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 w:rsidR="00CC45DE">
      <w:rPr>
        <w:i/>
        <w:iCs/>
        <w:noProof/>
        <w:sz w:val="18"/>
        <w:szCs w:val="18"/>
      </w:rPr>
      <w:t>Radiocommunications (Transmitter Licence Tax) Amendment Act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 w:rsidR="00CC45DE">
      <w:rPr>
        <w:i/>
        <w:iCs/>
        <w:noProof/>
        <w:sz w:val="18"/>
        <w:szCs w:val="18"/>
      </w:rPr>
      <w:t>No. 36, 2000</w:t>
    </w:r>
    <w:r>
      <w:rPr>
        <w:i/>
        <w:iCs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A2718">
    <w:pPr>
      <w:pBdr>
        <w:top w:val="single" w:sz="6" w:space="1" w:color="auto"/>
      </w:pBdr>
      <w:rPr>
        <w:sz w:val="18"/>
        <w:szCs w:val="18"/>
      </w:rPr>
    </w:pPr>
  </w:p>
  <w:p w:rsidR="009A2718" w:rsidRDefault="0094702D">
    <w:pPr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 w:rsidR="00CC45DE">
      <w:rPr>
        <w:i/>
        <w:iCs/>
        <w:noProof/>
        <w:sz w:val="18"/>
        <w:szCs w:val="18"/>
      </w:rPr>
      <w:t>Radiocommunications (Transmitter Licence Tax) Amendment Act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 w:rsidR="00CC45DE">
      <w:rPr>
        <w:i/>
        <w:iCs/>
        <w:noProof/>
        <w:sz w:val="18"/>
        <w:szCs w:val="18"/>
      </w:rPr>
      <w:t>No. 36,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3</w:t>
    </w:r>
    <w:r>
      <w:rPr>
        <w:i/>
        <w:iCs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A2718">
    <w:pPr>
      <w:pBdr>
        <w:top w:val="single" w:sz="6" w:space="1" w:color="auto"/>
      </w:pBdr>
      <w:rPr>
        <w:sz w:val="18"/>
        <w:szCs w:val="18"/>
      </w:rPr>
    </w:pPr>
  </w:p>
  <w:p w:rsidR="009A2718" w:rsidRDefault="0094702D">
    <w:pPr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 w:rsidR="00CC45DE">
      <w:rPr>
        <w:i/>
        <w:iCs/>
        <w:noProof/>
        <w:sz w:val="18"/>
        <w:szCs w:val="18"/>
      </w:rPr>
      <w:t>Radiocommunications (Transmitter Licence Tax) Amendment Act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 w:rsidR="00CC45DE">
      <w:rPr>
        <w:i/>
        <w:iCs/>
        <w:noProof/>
        <w:sz w:val="18"/>
        <w:szCs w:val="18"/>
      </w:rPr>
      <w:t>No. 36,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A2718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4702D">
    <w:pPr>
      <w:pBdr>
        <w:top w:val="single" w:sz="6" w:space="1" w:color="auto"/>
      </w:pBdr>
      <w:rPr>
        <w:sz w:val="18"/>
        <w:szCs w:val="1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A2718" w:rsidRDefault="0094702D">
    <w:pPr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Radiocommunications (Transmitter Licence Tax) Amendment Act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36, 2000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   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718" w:rsidRDefault="0094702D">
      <w:pPr>
        <w:spacing w:line="240" w:lineRule="auto"/>
      </w:pPr>
      <w:r>
        <w:separator/>
      </w:r>
    </w:p>
  </w:footnote>
  <w:footnote w:type="continuationSeparator" w:id="0">
    <w:p w:rsidR="009A2718" w:rsidRDefault="009470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A2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A27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A2718">
    <w:pPr>
      <w:pBdr>
        <w:bottom w:val="single" w:sz="12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A2718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4702D">
    <w:pPr>
      <w:rPr>
        <w:sz w:val="20"/>
        <w:szCs w:val="20"/>
      </w:rPr>
    </w:pP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STYLEREF CharAmSchNo </w:instrTex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CharAmSchText </w:instrText>
    </w:r>
    <w:r>
      <w:rPr>
        <w:sz w:val="20"/>
        <w:szCs w:val="20"/>
      </w:rPr>
      <w:fldChar w:fldCharType="end"/>
    </w:r>
  </w:p>
  <w:p w:rsidR="009A2718" w:rsidRDefault="0094702D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STYLEREF CharAmPartNo </w:instrTex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CharAmPartText </w:instrText>
    </w:r>
    <w:r>
      <w:rPr>
        <w:sz w:val="20"/>
        <w:szCs w:val="20"/>
      </w:rPr>
      <w:fldChar w:fldCharType="end"/>
    </w:r>
  </w:p>
  <w:p w:rsidR="009A2718" w:rsidRDefault="009A2718">
    <w:pPr>
      <w:pBdr>
        <w:bottom w:val="single" w:sz="6" w:space="1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4702D">
    <w:pPr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CharAmSchText </w:instrText>
    </w:r>
    <w:r>
      <w:rPr>
        <w:sz w:val="20"/>
        <w:szCs w:val="20"/>
      </w:rPr>
      <w:fldChar w:fldCharType="separate"/>
    </w:r>
    <w:r w:rsidR="00CC45DE">
      <w:rPr>
        <w:noProof/>
        <w:sz w:val="20"/>
        <w:szCs w:val="20"/>
      </w:rPr>
      <w:t>Radiocommunications (Transmitter Licence Tax) Act 1983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STYLEREF CharAmSchNo </w:instrText>
    </w:r>
    <w:r>
      <w:rPr>
        <w:b/>
        <w:bCs/>
        <w:sz w:val="20"/>
        <w:szCs w:val="20"/>
      </w:rPr>
      <w:fldChar w:fldCharType="separate"/>
    </w:r>
    <w:r w:rsidR="00CC45DE">
      <w:rPr>
        <w:b/>
        <w:bCs/>
        <w:noProof/>
        <w:sz w:val="20"/>
        <w:szCs w:val="20"/>
      </w:rPr>
      <w:t>Schedule 1</w:t>
    </w:r>
    <w:r>
      <w:rPr>
        <w:b/>
        <w:bCs/>
        <w:sz w:val="20"/>
        <w:szCs w:val="20"/>
      </w:rPr>
      <w:fldChar w:fldCharType="end"/>
    </w:r>
  </w:p>
  <w:p w:rsidR="009A2718" w:rsidRDefault="0094702D">
    <w:pPr>
      <w:jc w:val="right"/>
      <w:rPr>
        <w:b/>
        <w:bCs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CharAmPartText </w:instrTex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STYLEREF CharAmPartNo </w:instrText>
    </w:r>
    <w:r>
      <w:rPr>
        <w:b/>
        <w:bCs/>
        <w:sz w:val="20"/>
        <w:szCs w:val="20"/>
      </w:rPr>
      <w:fldChar w:fldCharType="end"/>
    </w:r>
  </w:p>
  <w:p w:rsidR="009A2718" w:rsidRDefault="009A2718">
    <w:pPr>
      <w:pBdr>
        <w:bottom w:val="single" w:sz="6" w:space="1" w:color="auto"/>
      </w:pBd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A271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A271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718" w:rsidRDefault="009A2718">
    <w:pPr>
      <w:jc w:val="right"/>
      <w:rPr>
        <w:sz w:val="20"/>
        <w:szCs w:val="20"/>
      </w:rPr>
    </w:pPr>
  </w:p>
  <w:p w:rsidR="009A2718" w:rsidRDefault="0094702D">
    <w:pPr>
      <w:jc w:val="right"/>
      <w:rPr>
        <w:b/>
        <w:bCs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CharAmPartText </w:instrTex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STYLEREF CharAmPartNo </w:instrText>
    </w:r>
    <w:r>
      <w:rPr>
        <w:b/>
        <w:bCs/>
        <w:sz w:val="20"/>
        <w:szCs w:val="20"/>
      </w:rPr>
      <w:fldChar w:fldCharType="end"/>
    </w:r>
  </w:p>
  <w:p w:rsidR="009A2718" w:rsidRDefault="009A2718">
    <w:pPr>
      <w:pBdr>
        <w:bottom w:val="single" w:sz="6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16D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C1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9ABC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A8DB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C27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4DEEF608"/>
    <w:lvl w:ilvl="0">
      <w:start w:val="1"/>
      <w:numFmt w:val="bullet"/>
      <w:pStyle w:val="ListBullet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093A4CE0"/>
    <w:lvl w:ilvl="0">
      <w:start w:val="1"/>
      <w:numFmt w:val="bullet"/>
      <w:pStyle w:val="ListBullet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6A720894"/>
    <w:lvl w:ilvl="0">
      <w:start w:val="1"/>
      <w:numFmt w:val="bullet"/>
      <w:pStyle w:val="List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408C9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0AA58C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F565067"/>
    <w:multiLevelType w:val="singleLevel"/>
    <w:tmpl w:val="C4D0FBA0"/>
    <w:lvl w:ilvl="0">
      <w:start w:val="1"/>
      <w:numFmt w:val="bullet"/>
      <w:pStyle w:val="TLPNot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2BE36705"/>
    <w:multiLevelType w:val="singleLevel"/>
    <w:tmpl w:val="14708B10"/>
    <w:lvl w:ilvl="0">
      <w:start w:val="2"/>
      <w:numFmt w:val="decimal"/>
      <w:lvlText w:val="(%1)"/>
      <w:lvlJc w:val="left"/>
      <w:pPr>
        <w:tabs>
          <w:tab w:val="num" w:pos="1140"/>
        </w:tabs>
        <w:ind w:left="1140" w:hanging="375"/>
      </w:pPr>
      <w:rPr>
        <w:rFonts w:hint="default"/>
      </w:rPr>
    </w:lvl>
  </w:abstractNum>
  <w:abstractNum w:abstractNumId="12" w15:restartNumberingAfterBreak="0">
    <w:nsid w:val="7627142F"/>
    <w:multiLevelType w:val="singleLevel"/>
    <w:tmpl w:val="F7ECB4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95C104B"/>
    <w:multiLevelType w:val="singleLevel"/>
    <w:tmpl w:val="3FDE850A"/>
    <w:lvl w:ilvl="0">
      <w:start w:val="1"/>
      <w:numFmt w:val="bullet"/>
      <w:pStyle w:val="notebullet"/>
      <w:lvlText w:val=""/>
      <w:lvlJc w:val="left"/>
      <w:pPr>
        <w:tabs>
          <w:tab w:val="num" w:pos="2118"/>
        </w:tabs>
        <w:ind w:left="360" w:firstLine="1398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9"/>
  </w:num>
  <w:num w:numId="8">
    <w:abstractNumId w:val="7"/>
  </w:num>
  <w:num w:numId="9">
    <w:abstractNumId w:val="7"/>
  </w:num>
  <w:num w:numId="10">
    <w:abstractNumId w:val="6"/>
  </w:num>
  <w:num w:numId="11">
    <w:abstractNumId w:val="6"/>
  </w:num>
  <w:num w:numId="12">
    <w:abstractNumId w:val="5"/>
  </w:num>
  <w:num w:numId="13">
    <w:abstractNumId w:val="5"/>
  </w:num>
  <w:num w:numId="14">
    <w:abstractNumId w:val="4"/>
  </w:num>
  <w:num w:numId="15">
    <w:abstractNumId w:val="4"/>
  </w:num>
  <w:num w:numId="16">
    <w:abstractNumId w:val="1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8A"/>
    <w:rsid w:val="003C2235"/>
    <w:rsid w:val="004E2B8A"/>
    <w:rsid w:val="008C7A13"/>
    <w:rsid w:val="0094702D"/>
    <w:rsid w:val="009A2718"/>
    <w:rsid w:val="00A35620"/>
    <w:rsid w:val="00CC45DE"/>
    <w:rsid w:val="00D64392"/>
    <w:rsid w:val="00E1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60" w:lineRule="atLeast"/>
    </w:pPr>
    <w:rPr>
      <w:rFonts w:ascii="Times" w:hAnsi="Times" w:cs="Times"/>
      <w:lang w:val="en-AU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spacing w:before="240"/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outlineLvl w:val="5"/>
    </w:pPr>
    <w:rPr>
      <w:rFonts w:ascii="Helvetica" w:hAnsi="Helvetica" w:cs="Helvetica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spacing w:before="240"/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  <w:lang w:val="en-AU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  <w:lang w:val="en-AU"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  <w:lang w:val="en-AU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  <w:lang w:val="en-AU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lang w:val="en-AU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en-AU"/>
    </w:rPr>
  </w:style>
  <w:style w:type="paragraph" w:customStyle="1" w:styleId="ShortT">
    <w:name w:val="ShortT"/>
    <w:basedOn w:val="Normal"/>
    <w:next w:val="Normal"/>
    <w:uiPriority w:val="99"/>
    <w:pPr>
      <w:spacing w:before="360"/>
    </w:pPr>
    <w:rPr>
      <w:b/>
      <w:bCs/>
      <w:sz w:val="40"/>
      <w:szCs w:val="40"/>
    </w:rPr>
  </w:style>
  <w:style w:type="paragraph" w:customStyle="1" w:styleId="Actno">
    <w:name w:val="Actno"/>
    <w:basedOn w:val="UpdateDate"/>
    <w:next w:val="Normal"/>
    <w:uiPriority w:val="99"/>
    <w:rPr>
      <w:b/>
      <w:bCs/>
    </w:rPr>
  </w:style>
  <w:style w:type="paragraph" w:styleId="BodyText2">
    <w:name w:val="Body Text 2"/>
    <w:basedOn w:val="Normal"/>
    <w:link w:val="BodyText2Char"/>
    <w:uiPriority w:val="99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" w:hAnsi="Times" w:cs="Times"/>
      <w:lang w:val="en-AU"/>
    </w:r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uiPriority w:val="99"/>
    <w:pPr>
      <w:ind w:left="1559" w:hanging="425"/>
    </w:pPr>
  </w:style>
  <w:style w:type="paragraph" w:customStyle="1" w:styleId="BoxNote">
    <w:name w:val="BoxNote"/>
    <w:aliases w:val="bn"/>
    <w:basedOn w:val="BoxText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BoxPara">
    <w:name w:val="BoxPara"/>
    <w:aliases w:val="bp"/>
    <w:basedOn w:val="BoxText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SubdNo">
    <w:name w:val="CharSubdNo"/>
    <w:basedOn w:val="DefaultParagraphFont"/>
    <w:uiPriority w:val="99"/>
  </w:style>
  <w:style w:type="character" w:customStyle="1" w:styleId="CharSubdText">
    <w:name w:val="CharSubdText"/>
    <w:basedOn w:val="DefaultParagraphFont"/>
    <w:uiPriority w:val="99"/>
  </w:style>
  <w:style w:type="paragraph" w:customStyle="1" w:styleId="Subsection">
    <w:name w:val="Subsection"/>
    <w:aliases w:val="ss,subsection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styleId="Footer">
    <w:name w:val="footer"/>
    <w:basedOn w:val="Normal"/>
    <w:link w:val="FooterChar"/>
    <w:uiPriority w:val="99"/>
    <w:pPr>
      <w:tabs>
        <w:tab w:val="center" w:pos="4150"/>
        <w:tab w:val="right" w:pos="830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  <w:lang w:val="en-AU"/>
    </w:rPr>
  </w:style>
  <w:style w:type="paragraph" w:customStyle="1" w:styleId="Formula">
    <w:name w:val="Formula"/>
    <w:basedOn w:val="Normal"/>
    <w:uiPriority w:val="99"/>
    <w:pPr>
      <w:ind w:left="1134"/>
    </w:pPr>
  </w:style>
  <w:style w:type="paragraph" w:styleId="Header">
    <w:name w:val="header"/>
    <w:basedOn w:val="Normal"/>
    <w:link w:val="HeaderChar"/>
    <w:uiPriority w:val="99"/>
    <w:pPr>
      <w:keepLines/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  <w:lang w:val="en-AU"/>
    </w:rPr>
  </w:style>
  <w:style w:type="paragraph" w:customStyle="1" w:styleId="indenta">
    <w:name w:val="indent(a)"/>
    <w:aliases w:val="a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indentA0">
    <w:name w:val="indent(A)"/>
    <w:aliases w:val="aaa"/>
    <w:basedOn w:val="indenta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indentii">
    <w:name w:val="indent(ii)"/>
    <w:aliases w:val="aa"/>
    <w:basedOn w:val="indenta"/>
    <w:uiPriority w:val="99"/>
    <w:pPr>
      <w:tabs>
        <w:tab w:val="clear" w:pos="1531"/>
        <w:tab w:val="right" w:pos="1985"/>
      </w:tabs>
      <w:ind w:left="2098" w:hanging="2098"/>
    </w:pPr>
  </w:style>
  <w:style w:type="paragraph" w:customStyle="1" w:styleId="Item">
    <w:name w:val="Item"/>
    <w:aliases w:val="i"/>
    <w:basedOn w:val="Subsection"/>
    <w:next w:val="ItemHead"/>
    <w:uiPriority w:val="99"/>
    <w:pPr>
      <w:keepLines/>
      <w:tabs>
        <w:tab w:val="clear" w:pos="1021"/>
      </w:tabs>
      <w:spacing w:before="80"/>
      <w:ind w:left="709" w:firstLine="0"/>
    </w:pPr>
  </w:style>
  <w:style w:type="paragraph" w:customStyle="1" w:styleId="ItemHead">
    <w:name w:val="ItemHead"/>
    <w:aliases w:val="ih"/>
    <w:basedOn w:val="Heading1"/>
    <w:next w:val="Item"/>
    <w:uiPriority w:val="99"/>
    <w:pPr>
      <w:keepNext w:val="0"/>
      <w:spacing w:before="220"/>
      <w:ind w:left="709" w:hanging="709"/>
      <w:outlineLvl w:val="9"/>
    </w:pPr>
    <w:rPr>
      <w:rFonts w:ascii="Helvetica" w:hAnsi="Helvetica" w:cs="Helvetica"/>
      <w:sz w:val="24"/>
      <w:szCs w:val="24"/>
    </w:rPr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styleId="ListBullet">
    <w:name w:val="List Bullet"/>
    <w:basedOn w:val="Normal"/>
    <w:uiPriority w:val="99"/>
    <w:pPr>
      <w:numPr>
        <w:numId w:val="2"/>
      </w:numPr>
      <w:tabs>
        <w:tab w:val="clear" w:pos="643"/>
      </w:tabs>
      <w:ind w:left="284" w:hanging="284"/>
    </w:pPr>
  </w:style>
  <w:style w:type="paragraph" w:styleId="ListBullet2">
    <w:name w:val="List Bullet 2"/>
    <w:basedOn w:val="Normal"/>
    <w:uiPriority w:val="99"/>
    <w:pPr>
      <w:numPr>
        <w:numId w:val="4"/>
      </w:numPr>
      <w:tabs>
        <w:tab w:val="clear" w:pos="1209"/>
        <w:tab w:val="num" w:pos="643"/>
      </w:tabs>
      <w:ind w:left="643"/>
    </w:pPr>
  </w:style>
  <w:style w:type="paragraph" w:styleId="ListBullet3">
    <w:name w:val="List Bullet 3"/>
    <w:basedOn w:val="Normal"/>
    <w:uiPriority w:val="99"/>
    <w:pPr>
      <w:numPr>
        <w:numId w:val="6"/>
      </w:numPr>
      <w:tabs>
        <w:tab w:val="clear" w:pos="360"/>
        <w:tab w:val="num" w:pos="926"/>
      </w:tabs>
      <w:ind w:left="926"/>
    </w:pPr>
  </w:style>
  <w:style w:type="paragraph" w:styleId="ListBullet4">
    <w:name w:val="List Bullet 4"/>
    <w:basedOn w:val="Normal"/>
    <w:uiPriority w:val="99"/>
    <w:pPr>
      <w:tabs>
        <w:tab w:val="num" w:pos="643"/>
        <w:tab w:val="num" w:pos="1209"/>
      </w:tabs>
      <w:ind w:left="1209" w:hanging="360"/>
    </w:pPr>
  </w:style>
  <w:style w:type="paragraph" w:styleId="ListBullet5">
    <w:name w:val="List Bullet 5"/>
    <w:basedOn w:val="Normal"/>
    <w:uiPriority w:val="99"/>
    <w:pPr>
      <w:numPr>
        <w:numId w:val="10"/>
      </w:numPr>
      <w:tabs>
        <w:tab w:val="num" w:pos="1492"/>
      </w:tabs>
      <w:ind w:left="1492"/>
    </w:pPr>
  </w:style>
  <w:style w:type="paragraph" w:customStyle="1" w:styleId="LongT">
    <w:name w:val="LongT"/>
    <w:basedOn w:val="Normal"/>
    <w:uiPriority w:val="99"/>
    <w:rPr>
      <w:b/>
      <w:bCs/>
      <w:sz w:val="32"/>
      <w:szCs w:val="32"/>
    </w:rPr>
  </w:style>
  <w:style w:type="paragraph" w:customStyle="1" w:styleId="notedraft">
    <w:name w:val="note(draft)"/>
    <w:aliases w:val="nd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notemargin">
    <w:name w:val="note(margin)"/>
    <w:aliases w:val="nm"/>
    <w:basedOn w:val="notetext"/>
    <w:uiPriority w:val="99"/>
    <w:pPr>
      <w:tabs>
        <w:tab w:val="left" w:pos="709"/>
      </w:tabs>
      <w:ind w:left="709" w:hanging="709"/>
    </w:pPr>
  </w:style>
  <w:style w:type="paragraph" w:customStyle="1" w:styleId="notepara">
    <w:name w:val="note(para)"/>
    <w:aliases w:val="na"/>
    <w:basedOn w:val="notetext"/>
    <w:uiPriority w:val="99"/>
    <w:pPr>
      <w:ind w:left="2353" w:hanging="709"/>
    </w:pPr>
  </w:style>
  <w:style w:type="character" w:styleId="PageNumber">
    <w:name w:val="page number"/>
    <w:basedOn w:val="DefaultParagraphFont"/>
    <w:uiPriority w:val="99"/>
  </w:style>
  <w:style w:type="paragraph" w:customStyle="1" w:styleId="Page1">
    <w:name w:val="Page1"/>
    <w:basedOn w:val="Normal"/>
    <w:uiPriority w:val="99"/>
    <w:pPr>
      <w:spacing w:before="5600" w:line="240" w:lineRule="auto"/>
    </w:pPr>
    <w:rPr>
      <w:b/>
      <w:bCs/>
      <w:sz w:val="32"/>
      <w:szCs w:val="32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2"/>
      <w:szCs w:val="2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4"/>
    </w:pPr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spacing w:line="240" w:lineRule="auto"/>
      <w:outlineLvl w:val="9"/>
    </w:pPr>
    <w:rPr>
      <w:sz w:val="28"/>
      <w:szCs w:val="28"/>
    </w:rPr>
  </w:style>
  <w:style w:type="paragraph" w:customStyle="1" w:styleId="Subitem">
    <w:name w:val="Subitem"/>
    <w:aliases w:val="iss"/>
    <w:basedOn w:val="Normal"/>
    <w:uiPriority w:val="99"/>
    <w:pPr>
      <w:spacing w:before="180"/>
      <w:ind w:left="709" w:hanging="709"/>
    </w:pPr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Helvetica" w:hAnsi="Helvetica" w:cs="Helvetica"/>
      <w:i/>
      <w:iCs/>
      <w:kern w:val="28"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TableofAuthorities">
    <w:name w:val="table of authorities"/>
    <w:basedOn w:val="Normal"/>
    <w:next w:val="Normal"/>
    <w:uiPriority w:val="99"/>
    <w:pPr>
      <w:ind w:left="220" w:hanging="220"/>
    </w:pPr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  <w:szCs w:val="20"/>
    </w:rPr>
  </w:style>
  <w:style w:type="paragraph" w:customStyle="1" w:styleId="Table">
    <w:name w:val="Table"/>
    <w:aliases w:val="t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Link">
    <w:name w:val="TLPLink"/>
    <w:basedOn w:val="Heading9"/>
    <w:uiPriority w:val="99"/>
    <w:pPr>
      <w:keepLines w:val="0"/>
      <w:spacing w:before="360" w:line="240" w:lineRule="auto"/>
      <w:ind w:firstLine="0"/>
      <w:outlineLvl w:val="9"/>
    </w:pPr>
    <w:rPr>
      <w:b w:val="0"/>
      <w:bCs w:val="0"/>
      <w:kern w:val="0"/>
      <w:sz w:val="20"/>
      <w:szCs w:val="20"/>
    </w:rPr>
  </w:style>
  <w:style w:type="paragraph" w:customStyle="1" w:styleId="TLPNotebullet">
    <w:name w:val="TLPNote(bullet)"/>
    <w:basedOn w:val="Normal"/>
    <w:uiPriority w:val="99"/>
    <w:pPr>
      <w:numPr>
        <w:numId w:val="16"/>
      </w:numPr>
      <w:tabs>
        <w:tab w:val="clear" w:pos="360"/>
      </w:tabs>
      <w:spacing w:before="122" w:line="198" w:lineRule="exact"/>
      <w:ind w:left="2552" w:hanging="284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styleId="TOC1">
    <w:name w:val="toc 1"/>
    <w:basedOn w:val="Heading1"/>
    <w:next w:val="Normal"/>
    <w:uiPriority w:val="99"/>
    <w:pPr>
      <w:tabs>
        <w:tab w:val="right" w:pos="7088"/>
      </w:tabs>
      <w:spacing w:before="120" w:line="240" w:lineRule="auto"/>
      <w:ind w:left="1474" w:right="567" w:hanging="1474"/>
      <w:outlineLvl w:val="9"/>
    </w:pPr>
    <w:rPr>
      <w:sz w:val="28"/>
      <w:szCs w:val="28"/>
    </w:rPr>
  </w:style>
  <w:style w:type="paragraph" w:styleId="TOC2">
    <w:name w:val="toc 2"/>
    <w:basedOn w:val="Heading2"/>
    <w:next w:val="Normal"/>
    <w:uiPriority w:val="99"/>
    <w:pPr>
      <w:tabs>
        <w:tab w:val="right" w:pos="7088"/>
      </w:tabs>
      <w:spacing w:before="120" w:line="240" w:lineRule="auto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right" w:pos="7088"/>
      </w:tabs>
      <w:spacing w:before="80" w:line="240" w:lineRule="auto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right" w:pos="7088"/>
      </w:tabs>
      <w:spacing w:before="80" w:line="240" w:lineRule="auto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99"/>
    <w:pPr>
      <w:keepNext w:val="0"/>
      <w:tabs>
        <w:tab w:val="right" w:leader="dot" w:pos="7088"/>
      </w:tabs>
      <w:spacing w:before="40" w:line="240" w:lineRule="auto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6">
    <w:name w:val="toc 6"/>
    <w:basedOn w:val="TOC1"/>
    <w:next w:val="Normal"/>
    <w:uiPriority w:val="99"/>
    <w:pPr>
      <w:keepNext w:val="0"/>
      <w:ind w:left="1344" w:hanging="1344"/>
    </w:pPr>
    <w:rPr>
      <w:sz w:val="24"/>
      <w:szCs w:val="24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styleId="TOC9">
    <w:name w:val="toc 9"/>
    <w:basedOn w:val="Heading9"/>
    <w:next w:val="Normal"/>
    <w:uiPriority w:val="99"/>
    <w:pPr>
      <w:tabs>
        <w:tab w:val="right" w:pos="7088"/>
      </w:tabs>
      <w:spacing w:before="80" w:line="240" w:lineRule="auto"/>
      <w:ind w:left="851" w:right="567" w:firstLine="0"/>
      <w:outlineLvl w:val="9"/>
    </w:pPr>
    <w:rPr>
      <w:b w:val="0"/>
      <w:bCs w:val="0"/>
      <w:sz w:val="20"/>
      <w:szCs w:val="20"/>
    </w:rPr>
  </w:style>
  <w:style w:type="paragraph" w:customStyle="1" w:styleId="TofSectsGroupHeading">
    <w:name w:val="TofSects(Group Heading)"/>
    <w:basedOn w:val="TOC4"/>
    <w:uiPriority w:val="99"/>
    <w:pPr>
      <w:tabs>
        <w:tab w:val="clear" w:pos="7088"/>
      </w:tabs>
      <w:spacing w:before="240" w:after="120"/>
      <w:ind w:left="794" w:right="0" w:firstLine="0"/>
    </w:pPr>
  </w:style>
  <w:style w:type="paragraph" w:customStyle="1" w:styleId="TofSectsHeading">
    <w:name w:val="TofSects(Heading)"/>
    <w:basedOn w:val="TOC5"/>
    <w:next w:val="TofSectsSection"/>
    <w:uiPriority w:val="99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kern w:val="0"/>
      <w:sz w:val="24"/>
      <w:szCs w:val="24"/>
    </w:rPr>
  </w:style>
  <w:style w:type="paragraph" w:customStyle="1" w:styleId="TofSectsSection">
    <w:name w:val="TofSects(Section)"/>
    <w:basedOn w:val="TOC5"/>
    <w:uiPriority w:val="99"/>
    <w:pPr>
      <w:tabs>
        <w:tab w:val="clear" w:pos="7088"/>
      </w:tabs>
      <w:ind w:left="1588" w:right="0" w:hanging="794"/>
    </w:pPr>
  </w:style>
  <w:style w:type="paragraph" w:customStyle="1" w:styleId="TofSectsSubdiv">
    <w:name w:val="TofSects(Subdiv)"/>
    <w:basedOn w:val="TOC4"/>
    <w:uiPriority w:val="99"/>
    <w:pPr>
      <w:tabs>
        <w:tab w:val="clear" w:pos="7088"/>
      </w:tabs>
      <w:ind w:left="1588" w:right="0" w:hanging="794"/>
    </w:pPr>
    <w:rPr>
      <w:b w:val="0"/>
      <w:bCs w:val="0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  <w:lang w:val="en-AU"/>
    </w:rPr>
  </w:style>
  <w:style w:type="paragraph" w:customStyle="1" w:styleId="TofSectsGroupHeading0">
    <w:name w:val="TofSects(GroupHeading)"/>
    <w:basedOn w:val="TOC4"/>
    <w:next w:val="TofSectsSection"/>
    <w:uiPriority w:val="99"/>
    <w:pPr>
      <w:tabs>
        <w:tab w:val="clear" w:pos="7088"/>
      </w:tabs>
      <w:spacing w:before="240" w:after="120"/>
      <w:ind w:left="794" w:right="0" w:firstLine="0"/>
    </w:pPr>
  </w:style>
  <w:style w:type="paragraph" w:customStyle="1" w:styleId="noteParlAmend">
    <w:name w:val="note(ParlAmend)"/>
    <w:aliases w:val="npp"/>
    <w:basedOn w:val="Normal"/>
    <w:next w:val="ParlAmend"/>
    <w:uiPriority w:val="99"/>
    <w:pPr>
      <w:jc w:val="right"/>
    </w:pPr>
    <w:rPr>
      <w:rFonts w:ascii="Helvetica" w:hAnsi="Helvetica" w:cs="Helvetica"/>
      <w:b/>
      <w:bCs/>
      <w:i/>
      <w:iCs/>
    </w:rPr>
  </w:style>
  <w:style w:type="paragraph" w:customStyle="1" w:styleId="headerpartodd">
    <w:name w:val="header.part.odd"/>
    <w:basedOn w:val="Normal"/>
    <w:uiPriority w:val="99"/>
    <w:pPr>
      <w:keepNext/>
    </w:pPr>
    <w:rPr>
      <w:sz w:val="20"/>
      <w:szCs w:val="20"/>
    </w:rPr>
  </w:style>
  <w:style w:type="paragraph" w:customStyle="1" w:styleId="NotesSection">
    <w:name w:val="NotesSection"/>
    <w:basedOn w:val="Normal"/>
    <w:uiPriority w:val="99"/>
    <w:pPr>
      <w:spacing w:before="240"/>
    </w:pPr>
    <w:rPr>
      <w:rFonts w:ascii="Helvetica" w:hAnsi="Helvetica" w:cs="Helvetica"/>
      <w:b/>
      <w:bCs/>
      <w:sz w:val="28"/>
      <w:szCs w:val="28"/>
    </w:rPr>
  </w:style>
  <w:style w:type="character" w:customStyle="1" w:styleId="CharNotesItals">
    <w:name w:val="CharNotesItals"/>
    <w:basedOn w:val="DefaultParagraphFont"/>
    <w:uiPriority w:val="99"/>
    <w:rPr>
      <w:i/>
      <w:iCs/>
    </w:rPr>
  </w:style>
  <w:style w:type="character" w:customStyle="1" w:styleId="CharNotesReg">
    <w:name w:val="CharNotesReg"/>
    <w:basedOn w:val="DefaultParagraphFont"/>
    <w:uiPriority w:val="99"/>
  </w:style>
  <w:style w:type="paragraph" w:customStyle="1" w:styleId="UpdateDate">
    <w:name w:val="UpdateDate"/>
    <w:basedOn w:val="Normal"/>
    <w:uiPriority w:val="99"/>
    <w:pPr>
      <w:spacing w:before="240"/>
    </w:pPr>
    <w:rPr>
      <w:sz w:val="24"/>
      <w:szCs w:val="24"/>
    </w:rPr>
  </w:style>
  <w:style w:type="paragraph" w:customStyle="1" w:styleId="CoverActNo">
    <w:name w:val="CoverActNo"/>
    <w:basedOn w:val="UpdateDate"/>
    <w:uiPriority w:val="99"/>
    <w:rPr>
      <w:b/>
      <w:bCs/>
    </w:rPr>
  </w:style>
  <w:style w:type="paragraph" w:customStyle="1" w:styleId="Contents">
    <w:name w:val="Contents"/>
    <w:basedOn w:val="Normal"/>
    <w:next w:val="Normal"/>
    <w:uiPriority w:val="99"/>
    <w:pPr>
      <w:spacing w:line="240" w:lineRule="auto"/>
    </w:pPr>
    <w:rPr>
      <w:sz w:val="36"/>
      <w:szCs w:val="36"/>
    </w:rPr>
  </w:style>
  <w:style w:type="paragraph" w:customStyle="1" w:styleId="ReprintDate">
    <w:name w:val="ReprintDate"/>
    <w:basedOn w:val="Normal"/>
    <w:uiPriority w:val="99"/>
    <w:pPr>
      <w:spacing w:before="240"/>
    </w:pPr>
    <w:rPr>
      <w:b/>
      <w:bCs/>
      <w:sz w:val="28"/>
      <w:szCs w:val="28"/>
    </w:rPr>
  </w:style>
  <w:style w:type="paragraph" w:customStyle="1" w:styleId="ENoteNo">
    <w:name w:val="ENoteNo"/>
    <w:basedOn w:val="Normal"/>
    <w:uiPriority w:val="99"/>
    <w:pPr>
      <w:spacing w:before="120" w:after="120"/>
      <w:ind w:left="1134" w:hanging="1134"/>
    </w:pPr>
    <w:rPr>
      <w:rFonts w:ascii="Helvetica" w:hAnsi="Helvetica" w:cs="Helvetica"/>
      <w:b/>
      <w:bCs/>
      <w:sz w:val="24"/>
      <w:szCs w:val="24"/>
    </w:rPr>
  </w:style>
  <w:style w:type="paragraph" w:customStyle="1" w:styleId="TableOfActsHead">
    <w:name w:val="TableOfActsHead"/>
    <w:basedOn w:val="Normal"/>
    <w:uiPriority w:val="99"/>
    <w:pPr>
      <w:spacing w:before="240" w:after="240"/>
    </w:pPr>
    <w:rPr>
      <w:rFonts w:ascii="Helvetica" w:hAnsi="Helvetica" w:cs="Helvetica"/>
      <w:b/>
      <w:bCs/>
      <w:sz w:val="24"/>
      <w:szCs w:val="24"/>
    </w:rPr>
  </w:style>
  <w:style w:type="paragraph" w:customStyle="1" w:styleId="TableOfActs1">
    <w:name w:val="TableOfActs(1)"/>
    <w:basedOn w:val="Normal"/>
    <w:uiPriority w:val="99"/>
    <w:pPr>
      <w:spacing w:before="60" w:line="180" w:lineRule="exact"/>
      <w:ind w:left="142" w:hanging="142"/>
    </w:pPr>
    <w:rPr>
      <w:rFonts w:ascii="Helvetica" w:hAnsi="Helvetica" w:cs="Helvetica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pPr>
      <w:ind w:left="0" w:firstLine="0"/>
    </w:pPr>
    <w:rPr>
      <w:i w:val="0"/>
      <w:iCs w:val="0"/>
    </w:rPr>
  </w:style>
  <w:style w:type="paragraph" w:customStyle="1" w:styleId="TableOfAmend">
    <w:name w:val="TableOfAmend"/>
    <w:basedOn w:val="Normal"/>
    <w:next w:val="Normal"/>
    <w:uiPriority w:val="99"/>
    <w:pPr>
      <w:tabs>
        <w:tab w:val="right" w:leader="dot" w:pos="2268"/>
      </w:tabs>
      <w:spacing w:before="60" w:line="180" w:lineRule="exact"/>
      <w:ind w:left="170" w:right="-113" w:hanging="170"/>
    </w:pPr>
    <w:rPr>
      <w:rFonts w:ascii="Helvetica" w:hAnsi="Helvetica" w:cs="Helvetica"/>
      <w:sz w:val="16"/>
      <w:szCs w:val="16"/>
    </w:rPr>
  </w:style>
  <w:style w:type="paragraph" w:customStyle="1" w:styleId="asamended">
    <w:name w:val="as amended"/>
    <w:basedOn w:val="Normal"/>
    <w:uiPriority w:val="99"/>
    <w:pPr>
      <w:keepNext/>
      <w:spacing w:before="60" w:line="200" w:lineRule="exact"/>
      <w:ind w:left="284"/>
    </w:pPr>
    <w:rPr>
      <w:rFonts w:ascii="Helvetica" w:hAnsi="Helvetica" w:cs="Helvetica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pPr>
      <w:spacing w:before="60" w:line="200" w:lineRule="exact"/>
      <w:ind w:left="284"/>
    </w:pPr>
    <w:rPr>
      <w:rFonts w:ascii="Helvetica" w:hAnsi="Helvetica" w:cs="Helvetica"/>
      <w:i/>
      <w:iCs/>
      <w:sz w:val="16"/>
      <w:szCs w:val="16"/>
    </w:rPr>
  </w:style>
  <w:style w:type="paragraph" w:customStyle="1" w:styleId="ActNotesa">
    <w:name w:val="ActNotes(a)"/>
    <w:basedOn w:val="Normal"/>
    <w:uiPriority w:val="99"/>
    <w:pPr>
      <w:spacing w:before="60" w:line="180" w:lineRule="exact"/>
      <w:ind w:left="425" w:hanging="425"/>
    </w:pPr>
    <w:rPr>
      <w:rFonts w:ascii="Helvetica" w:hAnsi="Helvetica" w:cs="Helvetica"/>
      <w:sz w:val="16"/>
      <w:szCs w:val="16"/>
    </w:rPr>
  </w:style>
  <w:style w:type="paragraph" w:customStyle="1" w:styleId="ActNotes1">
    <w:name w:val="ActNotes(1)"/>
    <w:basedOn w:val="Normal"/>
    <w:uiPriority w:val="99"/>
    <w:pPr>
      <w:tabs>
        <w:tab w:val="right" w:pos="992"/>
      </w:tabs>
      <w:spacing w:before="60" w:line="240" w:lineRule="auto"/>
      <w:ind w:left="1134" w:hanging="1134"/>
    </w:pPr>
    <w:rPr>
      <w:rFonts w:ascii="Helvetica" w:hAnsi="Helvetica" w:cs="Helvetica"/>
      <w:sz w:val="16"/>
      <w:szCs w:val="16"/>
    </w:rPr>
  </w:style>
  <w:style w:type="paragraph" w:customStyle="1" w:styleId="ActNotes1a">
    <w:name w:val="ActNotes(1)(a)"/>
    <w:basedOn w:val="Normal"/>
    <w:uiPriority w:val="99"/>
    <w:pPr>
      <w:tabs>
        <w:tab w:val="right" w:pos="1559"/>
      </w:tabs>
      <w:spacing w:before="60" w:line="180" w:lineRule="exact"/>
      <w:ind w:left="1701" w:hanging="1701"/>
    </w:pPr>
    <w:rPr>
      <w:rFonts w:ascii="Helvetica" w:hAnsi="Helvetica" w:cs="Helvetica"/>
      <w:sz w:val="16"/>
      <w:szCs w:val="16"/>
    </w:rPr>
  </w:style>
  <w:style w:type="paragraph" w:customStyle="1" w:styleId="EndNote">
    <w:name w:val="EndNote"/>
    <w:basedOn w:val="Normal"/>
    <w:uiPriority w:val="99"/>
    <w:pPr>
      <w:spacing w:before="180"/>
    </w:pPr>
  </w:style>
  <w:style w:type="paragraph" w:customStyle="1" w:styleId="TableOfAmendHead">
    <w:name w:val="TableOfAmendHead"/>
    <w:basedOn w:val="Normal"/>
    <w:uiPriority w:val="99"/>
    <w:pPr>
      <w:tabs>
        <w:tab w:val="right" w:pos="1021"/>
      </w:tabs>
      <w:spacing w:before="240" w:after="240"/>
      <w:ind w:left="1134" w:hanging="1134"/>
    </w:pPr>
    <w:rPr>
      <w:rFonts w:ascii="Helvetica" w:hAnsi="Helvetica" w:cs="Helvetica"/>
      <w:b/>
      <w:bCs/>
      <w:sz w:val="24"/>
      <w:szCs w:val="24"/>
    </w:rPr>
  </w:style>
  <w:style w:type="paragraph" w:customStyle="1" w:styleId="TableOfAmendOpt">
    <w:name w:val="TableOfAmendOpt"/>
    <w:basedOn w:val="TableOfAmend"/>
    <w:uiPriority w:val="99"/>
    <w:pPr>
      <w:spacing w:before="0"/>
    </w:pPr>
  </w:style>
  <w:style w:type="paragraph" w:customStyle="1" w:styleId="TableA0">
    <w:name w:val="TableA"/>
    <w:basedOn w:val="Normal"/>
    <w:uiPriority w:val="99"/>
    <w:pPr>
      <w:spacing w:before="120" w:after="120"/>
    </w:pPr>
    <w:rPr>
      <w:rFonts w:ascii="Helvetica" w:hAnsi="Helvetica" w:cs="Helvetica"/>
      <w:b/>
      <w:bCs/>
      <w:sz w:val="24"/>
      <w:szCs w:val="24"/>
    </w:rPr>
  </w:style>
  <w:style w:type="paragraph" w:customStyle="1" w:styleId="TableAHead">
    <w:name w:val="TableAHead"/>
    <w:basedOn w:val="TableA0"/>
    <w:uiPriority w:val="99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pPr>
      <w:ind w:left="1134" w:hanging="1134"/>
    </w:pPr>
    <w:rPr>
      <w:rFonts w:ascii="Times" w:hAnsi="Times" w:cs="Times"/>
      <w:b w:val="0"/>
      <w:bCs w:val="0"/>
      <w:i/>
      <w:iCs/>
    </w:rPr>
  </w:style>
  <w:style w:type="paragraph" w:customStyle="1" w:styleId="notebullet">
    <w:name w:val="note(bullet)"/>
    <w:basedOn w:val="Normal"/>
    <w:uiPriority w:val="99"/>
    <w:pPr>
      <w:numPr>
        <w:numId w:val="24"/>
      </w:numPr>
      <w:tabs>
        <w:tab w:val="left" w:pos="2268"/>
      </w:tabs>
    </w:pPr>
    <w:rPr>
      <w:sz w:val="18"/>
      <w:szCs w:val="18"/>
    </w:rPr>
  </w:style>
  <w:style w:type="character" w:customStyle="1" w:styleId="superscriptstyle">
    <w:name w:val="superscriptstyle"/>
    <w:basedOn w:val="DefaultParagraphFont"/>
    <w:uiPriority w:val="99"/>
    <w:rPr>
      <w:rFonts w:ascii="Times" w:hAnsi="Times" w:cs="Times"/>
      <w:sz w:val="18"/>
      <w:szCs w:val="18"/>
      <w:vertAlign w:val="baseline"/>
    </w:rPr>
  </w:style>
  <w:style w:type="paragraph" w:customStyle="1" w:styleId="AmendTableColHead">
    <w:name w:val="AmendTableColHead"/>
    <w:basedOn w:val="TableOfAmend"/>
    <w:uiPriority w:val="99"/>
    <w:pPr>
      <w:spacing w:line="200" w:lineRule="exact"/>
    </w:pPr>
    <w:rPr>
      <w:sz w:val="18"/>
      <w:szCs w:val="18"/>
    </w:rPr>
  </w:style>
  <w:style w:type="paragraph" w:customStyle="1" w:styleId="Mathtype">
    <w:name w:val="Mathtype"/>
    <w:basedOn w:val="Normal"/>
    <w:uiPriority w:val="99"/>
  </w:style>
  <w:style w:type="paragraph" w:customStyle="1" w:styleId="TOAmRenumbered">
    <w:name w:val="TOAmRenumbered"/>
    <w:basedOn w:val="TableOfAmend"/>
    <w:uiPriority w:val="99"/>
    <w:pPr>
      <w:ind w:left="0" w:firstLine="0"/>
    </w:pPr>
  </w:style>
  <w:style w:type="paragraph" w:customStyle="1" w:styleId="ActNotes1ai">
    <w:name w:val="ActNotes(1)(a)(i)"/>
    <w:basedOn w:val="Normal"/>
    <w:uiPriority w:val="99"/>
    <w:pPr>
      <w:tabs>
        <w:tab w:val="right" w:pos="1843"/>
      </w:tabs>
      <w:spacing w:line="180" w:lineRule="atLeast"/>
      <w:ind w:left="1985" w:hanging="1985"/>
    </w:pPr>
    <w:rPr>
      <w:rFonts w:ascii="Helvetica" w:hAnsi="Helvetica" w:cs="Helvetic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325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2023-09-18T05:51:00Z</dcterms:created>
  <dcterms:modified xsi:type="dcterms:W3CDTF">2023-12-20T03:02:00Z</dcterms:modified>
</cp:coreProperties>
</file>