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D6" w:rsidRDefault="000B200B">
      <w:pPr>
        <w:spacing w:line="240" w:lineRule="auto"/>
      </w:pPr>
      <w:r>
        <w:rPr>
          <w:noProof/>
          <w:sz w:val="20"/>
          <w:szCs w:val="20"/>
        </w:rPr>
        <w:drawing>
          <wp:inline distT="0" distB="0" distL="0" distR="0" wp14:anchorId="23258582" wp14:editId="717F882B">
            <wp:extent cx="1447800" cy="1066800"/>
            <wp:effectExtent l="0" t="0" r="0" b="0"/>
            <wp:docPr id="12" name="Picture 1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8D6" w:rsidRDefault="002938D6"/>
    <w:p w:rsidR="002938D6" w:rsidRDefault="002938D6"/>
    <w:p w:rsidR="002938D6" w:rsidRDefault="002938D6"/>
    <w:p w:rsidR="002938D6" w:rsidRDefault="002938D6"/>
    <w:p w:rsidR="002938D6" w:rsidRDefault="002938D6">
      <w:pPr>
        <w:pStyle w:val="ShortT"/>
      </w:pPr>
      <w:r>
        <w:t>Product Stewardship (Oil) (Consequential Amendments) Act 2000</w:t>
      </w:r>
    </w:p>
    <w:p w:rsidR="002938D6" w:rsidRDefault="002938D6"/>
    <w:p w:rsidR="002938D6" w:rsidRPr="00730171" w:rsidRDefault="002938D6">
      <w:pPr>
        <w:pStyle w:val="Actno"/>
        <w:spacing w:before="400"/>
        <w:rPr>
          <w:sz w:val="40"/>
          <w:szCs w:val="40"/>
        </w:rPr>
      </w:pPr>
      <w:r w:rsidRPr="00730171">
        <w:rPr>
          <w:sz w:val="40"/>
          <w:szCs w:val="40"/>
        </w:rPr>
        <w:t>No. 105, 2000</w:t>
      </w:r>
    </w:p>
    <w:p w:rsidR="002938D6" w:rsidRDefault="002938D6"/>
    <w:p w:rsidR="002938D6" w:rsidRDefault="002938D6"/>
    <w:p w:rsidR="002938D6" w:rsidRDefault="002938D6"/>
    <w:p w:rsidR="002938D6" w:rsidRDefault="002938D6"/>
    <w:p w:rsidR="002938D6" w:rsidRDefault="002938D6">
      <w:pPr>
        <w:pStyle w:val="LongT"/>
        <w:outlineLvl w:val="0"/>
      </w:pPr>
      <w:r>
        <w:t xml:space="preserve">An Act to make consequential amendments in connection with the enactment of the </w:t>
      </w:r>
      <w:r>
        <w:rPr>
          <w:i/>
          <w:iCs/>
        </w:rPr>
        <w:t>Product Stewardship (Oil) Act 2000</w:t>
      </w:r>
      <w:r>
        <w:t>, and for other purposes</w:t>
      </w:r>
    </w:p>
    <w:p w:rsidR="002938D6" w:rsidRDefault="002938D6">
      <w:pPr>
        <w:pStyle w:val="Header"/>
      </w:pPr>
      <w:r>
        <w:rPr>
          <w:rStyle w:val="CharAmSchNo"/>
          <w:rFonts w:cs="Times"/>
        </w:rPr>
        <w:t xml:space="preserve"> </w:t>
      </w:r>
      <w:r>
        <w:rPr>
          <w:rStyle w:val="CharAmSchText"/>
          <w:rFonts w:cs="Times"/>
        </w:rPr>
        <w:t xml:space="preserve"> </w:t>
      </w:r>
    </w:p>
    <w:p w:rsidR="002938D6" w:rsidRDefault="002938D6">
      <w:pPr>
        <w:pStyle w:val="Header"/>
      </w:pPr>
      <w:r>
        <w:rPr>
          <w:rStyle w:val="CharAmPartNo"/>
          <w:rFonts w:cs="Times"/>
        </w:rPr>
        <w:t xml:space="preserve"> </w:t>
      </w:r>
      <w:r>
        <w:rPr>
          <w:rStyle w:val="CharAmPartText"/>
          <w:rFonts w:cs="Times"/>
        </w:rPr>
        <w:t xml:space="preserve"> </w:t>
      </w:r>
    </w:p>
    <w:p w:rsidR="002938D6" w:rsidRDefault="002938D6">
      <w:pPr>
        <w:sectPr w:rsidR="002938D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2410" w:bottom="4252" w:left="2410" w:header="709" w:footer="3402" w:gutter="0"/>
          <w:cols w:space="709"/>
        </w:sectPr>
      </w:pPr>
    </w:p>
    <w:p w:rsidR="002938D6" w:rsidRDefault="002938D6">
      <w:pPr>
        <w:outlineLvl w:val="0"/>
        <w:rPr>
          <w:sz w:val="36"/>
          <w:szCs w:val="36"/>
        </w:rPr>
      </w:pPr>
      <w:r>
        <w:rPr>
          <w:sz w:val="36"/>
          <w:szCs w:val="36"/>
        </w:rPr>
        <w:lastRenderedPageBreak/>
        <w:t>Contents</w:t>
      </w:r>
    </w:p>
    <w:p w:rsidR="002938D6" w:rsidRDefault="002938D6">
      <w:pPr>
        <w:pStyle w:val="TOC5"/>
        <w:rPr>
          <w:noProof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_Toc486924594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938D6" w:rsidRDefault="002938D6">
      <w:pPr>
        <w:pStyle w:val="TOC5"/>
        <w:rPr>
          <w:noProof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_Toc486924595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2938D6" w:rsidRDefault="002938D6">
      <w:pPr>
        <w:pStyle w:val="TOC5"/>
        <w:rPr>
          <w:noProof/>
        </w:rPr>
      </w:pPr>
      <w:r>
        <w:rPr>
          <w:noProof/>
        </w:rPr>
        <w:t>3</w:t>
      </w:r>
      <w:r>
        <w:rPr>
          <w:noProof/>
        </w:rPr>
        <w:tab/>
        <w:t>Schedule(s)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_Toc486924596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2938D6" w:rsidRDefault="002938D6">
      <w:pPr>
        <w:pStyle w:val="TOC6"/>
        <w:rPr>
          <w:noProof/>
        </w:rPr>
      </w:pPr>
      <w:r>
        <w:rPr>
          <w:noProof/>
        </w:rPr>
        <w:t>Schedule 1—Amendments</w:t>
      </w:r>
      <w:r>
        <w:rPr>
          <w:b w:val="0"/>
          <w:bCs w:val="0"/>
          <w:noProof/>
          <w:sz w:val="18"/>
          <w:szCs w:val="18"/>
        </w:rPr>
        <w:tab/>
      </w:r>
      <w:r>
        <w:rPr>
          <w:b w:val="0"/>
          <w:bCs w:val="0"/>
          <w:noProof/>
          <w:sz w:val="18"/>
          <w:szCs w:val="18"/>
        </w:rPr>
        <w:fldChar w:fldCharType="begin"/>
      </w:r>
      <w:r>
        <w:rPr>
          <w:b w:val="0"/>
          <w:bCs w:val="0"/>
          <w:noProof/>
          <w:sz w:val="18"/>
          <w:szCs w:val="18"/>
        </w:rPr>
        <w:instrText xml:space="preserve"> PAGEREF _Toc486924597 \h </w:instrText>
      </w:r>
      <w:r>
        <w:rPr>
          <w:b w:val="0"/>
          <w:bCs w:val="0"/>
          <w:noProof/>
          <w:sz w:val="18"/>
          <w:szCs w:val="18"/>
        </w:rPr>
      </w:r>
      <w:r>
        <w:rPr>
          <w:b w:val="0"/>
          <w:bCs w:val="0"/>
          <w:noProof/>
          <w:sz w:val="18"/>
          <w:szCs w:val="18"/>
        </w:rPr>
        <w:fldChar w:fldCharType="separate"/>
      </w:r>
      <w:r>
        <w:rPr>
          <w:b w:val="0"/>
          <w:bCs w:val="0"/>
          <w:noProof/>
          <w:sz w:val="18"/>
          <w:szCs w:val="18"/>
        </w:rPr>
        <w:t>3</w:t>
      </w:r>
      <w:r>
        <w:rPr>
          <w:b w:val="0"/>
          <w:bCs w:val="0"/>
          <w:noProof/>
          <w:sz w:val="18"/>
          <w:szCs w:val="18"/>
        </w:rPr>
        <w:fldChar w:fldCharType="end"/>
      </w:r>
    </w:p>
    <w:p w:rsidR="002938D6" w:rsidRDefault="002938D6">
      <w:pPr>
        <w:pStyle w:val="TOC9"/>
        <w:rPr>
          <w:noProof/>
        </w:rPr>
      </w:pPr>
      <w:r>
        <w:rPr>
          <w:noProof/>
        </w:rPr>
        <w:t>Excise Act 1901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_Toc486924598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3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2938D6" w:rsidRDefault="002938D6">
      <w:pPr>
        <w:pStyle w:val="TOC9"/>
        <w:rPr>
          <w:noProof/>
        </w:rPr>
      </w:pPr>
      <w:r>
        <w:rPr>
          <w:noProof/>
        </w:rPr>
        <w:t>Product Grants and Benefits Administration Act 2000</w:t>
      </w:r>
      <w:r>
        <w:rPr>
          <w:i w:val="0"/>
          <w:iCs w:val="0"/>
          <w:noProof/>
          <w:sz w:val="18"/>
          <w:szCs w:val="18"/>
        </w:rPr>
        <w:tab/>
      </w:r>
      <w:r>
        <w:rPr>
          <w:i w:val="0"/>
          <w:iCs w:val="0"/>
          <w:noProof/>
          <w:sz w:val="18"/>
          <w:szCs w:val="18"/>
        </w:rPr>
        <w:fldChar w:fldCharType="begin"/>
      </w:r>
      <w:r>
        <w:rPr>
          <w:i w:val="0"/>
          <w:iCs w:val="0"/>
          <w:noProof/>
          <w:sz w:val="18"/>
          <w:szCs w:val="18"/>
        </w:rPr>
        <w:instrText xml:space="preserve"> PAGEREF _Toc486924599 \h </w:instrText>
      </w:r>
      <w:r>
        <w:rPr>
          <w:i w:val="0"/>
          <w:iCs w:val="0"/>
          <w:noProof/>
          <w:sz w:val="18"/>
          <w:szCs w:val="18"/>
        </w:rPr>
      </w:r>
      <w:r>
        <w:rPr>
          <w:i w:val="0"/>
          <w:iCs w:val="0"/>
          <w:noProof/>
          <w:sz w:val="18"/>
          <w:szCs w:val="18"/>
        </w:rPr>
        <w:fldChar w:fldCharType="separate"/>
      </w:r>
      <w:r>
        <w:rPr>
          <w:i w:val="0"/>
          <w:iCs w:val="0"/>
          <w:noProof/>
          <w:sz w:val="18"/>
          <w:szCs w:val="18"/>
        </w:rPr>
        <w:t>3</w:t>
      </w:r>
      <w:r>
        <w:rPr>
          <w:i w:val="0"/>
          <w:iCs w:val="0"/>
          <w:noProof/>
          <w:sz w:val="18"/>
          <w:szCs w:val="18"/>
        </w:rPr>
        <w:fldChar w:fldCharType="end"/>
      </w:r>
    </w:p>
    <w:p w:rsidR="002938D6" w:rsidRDefault="002938D6">
      <w:r>
        <w:fldChar w:fldCharType="end"/>
      </w:r>
    </w:p>
    <w:p w:rsidR="002938D6" w:rsidRDefault="002938D6">
      <w:pPr>
        <w:sectPr w:rsidR="002938D6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2381" w:right="2410" w:bottom="4252" w:left="2410" w:header="709" w:footer="3402" w:gutter="0"/>
          <w:pgNumType w:fmt="lowerRoman" w:start="1"/>
          <w:cols w:space="709"/>
        </w:sectPr>
      </w:pPr>
    </w:p>
    <w:p w:rsidR="002938D6" w:rsidRDefault="000B200B">
      <w:pPr>
        <w:spacing w:line="240" w:lineRule="auto"/>
      </w:pPr>
      <w:r>
        <w:rPr>
          <w:noProof/>
          <w:sz w:val="20"/>
          <w:szCs w:val="20"/>
        </w:rPr>
        <w:lastRenderedPageBreak/>
        <w:drawing>
          <wp:inline distT="0" distB="0" distL="0" distR="0" wp14:anchorId="23258582" wp14:editId="717F882B">
            <wp:extent cx="1447800" cy="10668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38D6" w:rsidRDefault="002938D6">
      <w:pPr>
        <w:spacing w:before="80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fldChar w:fldCharType="begin"/>
      </w:r>
      <w:r>
        <w:rPr>
          <w:b/>
          <w:bCs/>
          <w:sz w:val="40"/>
          <w:szCs w:val="40"/>
        </w:rPr>
        <w:instrText xml:space="preserve"> STYLEREF ShortT </w:instrText>
      </w:r>
      <w:r>
        <w:rPr>
          <w:b/>
          <w:bCs/>
          <w:sz w:val="40"/>
          <w:szCs w:val="40"/>
        </w:rPr>
        <w:fldChar w:fldCharType="separate"/>
      </w:r>
      <w:r>
        <w:rPr>
          <w:b/>
          <w:bCs/>
          <w:noProof/>
          <w:sz w:val="40"/>
          <w:szCs w:val="40"/>
        </w:rPr>
        <w:t>Product Stewardship (Oil) (Consequential Amendments) Act 2000</w:t>
      </w:r>
      <w:r>
        <w:rPr>
          <w:b/>
          <w:bCs/>
          <w:sz w:val="40"/>
          <w:szCs w:val="40"/>
        </w:rPr>
        <w:fldChar w:fldCharType="end"/>
      </w:r>
    </w:p>
    <w:p w:rsidR="002938D6" w:rsidRDefault="002938D6">
      <w:pPr>
        <w:spacing w:before="80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STYLEREF Actno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No. 105, 2000</w:t>
      </w:r>
      <w:r>
        <w:rPr>
          <w:b/>
          <w:bCs/>
          <w:sz w:val="28"/>
          <w:szCs w:val="28"/>
        </w:rPr>
        <w:fldChar w:fldCharType="end"/>
      </w:r>
    </w:p>
    <w:p w:rsidR="002938D6" w:rsidRDefault="002938D6">
      <w:pPr>
        <w:pBdr>
          <w:bottom w:val="single" w:sz="6" w:space="0" w:color="auto"/>
        </w:pBdr>
        <w:spacing w:before="400" w:line="240" w:lineRule="auto"/>
        <w:rPr>
          <w:b/>
          <w:bCs/>
          <w:sz w:val="28"/>
          <w:szCs w:val="28"/>
        </w:rPr>
      </w:pPr>
    </w:p>
    <w:p w:rsidR="002938D6" w:rsidRDefault="002938D6">
      <w:pPr>
        <w:spacing w:line="40" w:lineRule="exact"/>
        <w:rPr>
          <w:b/>
          <w:bCs/>
          <w:sz w:val="28"/>
          <w:szCs w:val="28"/>
        </w:rPr>
      </w:pPr>
    </w:p>
    <w:p w:rsidR="002938D6" w:rsidRDefault="002938D6">
      <w:pPr>
        <w:pBdr>
          <w:top w:val="single" w:sz="12" w:space="0" w:color="auto"/>
        </w:pBdr>
        <w:spacing w:line="240" w:lineRule="auto"/>
        <w:rPr>
          <w:b/>
          <w:bCs/>
          <w:sz w:val="28"/>
          <w:szCs w:val="28"/>
        </w:rPr>
      </w:pPr>
    </w:p>
    <w:p w:rsidR="002938D6" w:rsidRDefault="002938D6">
      <w:pPr>
        <w:pStyle w:val="Page1"/>
      </w:pPr>
      <w:r>
        <w:lastRenderedPageBreak/>
        <w:t xml:space="preserve">An Act to make consequential amendments in connection with the enactment of the </w:t>
      </w:r>
      <w:r>
        <w:rPr>
          <w:i/>
          <w:iCs/>
        </w:rPr>
        <w:t>Product Stewardship (Oil) Act 2000</w:t>
      </w:r>
      <w:r>
        <w:t>, and for other purposes</w:t>
      </w:r>
    </w:p>
    <w:p w:rsidR="002938D6" w:rsidRDefault="002938D6">
      <w:pPr>
        <w:spacing w:before="120"/>
      </w:pPr>
      <w:r>
        <w:t>[</w:t>
      </w:r>
      <w:r>
        <w:rPr>
          <w:i/>
          <w:iCs/>
        </w:rPr>
        <w:t>Assented to 6 July 2000</w:t>
      </w:r>
      <w:r>
        <w:t>]</w:t>
      </w:r>
    </w:p>
    <w:p w:rsidR="002938D6" w:rsidRDefault="002938D6">
      <w:pPr>
        <w:spacing w:before="240" w:line="240" w:lineRule="auto"/>
        <w:outlineLvl w:val="0"/>
        <w:rPr>
          <w:sz w:val="32"/>
          <w:szCs w:val="32"/>
        </w:rPr>
      </w:pPr>
      <w:r>
        <w:rPr>
          <w:sz w:val="32"/>
          <w:szCs w:val="32"/>
        </w:rPr>
        <w:t>The Parliament of Australia enacts:</w:t>
      </w:r>
    </w:p>
    <w:p w:rsidR="002938D6" w:rsidRDefault="002938D6">
      <w:pPr>
        <w:pStyle w:val="Heading5"/>
      </w:pPr>
      <w:bookmarkStart w:id="1" w:name="_Toc486043733"/>
      <w:bookmarkStart w:id="2" w:name="_Toc486924594"/>
      <w:r>
        <w:rPr>
          <w:rStyle w:val="CharSectno"/>
          <w:rFonts w:cs="Times"/>
        </w:rPr>
        <w:t>1</w:t>
      </w:r>
      <w:r>
        <w:t xml:space="preserve">  Short title</w:t>
      </w:r>
      <w:bookmarkEnd w:id="1"/>
      <w:bookmarkEnd w:id="2"/>
    </w:p>
    <w:p w:rsidR="002938D6" w:rsidRDefault="002938D6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Product Stewardship (Oil) (Consequential Amendments) Act 2000</w:t>
      </w:r>
      <w:r>
        <w:t>.</w:t>
      </w:r>
    </w:p>
    <w:p w:rsidR="002938D6" w:rsidRDefault="002938D6">
      <w:pPr>
        <w:pStyle w:val="Heading5"/>
      </w:pPr>
      <w:bookmarkStart w:id="3" w:name="_Toc486043734"/>
      <w:bookmarkStart w:id="4" w:name="_Toc486924595"/>
      <w:r>
        <w:rPr>
          <w:rStyle w:val="CharSectno"/>
          <w:rFonts w:cs="Times"/>
        </w:rPr>
        <w:t>2</w:t>
      </w:r>
      <w:r>
        <w:t xml:space="preserve">  Commencement</w:t>
      </w:r>
      <w:bookmarkEnd w:id="3"/>
      <w:bookmarkEnd w:id="4"/>
    </w:p>
    <w:p w:rsidR="002938D6" w:rsidRDefault="002938D6">
      <w:pPr>
        <w:pStyle w:val="subsection"/>
      </w:pPr>
      <w:r>
        <w:tab/>
        <w:t>(1)</w:t>
      </w:r>
      <w:r>
        <w:tab/>
        <w:t xml:space="preserve">Subject to this section, this Act commences, or is taken to have commenced, on the commencement of Part 1 of the </w:t>
      </w:r>
      <w:r>
        <w:rPr>
          <w:i/>
          <w:iCs/>
        </w:rPr>
        <w:t>Product Stewardship (Oil) Act 2000</w:t>
      </w:r>
      <w:r>
        <w:t>.</w:t>
      </w:r>
    </w:p>
    <w:p w:rsidR="002938D6" w:rsidRDefault="002938D6">
      <w:pPr>
        <w:pStyle w:val="subsection"/>
      </w:pPr>
      <w:r>
        <w:tab/>
        <w:t>(2)</w:t>
      </w:r>
      <w:r>
        <w:tab/>
        <w:t>Items 7 and 8 of Schedule 1 commence immediately after the later of:</w:t>
      </w:r>
    </w:p>
    <w:p w:rsidR="002938D6" w:rsidRDefault="002938D6">
      <w:pPr>
        <w:pStyle w:val="indenta"/>
      </w:pPr>
      <w:r>
        <w:tab/>
        <w:t>(a)</w:t>
      </w:r>
      <w:r>
        <w:tab/>
        <w:t>the commencement of section 1 of this Act; and</w:t>
      </w:r>
    </w:p>
    <w:p w:rsidR="002938D6" w:rsidRDefault="002938D6">
      <w:pPr>
        <w:pStyle w:val="indenta"/>
      </w:pPr>
      <w:r>
        <w:tab/>
        <w:t>(b)</w:t>
      </w:r>
      <w:r>
        <w:tab/>
        <w:t>the commencement o</w:t>
      </w:r>
      <w:bookmarkStart w:id="5" w:name="CurrentPosition"/>
      <w:bookmarkEnd w:id="5"/>
      <w:r>
        <w:t xml:space="preserve">f Schedule 1 to the </w:t>
      </w:r>
      <w:r>
        <w:rPr>
          <w:i/>
          <w:iCs/>
        </w:rPr>
        <w:t>A New Tax System (Tax Administration) Act (No. 2) 2000</w:t>
      </w:r>
      <w:r>
        <w:t>.</w:t>
      </w:r>
    </w:p>
    <w:p w:rsidR="002938D6" w:rsidRDefault="002938D6">
      <w:pPr>
        <w:pStyle w:val="Heading5"/>
      </w:pPr>
      <w:bookmarkStart w:id="6" w:name="_Toc486043735"/>
      <w:bookmarkStart w:id="7" w:name="_Toc486924596"/>
      <w:r>
        <w:rPr>
          <w:rStyle w:val="CharSectno"/>
          <w:rFonts w:cs="Times"/>
        </w:rPr>
        <w:t>3</w:t>
      </w:r>
      <w:r>
        <w:t xml:space="preserve">  Schedule(s)</w:t>
      </w:r>
      <w:bookmarkEnd w:id="6"/>
      <w:bookmarkEnd w:id="7"/>
    </w:p>
    <w:p w:rsidR="002938D6" w:rsidRDefault="002938D6">
      <w:pPr>
        <w:pStyle w:val="subsection"/>
      </w:pPr>
      <w:r>
        <w:tab/>
      </w:r>
      <w:r>
        <w:tab/>
        <w:t>Subject to section 2, each Act that is specified in a Schedule to this Act is amended or repealed as set out in the applicable items in the Schedule concerned, and any other item in a Schedule to this Act has effect according to its terms.</w:t>
      </w:r>
    </w:p>
    <w:p w:rsidR="002938D6" w:rsidRDefault="002938D6">
      <w:pPr>
        <w:pStyle w:val="PageBreak"/>
      </w:pPr>
      <w:r>
        <w:br w:type="page"/>
      </w:r>
    </w:p>
    <w:p w:rsidR="002938D6" w:rsidRDefault="002938D6">
      <w:pPr>
        <w:pStyle w:val="Heading6"/>
      </w:pPr>
      <w:bookmarkStart w:id="8" w:name="String1Start"/>
      <w:bookmarkStart w:id="9" w:name="String1"/>
      <w:bookmarkStart w:id="10" w:name="_Toc486043736"/>
      <w:bookmarkStart w:id="11" w:name="_Toc486924597"/>
      <w:bookmarkStart w:id="12" w:name="AmSched"/>
      <w:bookmarkStart w:id="13" w:name="CurrentFind"/>
      <w:bookmarkEnd w:id="8"/>
      <w:r>
        <w:rPr>
          <w:rStyle w:val="CharAmSchNo"/>
          <w:rFonts w:cs="Helvetica"/>
        </w:rPr>
        <w:lastRenderedPageBreak/>
        <w:t>Schedule</w:t>
      </w:r>
      <w:bookmarkStart w:id="14" w:name="String1End"/>
      <w:bookmarkEnd w:id="9"/>
      <w:bookmarkEnd w:id="14"/>
      <w:r>
        <w:rPr>
          <w:rStyle w:val="CharAmSchNo"/>
          <w:rFonts w:cs="Helvetica"/>
        </w:rPr>
        <w:t> 1</w:t>
      </w:r>
      <w:r>
        <w:t>—</w:t>
      </w:r>
      <w:r>
        <w:rPr>
          <w:rStyle w:val="CharAmSchText"/>
          <w:rFonts w:cs="Helvetica"/>
        </w:rPr>
        <w:t>Amendments</w:t>
      </w:r>
      <w:bookmarkEnd w:id="10"/>
      <w:bookmarkEnd w:id="11"/>
    </w:p>
    <w:bookmarkEnd w:id="12"/>
    <w:bookmarkEnd w:id="13"/>
    <w:p w:rsidR="002938D6" w:rsidRDefault="002938D6">
      <w:pPr>
        <w:pStyle w:val="Header"/>
      </w:pPr>
      <w:r>
        <w:rPr>
          <w:rStyle w:val="CharAmPartNo"/>
          <w:rFonts w:cs="Times"/>
        </w:rPr>
        <w:t xml:space="preserve"> </w:t>
      </w:r>
      <w:r>
        <w:rPr>
          <w:rStyle w:val="CharAmPartText"/>
          <w:rFonts w:cs="Times"/>
        </w:rPr>
        <w:t xml:space="preserve"> </w:t>
      </w:r>
    </w:p>
    <w:p w:rsidR="002938D6" w:rsidRDefault="002938D6">
      <w:pPr>
        <w:pStyle w:val="Heading9"/>
      </w:pPr>
      <w:bookmarkStart w:id="15" w:name="_Toc486043737"/>
      <w:bookmarkStart w:id="16" w:name="_Toc486924598"/>
      <w:r>
        <w:t>Excise Act 1901</w:t>
      </w:r>
      <w:bookmarkStart w:id="17" w:name="EndOfActName"/>
      <w:bookmarkEnd w:id="15"/>
      <w:bookmarkEnd w:id="16"/>
      <w:bookmarkEnd w:id="17"/>
    </w:p>
    <w:p w:rsidR="002938D6" w:rsidRDefault="002938D6">
      <w:pPr>
        <w:pStyle w:val="ItemHead"/>
      </w:pPr>
      <w:r>
        <w:t xml:space="preserve">1  Section 77G (definition of </w:t>
      </w:r>
      <w:r>
        <w:rPr>
          <w:i/>
          <w:iCs/>
        </w:rPr>
        <w:t>petroleum product</w:t>
      </w:r>
      <w:r>
        <w:t>)</w:t>
      </w:r>
    </w:p>
    <w:p w:rsidR="002938D6" w:rsidRDefault="002938D6">
      <w:pPr>
        <w:pStyle w:val="Item"/>
      </w:pPr>
      <w:r>
        <w:t>Omit “or 12” (wherever occurring), substitute “, 12 or 15”.</w:t>
      </w:r>
    </w:p>
    <w:p w:rsidR="002938D6" w:rsidRDefault="002938D6">
      <w:pPr>
        <w:pStyle w:val="Heading9"/>
      </w:pPr>
      <w:bookmarkStart w:id="18" w:name="_Toc486043738"/>
      <w:bookmarkStart w:id="19" w:name="_Toc486924599"/>
      <w:r>
        <w:t>Product Grants and Benefits Administration Act 2000</w:t>
      </w:r>
      <w:bookmarkEnd w:id="18"/>
      <w:bookmarkEnd w:id="19"/>
    </w:p>
    <w:p w:rsidR="002938D6" w:rsidRDefault="002938D6">
      <w:pPr>
        <w:pStyle w:val="ItemHead"/>
      </w:pPr>
      <w:r>
        <w:t>2  After section 3</w:t>
      </w:r>
    </w:p>
    <w:p w:rsidR="002938D6" w:rsidRDefault="002938D6">
      <w:pPr>
        <w:pStyle w:val="Item"/>
      </w:pPr>
      <w:r>
        <w:t>Insert:</w:t>
      </w:r>
    </w:p>
    <w:p w:rsidR="002938D6" w:rsidRDefault="002938D6">
      <w:pPr>
        <w:pStyle w:val="Heading5"/>
      </w:pPr>
      <w:bookmarkStart w:id="20" w:name="_Toc486043739"/>
      <w:bookmarkStart w:id="21" w:name="_Toc486924600"/>
      <w:r>
        <w:rPr>
          <w:rStyle w:val="CharSectno"/>
          <w:rFonts w:cs="Times"/>
        </w:rPr>
        <w:t>3A</w:t>
      </w:r>
      <w:r>
        <w:t xml:space="preserve">  Extension to external Territories</w:t>
      </w:r>
      <w:bookmarkEnd w:id="20"/>
      <w:bookmarkEnd w:id="21"/>
    </w:p>
    <w:p w:rsidR="002938D6" w:rsidRDefault="002938D6">
      <w:pPr>
        <w:pStyle w:val="subsection"/>
      </w:pPr>
      <w:r>
        <w:tab/>
      </w:r>
      <w:r>
        <w:tab/>
        <w:t>This Act, to the extent that it applies in relation to product stewardship (oil) benefits, extends to all the external Territories.</w:t>
      </w:r>
    </w:p>
    <w:p w:rsidR="002938D6" w:rsidRDefault="002938D6">
      <w:pPr>
        <w:pStyle w:val="ItemHead"/>
      </w:pPr>
      <w:r>
        <w:t>3  Section 8 (after table item 1)</w:t>
      </w:r>
    </w:p>
    <w:p w:rsidR="002938D6" w:rsidRDefault="002938D6">
      <w:pPr>
        <w:pStyle w:val="Item"/>
      </w:pPr>
      <w:r>
        <w:t>Insert:</w:t>
      </w:r>
    </w:p>
    <w:p w:rsidR="002938D6" w:rsidRDefault="002938D6">
      <w:pPr>
        <w:pStyle w:val="Table"/>
      </w:pPr>
    </w:p>
    <w:tbl>
      <w:tblPr>
        <w:tblW w:w="0" w:type="auto"/>
        <w:tblInd w:w="10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6"/>
        <w:gridCol w:w="2977"/>
        <w:gridCol w:w="3567"/>
      </w:tblGrid>
      <w:tr w:rsidR="002938D6">
        <w:trPr>
          <w:cantSplit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938D6" w:rsidRDefault="002938D6">
            <w:pPr>
              <w:pStyle w:val="Table"/>
            </w:pPr>
            <w: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938D6" w:rsidRDefault="002938D6">
            <w:pPr>
              <w:pStyle w:val="Table"/>
            </w:pPr>
            <w:r>
              <w:t>product stewardship (oil) benefits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2938D6" w:rsidRDefault="002938D6">
            <w:pPr>
              <w:pStyle w:val="Table"/>
            </w:pPr>
            <w:r>
              <w:rPr>
                <w:i/>
                <w:iCs/>
              </w:rPr>
              <w:t>Product Stewardship (Oil) Act 2000</w:t>
            </w:r>
          </w:p>
        </w:tc>
      </w:tr>
    </w:tbl>
    <w:p w:rsidR="002938D6" w:rsidRDefault="002938D6">
      <w:pPr>
        <w:pStyle w:val="ItemHead"/>
      </w:pPr>
      <w:r>
        <w:t>4  Subsection 9(1)</w:t>
      </w:r>
    </w:p>
    <w:p w:rsidR="002938D6" w:rsidRDefault="002938D6">
      <w:pPr>
        <w:pStyle w:val="Item"/>
      </w:pPr>
      <w:r>
        <w:t>After “approved form”, insert “and include such information as is specified in the regulations”.</w:t>
      </w:r>
    </w:p>
    <w:p w:rsidR="002938D6" w:rsidRDefault="002938D6">
      <w:pPr>
        <w:pStyle w:val="ItemHead"/>
      </w:pPr>
      <w:r>
        <w:t>5  After subsection 9(3)</w:t>
      </w:r>
    </w:p>
    <w:p w:rsidR="002938D6" w:rsidRDefault="002938D6">
      <w:pPr>
        <w:pStyle w:val="Item"/>
      </w:pPr>
      <w:r>
        <w:t>Insert:</w:t>
      </w:r>
    </w:p>
    <w:p w:rsidR="002938D6" w:rsidRDefault="002938D6">
      <w:pPr>
        <w:pStyle w:val="SubsectionHead"/>
      </w:pPr>
      <w:r>
        <w:t>Specific requirement for product stewardship (oil) benefits</w:t>
      </w:r>
    </w:p>
    <w:p w:rsidR="002938D6" w:rsidRDefault="002938D6">
      <w:pPr>
        <w:pStyle w:val="subsection"/>
      </w:pPr>
      <w:r>
        <w:tab/>
        <w:t>(3A)</w:t>
      </w:r>
      <w:r>
        <w:tab/>
        <w:t>The specific requirement in relation to registration for the product stewardship (oil) benefits is that the Commissioner is satisfied that you:</w:t>
      </w:r>
    </w:p>
    <w:p w:rsidR="002938D6" w:rsidRDefault="002938D6">
      <w:pPr>
        <w:pStyle w:val="indenta"/>
      </w:pPr>
      <w:r>
        <w:tab/>
        <w:t>(a)</w:t>
      </w:r>
      <w:r>
        <w:tab/>
        <w:t xml:space="preserve">are licensed under section 34 of the </w:t>
      </w:r>
      <w:r>
        <w:rPr>
          <w:i/>
          <w:iCs/>
        </w:rPr>
        <w:t>Excise Act 1901</w:t>
      </w:r>
      <w:r>
        <w:t>; and</w:t>
      </w:r>
    </w:p>
    <w:p w:rsidR="002938D6" w:rsidRDefault="002938D6">
      <w:pPr>
        <w:pStyle w:val="indenta"/>
      </w:pPr>
      <w:r>
        <w:tab/>
        <w:t>(b)</w:t>
      </w:r>
      <w:r>
        <w:tab/>
        <w:t>satisfy any regulations made under this paragraph in relation to:</w:t>
      </w:r>
    </w:p>
    <w:p w:rsidR="002938D6" w:rsidRDefault="002938D6">
      <w:pPr>
        <w:pStyle w:val="indentii"/>
      </w:pPr>
      <w:r>
        <w:lastRenderedPageBreak/>
        <w:tab/>
        <w:t>(</w:t>
      </w:r>
      <w:proofErr w:type="spellStart"/>
      <w:r>
        <w:t>i</w:t>
      </w:r>
      <w:proofErr w:type="spellEnd"/>
      <w:r>
        <w:t>)</w:t>
      </w:r>
      <w:r>
        <w:tab/>
        <w:t>compliance with relevant Commonwealth, State or Territory legislation relating to recycling operations or enterprises; and</w:t>
      </w:r>
    </w:p>
    <w:p w:rsidR="002938D6" w:rsidRDefault="002938D6">
      <w:pPr>
        <w:pStyle w:val="indentii"/>
      </w:pPr>
      <w:r>
        <w:tab/>
        <w:t>(ii)</w:t>
      </w:r>
      <w:r>
        <w:tab/>
        <w:t>the signing of any prescribed Code of Practice relating to recycled oils; and</w:t>
      </w:r>
    </w:p>
    <w:p w:rsidR="002938D6" w:rsidRDefault="002938D6">
      <w:pPr>
        <w:pStyle w:val="indentii"/>
      </w:pPr>
      <w:r>
        <w:tab/>
        <w:t>(iii)</w:t>
      </w:r>
      <w:r>
        <w:tab/>
        <w:t>compliance with any such prescribed Code of Practice; and</w:t>
      </w:r>
    </w:p>
    <w:p w:rsidR="002938D6" w:rsidRDefault="002938D6">
      <w:pPr>
        <w:pStyle w:val="indenta"/>
      </w:pPr>
      <w:r>
        <w:tab/>
        <w:t>(c)</w:t>
      </w:r>
      <w:r>
        <w:tab/>
        <w:t>satisfy any prescribed conditions.</w:t>
      </w:r>
    </w:p>
    <w:p w:rsidR="002938D6" w:rsidRDefault="002938D6">
      <w:pPr>
        <w:pStyle w:val="ItemHead"/>
      </w:pPr>
      <w:r>
        <w:t>6  After section 24</w:t>
      </w:r>
    </w:p>
    <w:p w:rsidR="002938D6" w:rsidRDefault="002938D6">
      <w:pPr>
        <w:pStyle w:val="Item"/>
      </w:pPr>
      <w:r>
        <w:t>Insert:</w:t>
      </w:r>
    </w:p>
    <w:p w:rsidR="002938D6" w:rsidRDefault="002938D6">
      <w:pPr>
        <w:pStyle w:val="Heading5"/>
      </w:pPr>
      <w:bookmarkStart w:id="22" w:name="_Toc486043740"/>
      <w:bookmarkStart w:id="23" w:name="_Toc486924601"/>
      <w:r>
        <w:rPr>
          <w:rStyle w:val="CharSectno"/>
          <w:rFonts w:cs="Times"/>
        </w:rPr>
        <w:t>24A</w:t>
      </w:r>
      <w:r>
        <w:t xml:space="preserve">  Interest on underpaid grants or benefits</w:t>
      </w:r>
      <w:bookmarkEnd w:id="22"/>
      <w:bookmarkEnd w:id="23"/>
    </w:p>
    <w:p w:rsidR="002938D6" w:rsidRDefault="002938D6">
      <w:pPr>
        <w:pStyle w:val="subsection"/>
      </w:pPr>
      <w:r>
        <w:tab/>
        <w:t>(1)</w:t>
      </w:r>
      <w:r>
        <w:tab/>
        <w:t>Interest is payable by the Commissioner to a person in respect of an amount of grant or benefit that becomes payable to the person if:</w:t>
      </w:r>
    </w:p>
    <w:p w:rsidR="002938D6" w:rsidRDefault="002938D6">
      <w:pPr>
        <w:pStyle w:val="indenta"/>
      </w:pPr>
      <w:r>
        <w:tab/>
        <w:t>(a)</w:t>
      </w:r>
      <w:r>
        <w:tab/>
        <w:t>the amount relates to a grant or benefit for a claim period; and</w:t>
      </w:r>
    </w:p>
    <w:p w:rsidR="002938D6" w:rsidRDefault="002938D6">
      <w:pPr>
        <w:pStyle w:val="indenta"/>
      </w:pPr>
      <w:r>
        <w:tab/>
        <w:t>(b)</w:t>
      </w:r>
      <w:r>
        <w:tab/>
        <w:t xml:space="preserve">the amount is payable as a result of a decision to which this section applies (the </w:t>
      </w:r>
      <w:r>
        <w:rPr>
          <w:b/>
          <w:bCs/>
          <w:i/>
          <w:iCs/>
        </w:rPr>
        <w:t>review decision</w:t>
      </w:r>
      <w:r>
        <w:t>).</w:t>
      </w:r>
    </w:p>
    <w:p w:rsidR="002938D6" w:rsidRDefault="002938D6">
      <w:pPr>
        <w:pStyle w:val="subsection"/>
      </w:pPr>
      <w:r>
        <w:tab/>
        <w:t>(2)</w:t>
      </w:r>
      <w:r>
        <w:tab/>
        <w:t xml:space="preserve">The interest is to be calculated for the period (the </w:t>
      </w:r>
      <w:r>
        <w:rPr>
          <w:b/>
          <w:bCs/>
          <w:i/>
          <w:iCs/>
        </w:rPr>
        <w:t>interest period</w:t>
      </w:r>
      <w:r>
        <w:t>):</w:t>
      </w:r>
    </w:p>
    <w:p w:rsidR="002938D6" w:rsidRDefault="002938D6">
      <w:pPr>
        <w:pStyle w:val="indenta"/>
      </w:pPr>
      <w:r>
        <w:tab/>
        <w:t>(a)</w:t>
      </w:r>
      <w:r>
        <w:tab/>
        <w:t>starting on the day on which the original assessment in relation to the grant or benefit was made; and</w:t>
      </w:r>
    </w:p>
    <w:p w:rsidR="002938D6" w:rsidRDefault="002938D6">
      <w:pPr>
        <w:pStyle w:val="indenta"/>
      </w:pPr>
      <w:r>
        <w:tab/>
        <w:t>(b)</w:t>
      </w:r>
      <w:r>
        <w:tab/>
        <w:t>ending on the day on which the amount is paid or applied by the Commissioner.</w:t>
      </w:r>
    </w:p>
    <w:p w:rsidR="002938D6" w:rsidRDefault="002938D6">
      <w:pPr>
        <w:pStyle w:val="subsection"/>
      </w:pPr>
      <w:r>
        <w:tab/>
        <w:t>(3)</w:t>
      </w:r>
      <w:r>
        <w:tab/>
        <w:t>The following method statement shows how to work out the interest (which is calculated on a daily basis):</w:t>
      </w:r>
    </w:p>
    <w:p w:rsidR="002938D6" w:rsidRDefault="002938D6">
      <w:pPr>
        <w:pStyle w:val="BoxHeadItalic"/>
      </w:pPr>
      <w:r>
        <w:t>Calculating the interest payable</w:t>
      </w:r>
    </w:p>
    <w:p w:rsidR="002938D6" w:rsidRDefault="002938D6">
      <w:pPr>
        <w:pStyle w:val="BoxStep"/>
      </w:pPr>
      <w:r>
        <w:rPr>
          <w:i/>
          <w:iCs/>
        </w:rPr>
        <w:t>Step 1.</w:t>
      </w:r>
      <w:r>
        <w:rPr>
          <w:i/>
          <w:iCs/>
        </w:rPr>
        <w:tab/>
      </w:r>
      <w:r>
        <w:t>Work out the amount that is determined by the review decision to be the amount of the grant or benefit payable in relation to the claim period.</w:t>
      </w:r>
    </w:p>
    <w:p w:rsidR="002938D6" w:rsidRDefault="002938D6">
      <w:pPr>
        <w:pStyle w:val="BoxStep"/>
      </w:pPr>
      <w:r>
        <w:rPr>
          <w:i/>
          <w:iCs/>
        </w:rPr>
        <w:t>Step 2.</w:t>
      </w:r>
      <w:r>
        <w:rPr>
          <w:i/>
          <w:iCs/>
        </w:rPr>
        <w:tab/>
      </w:r>
      <w:r>
        <w:t xml:space="preserve">For each day in the interest period, work out the amount of the grant or benefit that had been paid or applied by </w:t>
      </w:r>
      <w:r>
        <w:lastRenderedPageBreak/>
        <w:t>the Commissioner on or before that day (reduced by any amounts repaid before that day by the person).</w:t>
      </w:r>
    </w:p>
    <w:p w:rsidR="002938D6" w:rsidRDefault="002938D6">
      <w:pPr>
        <w:pStyle w:val="BoxStep"/>
      </w:pPr>
      <w:r>
        <w:rPr>
          <w:i/>
          <w:iCs/>
        </w:rPr>
        <w:t>Step 3.</w:t>
      </w:r>
      <w:r>
        <w:rPr>
          <w:i/>
          <w:iCs/>
        </w:rPr>
        <w:tab/>
      </w:r>
      <w:r>
        <w:t>For each day in the interest period, subtract the amount worked out in step 2 from the amount worked out in step 1. If the result is negative, it is taken to be nil.</w:t>
      </w:r>
    </w:p>
    <w:p w:rsidR="002938D6" w:rsidRDefault="002938D6">
      <w:pPr>
        <w:pStyle w:val="BoxStep"/>
      </w:pPr>
      <w:r>
        <w:rPr>
          <w:i/>
          <w:iCs/>
        </w:rPr>
        <w:t>Step 4.</w:t>
      </w:r>
      <w:r>
        <w:rPr>
          <w:i/>
          <w:iCs/>
        </w:rPr>
        <w:tab/>
      </w:r>
      <w:r>
        <w:t>For each day in the interest period, multiply the amount worked out in step 3 by Treasury Note yield rate for the day (expressed as a daily rate).</w:t>
      </w:r>
    </w:p>
    <w:p w:rsidR="002938D6" w:rsidRDefault="002938D6">
      <w:pPr>
        <w:pStyle w:val="BoxStep"/>
      </w:pPr>
      <w:r>
        <w:rPr>
          <w:i/>
          <w:iCs/>
        </w:rPr>
        <w:t>Step 5.</w:t>
      </w:r>
      <w:r>
        <w:rPr>
          <w:i/>
          <w:iCs/>
        </w:rPr>
        <w:tab/>
      </w:r>
      <w:r>
        <w:t>Add all of the amounts worked out under step 4.</w:t>
      </w:r>
    </w:p>
    <w:p w:rsidR="002938D6" w:rsidRDefault="002938D6">
      <w:pPr>
        <w:pStyle w:val="subsection"/>
      </w:pPr>
      <w:r>
        <w:tab/>
        <w:t>(4)</w:t>
      </w:r>
      <w:r>
        <w:tab/>
        <w:t>In this section:</w:t>
      </w:r>
    </w:p>
    <w:p w:rsidR="002938D6" w:rsidRDefault="002938D6">
      <w:pPr>
        <w:pStyle w:val="Definition"/>
      </w:pPr>
      <w:r>
        <w:rPr>
          <w:b/>
          <w:bCs/>
          <w:i/>
          <w:iCs/>
        </w:rPr>
        <w:t>decision to which this section applies</w:t>
      </w:r>
      <w:r>
        <w:t xml:space="preserve"> means:</w:t>
      </w:r>
    </w:p>
    <w:p w:rsidR="002938D6" w:rsidRDefault="002938D6">
      <w:pPr>
        <w:pStyle w:val="indenta"/>
      </w:pPr>
      <w:r>
        <w:tab/>
        <w:t>(a)</w:t>
      </w:r>
      <w:r>
        <w:tab/>
        <w:t>a decision under Part </w:t>
      </w:r>
      <w:proofErr w:type="spellStart"/>
      <w:r>
        <w:t>IVC</w:t>
      </w:r>
      <w:proofErr w:type="spellEnd"/>
      <w:r>
        <w:t xml:space="preserve"> of the </w:t>
      </w:r>
      <w:r>
        <w:rPr>
          <w:i/>
          <w:iCs/>
        </w:rPr>
        <w:t>Taxation Administration Act 1953</w:t>
      </w:r>
      <w:r>
        <w:t xml:space="preserve"> upon an objection relating to a grant or benefit; or</w:t>
      </w:r>
    </w:p>
    <w:p w:rsidR="002938D6" w:rsidRDefault="002938D6">
      <w:pPr>
        <w:pStyle w:val="indenta"/>
      </w:pPr>
      <w:r>
        <w:tab/>
        <w:t>(b)</w:t>
      </w:r>
      <w:r>
        <w:tab/>
        <w:t>a decision of the Administrative Appeals Tribunal in relation to an objection mentioned in paragraph (a); or</w:t>
      </w:r>
    </w:p>
    <w:p w:rsidR="002938D6" w:rsidRDefault="002938D6">
      <w:pPr>
        <w:pStyle w:val="indenta"/>
      </w:pPr>
      <w:r>
        <w:tab/>
        <w:t>(c)</w:t>
      </w:r>
      <w:r>
        <w:tab/>
        <w:t>a decision of a court in relation to:</w:t>
      </w:r>
    </w:p>
    <w:p w:rsidR="002938D6" w:rsidRDefault="002938D6">
      <w:pPr>
        <w:pStyle w:val="indenti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an objection mentioned in paragraph (a); or</w:t>
      </w:r>
    </w:p>
    <w:p w:rsidR="002938D6" w:rsidRDefault="002938D6">
      <w:pPr>
        <w:pStyle w:val="indentii"/>
      </w:pPr>
      <w:r>
        <w:tab/>
        <w:t>(ii)</w:t>
      </w:r>
      <w:r>
        <w:tab/>
        <w:t>a decision of the kind mentioned in paragraph (b).</w:t>
      </w:r>
    </w:p>
    <w:p w:rsidR="002938D6" w:rsidRDefault="002938D6">
      <w:pPr>
        <w:pStyle w:val="Definition"/>
      </w:pPr>
      <w:r>
        <w:rPr>
          <w:b/>
          <w:bCs/>
          <w:i/>
          <w:iCs/>
        </w:rPr>
        <w:t>Treasury Note yield rate</w:t>
      </w:r>
      <w:r>
        <w:t xml:space="preserve"> for a day has the same meaning as in section 8AAD of the </w:t>
      </w:r>
      <w:r>
        <w:rPr>
          <w:i/>
          <w:iCs/>
        </w:rPr>
        <w:t>Taxation Administration Act 1953</w:t>
      </w:r>
      <w:r>
        <w:t>.</w:t>
      </w:r>
    </w:p>
    <w:p w:rsidR="002938D6" w:rsidRDefault="002938D6">
      <w:pPr>
        <w:pStyle w:val="ItemHead"/>
      </w:pPr>
      <w:r>
        <w:t>7  Part 8 (heading)</w:t>
      </w:r>
    </w:p>
    <w:p w:rsidR="002938D6" w:rsidRDefault="002938D6">
      <w:pPr>
        <w:pStyle w:val="Item"/>
      </w:pPr>
      <w:r>
        <w:t>Repeal the heading, substitute:</w:t>
      </w:r>
    </w:p>
    <w:p w:rsidR="002938D6" w:rsidRDefault="002938D6">
      <w:pPr>
        <w:pStyle w:val="Heading2"/>
      </w:pPr>
      <w:bookmarkStart w:id="24" w:name="_Toc486043741"/>
      <w:bookmarkStart w:id="25" w:name="_Toc486924602"/>
      <w:r>
        <w:rPr>
          <w:rStyle w:val="CharPartNo"/>
          <w:rFonts w:cs="Times"/>
        </w:rPr>
        <w:t>Part 8</w:t>
      </w:r>
      <w:r>
        <w:t>—</w:t>
      </w:r>
      <w:r>
        <w:rPr>
          <w:rStyle w:val="CharPartText"/>
          <w:rFonts w:cs="Times"/>
        </w:rPr>
        <w:t>General Interest Charge (</w:t>
      </w:r>
      <w:proofErr w:type="spellStart"/>
      <w:r>
        <w:rPr>
          <w:rStyle w:val="CharPartText"/>
          <w:rFonts w:cs="Times"/>
        </w:rPr>
        <w:t>GIC</w:t>
      </w:r>
      <w:proofErr w:type="spellEnd"/>
      <w:r>
        <w:rPr>
          <w:rStyle w:val="CharPartText"/>
          <w:rFonts w:cs="Times"/>
        </w:rPr>
        <w:t>)</w:t>
      </w:r>
      <w:bookmarkEnd w:id="24"/>
      <w:bookmarkEnd w:id="25"/>
    </w:p>
    <w:p w:rsidR="002938D6" w:rsidRDefault="002938D6">
      <w:pPr>
        <w:pStyle w:val="ItemHead"/>
      </w:pPr>
      <w:r>
        <w:t>8  Sections 36 to 41</w:t>
      </w:r>
    </w:p>
    <w:p w:rsidR="002938D6" w:rsidRDefault="002938D6">
      <w:pPr>
        <w:pStyle w:val="Item"/>
      </w:pPr>
      <w:r>
        <w:t>Repeal the sections.</w:t>
      </w:r>
    </w:p>
    <w:p w:rsidR="002938D6" w:rsidRDefault="002938D6">
      <w:pPr>
        <w:pStyle w:val="ItemHead"/>
      </w:pPr>
      <w:r>
        <w:t>9  Before subparagraph 47(3)(c)(ii)</w:t>
      </w:r>
    </w:p>
    <w:p w:rsidR="002938D6" w:rsidRDefault="002938D6">
      <w:pPr>
        <w:pStyle w:val="Item"/>
      </w:pPr>
      <w:r>
        <w:t>Insert:</w:t>
      </w:r>
    </w:p>
    <w:p w:rsidR="002938D6" w:rsidRDefault="002938D6">
      <w:pPr>
        <w:pStyle w:val="indentii"/>
      </w:pPr>
      <w:r>
        <w:lastRenderedPageBreak/>
        <w:tab/>
        <w:t>(</w:t>
      </w:r>
      <w:proofErr w:type="spellStart"/>
      <w:r>
        <w:t>ib</w:t>
      </w:r>
      <w:proofErr w:type="spellEnd"/>
      <w:r>
        <w:t>)</w:t>
      </w:r>
      <w:r>
        <w:tab/>
        <w:t>the Secretary of the Environment Department and is of information that is related to product stewardship (oil) benefits; or</w:t>
      </w:r>
    </w:p>
    <w:p w:rsidR="002938D6" w:rsidRDefault="002938D6">
      <w:pPr>
        <w:pStyle w:val="ItemHead"/>
      </w:pPr>
      <w:r>
        <w:t>10  Before subparagraph 47(3)(d)(ii)</w:t>
      </w:r>
    </w:p>
    <w:p w:rsidR="002938D6" w:rsidRDefault="002938D6">
      <w:pPr>
        <w:pStyle w:val="Item"/>
      </w:pPr>
      <w:r>
        <w:t>Insert:</w:t>
      </w:r>
    </w:p>
    <w:p w:rsidR="002938D6" w:rsidRDefault="002938D6">
      <w:pPr>
        <w:pStyle w:val="indentii"/>
      </w:pPr>
      <w:r>
        <w:tab/>
        <w:t>(</w:t>
      </w:r>
      <w:proofErr w:type="spellStart"/>
      <w:r>
        <w:t>ib</w:t>
      </w:r>
      <w:proofErr w:type="spellEnd"/>
      <w:r>
        <w:t>)</w:t>
      </w:r>
      <w:r>
        <w:tab/>
        <w:t>the Secretary of the Environment Department and is of information that is related to product stewardship (oil) benefits; or</w:t>
      </w:r>
    </w:p>
    <w:p w:rsidR="002938D6" w:rsidRDefault="002938D6">
      <w:pPr>
        <w:pStyle w:val="ItemHead"/>
      </w:pPr>
      <w:r>
        <w:t>11  Subsection 47(5)</w:t>
      </w:r>
    </w:p>
    <w:p w:rsidR="002938D6" w:rsidRDefault="002938D6">
      <w:pPr>
        <w:pStyle w:val="Item"/>
      </w:pPr>
      <w:r>
        <w:t>Insert:</w:t>
      </w:r>
    </w:p>
    <w:p w:rsidR="002938D6" w:rsidRDefault="002938D6">
      <w:pPr>
        <w:pStyle w:val="Definition"/>
      </w:pPr>
      <w:r>
        <w:rPr>
          <w:b/>
          <w:bCs/>
          <w:i/>
          <w:iCs/>
        </w:rPr>
        <w:t>Environment Department</w:t>
      </w:r>
      <w:r>
        <w:t xml:space="preserve"> means the Department responsible for the administration of the </w:t>
      </w:r>
      <w:r>
        <w:rPr>
          <w:i/>
          <w:iCs/>
        </w:rPr>
        <w:t>Environment Protection and Biodiversity Conservation Act 1999</w:t>
      </w:r>
      <w:r>
        <w:t>.</w:t>
      </w:r>
    </w:p>
    <w:p w:rsidR="002938D6" w:rsidRDefault="002938D6">
      <w:pPr>
        <w:pBdr>
          <w:bottom w:val="single" w:sz="4" w:space="1" w:color="auto"/>
        </w:pBdr>
      </w:pPr>
    </w:p>
    <w:p w:rsidR="002938D6" w:rsidRDefault="002938D6"/>
    <w:p w:rsidR="002938D6" w:rsidRDefault="002938D6">
      <w:pPr>
        <w:framePr w:w="947" w:h="323" w:hSpace="181" w:wrap="notBeside" w:vAnchor="page" w:hAnchor="margin" w:y="11341"/>
      </w:pPr>
      <w:r>
        <w:t>(50/00)</w:t>
      </w:r>
    </w:p>
    <w:p w:rsidR="002938D6" w:rsidRDefault="002938D6">
      <w:pPr>
        <w:rPr>
          <w:i/>
          <w:iCs/>
        </w:rPr>
      </w:pPr>
      <w:r>
        <w:t>[</w:t>
      </w:r>
      <w:r>
        <w:rPr>
          <w:i/>
          <w:iCs/>
        </w:rPr>
        <w:t>Minister’s second reading speech made in—</w:t>
      </w:r>
    </w:p>
    <w:p w:rsidR="002938D6" w:rsidRDefault="002938D6">
      <w:pPr>
        <w:rPr>
          <w:i/>
          <w:iCs/>
        </w:rPr>
      </w:pPr>
      <w:r>
        <w:rPr>
          <w:i/>
          <w:iCs/>
        </w:rPr>
        <w:t>House of Representatives on 22 June 2000</w:t>
      </w:r>
    </w:p>
    <w:p w:rsidR="002938D6" w:rsidRDefault="002938D6">
      <w:r>
        <w:rPr>
          <w:i/>
          <w:iCs/>
        </w:rPr>
        <w:t>Senate on 28 June 2000</w:t>
      </w:r>
      <w:r>
        <w:t>]</w:t>
      </w:r>
    </w:p>
    <w:p w:rsidR="002938D6" w:rsidRDefault="002938D6"/>
    <w:sectPr w:rsidR="002938D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871" w:right="2410" w:bottom="4252" w:left="2410" w:header="709" w:footer="3402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8D6" w:rsidRDefault="002938D6">
      <w:pPr>
        <w:spacing w:line="240" w:lineRule="auto"/>
      </w:pPr>
      <w:r>
        <w:separator/>
      </w:r>
    </w:p>
  </w:endnote>
  <w:endnote w:type="continuationSeparator" w:id="0">
    <w:p w:rsidR="002938D6" w:rsidRDefault="00293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8D6" w:rsidRDefault="00293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8D6" w:rsidRDefault="00293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8D6" w:rsidRDefault="002938D6">
    <w:pPr>
      <w:pBdr>
        <w:top w:val="single" w:sz="6" w:space="1" w:color="auto"/>
      </w:pBdr>
      <w:rPr>
        <w:sz w:val="18"/>
        <w:szCs w:val="18"/>
      </w:rPr>
    </w:pPr>
  </w:p>
  <w:p w:rsidR="002938D6" w:rsidRDefault="002938D6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Product Stewardship (Oil) (Consequential Amendments)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105,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vi</w:t>
    </w:r>
    <w:r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8D6" w:rsidRDefault="002938D6">
    <w:pPr>
      <w:pBdr>
        <w:top w:val="single" w:sz="6" w:space="1" w:color="auto"/>
      </w:pBdr>
      <w:rPr>
        <w:sz w:val="18"/>
        <w:szCs w:val="18"/>
      </w:rPr>
    </w:pPr>
  </w:p>
  <w:p w:rsidR="002938D6" w:rsidRDefault="002938D6">
    <w:pPr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i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0B200B">
      <w:rPr>
        <w:i/>
        <w:iCs/>
        <w:noProof/>
        <w:sz w:val="18"/>
        <w:szCs w:val="18"/>
      </w:rPr>
      <w:t>Product Stewardship (Oil) (Consequential Amendments)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0B200B">
      <w:rPr>
        <w:i/>
        <w:iCs/>
        <w:noProof/>
        <w:sz w:val="18"/>
        <w:szCs w:val="18"/>
      </w:rPr>
      <w:t>No. 105, 2000</w:t>
    </w:r>
    <w:r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8D6" w:rsidRDefault="002938D6">
    <w:pPr>
      <w:pBdr>
        <w:top w:val="single" w:sz="6" w:space="1" w:color="auto"/>
      </w:pBdr>
      <w:jc w:val="right"/>
      <w:rPr>
        <w:sz w:val="18"/>
        <w:szCs w:val="18"/>
      </w:rPr>
    </w:pPr>
  </w:p>
  <w:p w:rsidR="002938D6" w:rsidRDefault="002938D6">
    <w:pPr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6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0B200B">
      <w:rPr>
        <w:i/>
        <w:iCs/>
        <w:noProof/>
        <w:sz w:val="18"/>
        <w:szCs w:val="18"/>
      </w:rPr>
      <w:t>Product Stewardship (Oil) (Consequential Amendments)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0B200B">
      <w:rPr>
        <w:i/>
        <w:iCs/>
        <w:noProof/>
        <w:sz w:val="18"/>
        <w:szCs w:val="18"/>
      </w:rPr>
      <w:t>No. 105, 2000</w:t>
    </w:r>
    <w:r>
      <w:rPr>
        <w:i/>
        <w:i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8D6" w:rsidRDefault="002938D6">
    <w:pPr>
      <w:pBdr>
        <w:top w:val="single" w:sz="6" w:space="1" w:color="auto"/>
      </w:pBdr>
      <w:rPr>
        <w:sz w:val="18"/>
        <w:szCs w:val="18"/>
      </w:rPr>
    </w:pPr>
  </w:p>
  <w:p w:rsidR="002938D6" w:rsidRDefault="002938D6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0B200B">
      <w:rPr>
        <w:i/>
        <w:iCs/>
        <w:noProof/>
        <w:sz w:val="18"/>
        <w:szCs w:val="18"/>
      </w:rPr>
      <w:t>Product Stewardship (Oil) (Consequential Amendments)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0B200B">
      <w:rPr>
        <w:i/>
        <w:iCs/>
        <w:noProof/>
        <w:sz w:val="18"/>
        <w:szCs w:val="18"/>
      </w:rPr>
      <w:t>No. 105,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8D6" w:rsidRDefault="002938D6">
    <w:pPr>
      <w:pBdr>
        <w:top w:val="single" w:sz="6" w:space="1" w:color="auto"/>
      </w:pBdr>
      <w:rPr>
        <w:sz w:val="18"/>
        <w:szCs w:val="18"/>
      </w:rPr>
    </w:pPr>
  </w:p>
  <w:p w:rsidR="002938D6" w:rsidRDefault="002938D6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0B200B">
      <w:rPr>
        <w:i/>
        <w:iCs/>
        <w:noProof/>
        <w:sz w:val="18"/>
        <w:szCs w:val="18"/>
      </w:rPr>
      <w:t>Product Stewardship (Oil) (Consequential Amendments) Act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0B200B">
      <w:rPr>
        <w:i/>
        <w:iCs/>
        <w:noProof/>
        <w:sz w:val="18"/>
        <w:szCs w:val="18"/>
      </w:rPr>
      <w:t>No. 105, 2000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8D6" w:rsidRDefault="002938D6">
      <w:pPr>
        <w:spacing w:line="240" w:lineRule="auto"/>
      </w:pPr>
      <w:r>
        <w:separator/>
      </w:r>
    </w:p>
  </w:footnote>
  <w:footnote w:type="continuationSeparator" w:id="0">
    <w:p w:rsidR="002938D6" w:rsidRDefault="002938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8D6" w:rsidRDefault="00293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8D6" w:rsidRDefault="00293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8D6" w:rsidRDefault="002938D6">
    <w:pPr>
      <w:pBdr>
        <w:bottom w:val="single" w:sz="12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8D6" w:rsidRDefault="002938D6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8D6" w:rsidRDefault="002938D6">
    <w:pPr>
      <w:rPr>
        <w:sz w:val="20"/>
        <w:szCs w:val="20"/>
      </w:rPr>
    </w:pP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CharAmSchNo </w:instrText>
    </w:r>
    <w:r w:rsidR="000B200B">
      <w:rPr>
        <w:b/>
        <w:bCs/>
        <w:sz w:val="20"/>
        <w:szCs w:val="20"/>
      </w:rPr>
      <w:fldChar w:fldCharType="separate"/>
    </w:r>
    <w:r w:rsidR="000B200B">
      <w:rPr>
        <w:b/>
        <w:bCs/>
        <w:noProof/>
        <w:sz w:val="20"/>
        <w:szCs w:val="20"/>
      </w:rPr>
      <w:t>Schedule 1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CharAmSchText </w:instrText>
    </w:r>
    <w:r w:rsidR="000B200B">
      <w:rPr>
        <w:sz w:val="20"/>
        <w:szCs w:val="20"/>
      </w:rPr>
      <w:fldChar w:fldCharType="separate"/>
    </w:r>
    <w:r w:rsidR="000B200B">
      <w:rPr>
        <w:noProof/>
        <w:sz w:val="20"/>
        <w:szCs w:val="20"/>
      </w:rPr>
      <w:t>Amendments</w:t>
    </w:r>
    <w:r>
      <w:rPr>
        <w:sz w:val="20"/>
        <w:szCs w:val="20"/>
      </w:rPr>
      <w:fldChar w:fldCharType="end"/>
    </w:r>
  </w:p>
  <w:p w:rsidR="002938D6" w:rsidRDefault="002938D6">
    <w:pPr>
      <w:rPr>
        <w:b/>
        <w:bCs/>
        <w:sz w:val="20"/>
        <w:szCs w:val="20"/>
      </w:rPr>
    </w:pP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CharAmPartNo </w:instrTex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CharAmPartText </w:instrText>
    </w:r>
    <w:r>
      <w:rPr>
        <w:sz w:val="20"/>
        <w:szCs w:val="20"/>
      </w:rPr>
      <w:fldChar w:fldCharType="end"/>
    </w:r>
  </w:p>
  <w:p w:rsidR="002938D6" w:rsidRDefault="002938D6">
    <w:pPr>
      <w:pBdr>
        <w:bottom w:val="single" w:sz="6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8D6" w:rsidRDefault="002938D6">
    <w:pP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CharAmSchText </w:instrText>
    </w:r>
    <w:r>
      <w:rPr>
        <w:sz w:val="20"/>
        <w:szCs w:val="20"/>
      </w:rPr>
      <w:fldChar w:fldCharType="separate"/>
    </w:r>
    <w:r w:rsidR="000B200B">
      <w:rPr>
        <w:noProof/>
        <w:sz w:val="20"/>
        <w:szCs w:val="20"/>
      </w:rPr>
      <w:t>Amendments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CharAmSchNo </w:instrText>
    </w:r>
    <w:r>
      <w:rPr>
        <w:b/>
        <w:bCs/>
        <w:sz w:val="20"/>
        <w:szCs w:val="20"/>
      </w:rPr>
      <w:fldChar w:fldCharType="separate"/>
    </w:r>
    <w:r w:rsidR="000B200B">
      <w:rPr>
        <w:b/>
        <w:bCs/>
        <w:noProof/>
        <w:sz w:val="20"/>
        <w:szCs w:val="20"/>
      </w:rPr>
      <w:t>Schedule 1</w:t>
    </w:r>
    <w:r>
      <w:rPr>
        <w:b/>
        <w:bCs/>
        <w:sz w:val="20"/>
        <w:szCs w:val="20"/>
      </w:rPr>
      <w:fldChar w:fldCharType="end"/>
    </w:r>
  </w:p>
  <w:p w:rsidR="002938D6" w:rsidRDefault="002938D6">
    <w:pPr>
      <w:jc w:val="right"/>
      <w:rPr>
        <w:b/>
        <w:bCs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CharAmPartText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CharAmPartNo </w:instrText>
    </w:r>
    <w:r>
      <w:rPr>
        <w:b/>
        <w:bCs/>
        <w:sz w:val="20"/>
        <w:szCs w:val="20"/>
      </w:rPr>
      <w:fldChar w:fldCharType="end"/>
    </w:r>
  </w:p>
  <w:p w:rsidR="002938D6" w:rsidRDefault="002938D6">
    <w:pPr>
      <w:pBdr>
        <w:bottom w:val="single" w:sz="6" w:space="1" w:color="auto"/>
      </w:pBdr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8D6" w:rsidRDefault="002938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16D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15C1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19ABC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9A8D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C27E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EF608"/>
    <w:lvl w:ilvl="0">
      <w:start w:val="1"/>
      <w:numFmt w:val="bullet"/>
      <w:pStyle w:val="ListBullet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3A4CE0"/>
    <w:lvl w:ilvl="0">
      <w:start w:val="1"/>
      <w:numFmt w:val="bullet"/>
      <w:pStyle w:val="ListBullet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720894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C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30AA58C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65067"/>
    <w:multiLevelType w:val="singleLevel"/>
    <w:tmpl w:val="C4D0FBA0"/>
    <w:lvl w:ilvl="0">
      <w:start w:val="1"/>
      <w:numFmt w:val="bullet"/>
      <w:pStyle w:val="TLPNot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E36705"/>
    <w:multiLevelType w:val="singleLevel"/>
    <w:tmpl w:val="14708B10"/>
    <w:lvl w:ilvl="0">
      <w:start w:val="2"/>
      <w:numFmt w:val="decimal"/>
      <w:lvlText w:val="(%1)"/>
      <w:lvlJc w:val="left"/>
      <w:pPr>
        <w:tabs>
          <w:tab w:val="num" w:pos="1140"/>
        </w:tabs>
        <w:ind w:left="1140" w:hanging="375"/>
      </w:pPr>
      <w:rPr>
        <w:rFonts w:cs="Times New Roman" w:hint="default"/>
      </w:rPr>
    </w:lvl>
  </w:abstractNum>
  <w:abstractNum w:abstractNumId="12" w15:restartNumberingAfterBreak="0">
    <w:nsid w:val="7627142F"/>
    <w:multiLevelType w:val="singleLevel"/>
    <w:tmpl w:val="F7ECB4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795C104B"/>
    <w:multiLevelType w:val="singleLevel"/>
    <w:tmpl w:val="3FDE850A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10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1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A0"/>
    <w:rsid w:val="000B200B"/>
    <w:rsid w:val="001338B4"/>
    <w:rsid w:val="00272D05"/>
    <w:rsid w:val="002938D6"/>
    <w:rsid w:val="003533A0"/>
    <w:rsid w:val="00730171"/>
    <w:rsid w:val="00A46458"/>
    <w:rsid w:val="00A7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" w:hAnsi="Times" w:cs="Times"/>
      <w:lang w:val="en-AU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AU" w:eastAsia="x-none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AU" w:eastAsia="x-none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AU" w:eastAsia="x-none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AU" w:eastAsia="x-none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AU" w:eastAsia="x-none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locked/>
    <w:rPr>
      <w:rFonts w:cs="Times New Roman"/>
      <w:b/>
      <w:bCs/>
      <w:lang w:val="en-AU" w:eastAsia="x-none"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locked/>
    <w:rPr>
      <w:rFonts w:cs="Times New Roman"/>
      <w:sz w:val="24"/>
      <w:szCs w:val="24"/>
      <w:lang w:val="en-AU" w:eastAsia="x-none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en-AU" w:eastAsia="x-none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en-AU" w:eastAsia="x-none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en-AU" w:eastAsia="x-none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" w:hAnsi="Times" w:cs="Times"/>
      <w:lang w:val="en-AU" w:eastAsia="x-none"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  <w:rPr>
      <w:rFonts w:cs="Times New Roman"/>
    </w:rPr>
  </w:style>
  <w:style w:type="character" w:customStyle="1" w:styleId="CharAmPartText">
    <w:name w:val="CharAmPartText"/>
    <w:basedOn w:val="DefaultParagraphFont"/>
    <w:uiPriority w:val="99"/>
    <w:rPr>
      <w:rFonts w:cs="Times New Roman"/>
    </w:rPr>
  </w:style>
  <w:style w:type="character" w:customStyle="1" w:styleId="CharAmSchNo">
    <w:name w:val="CharAmSchNo"/>
    <w:basedOn w:val="DefaultParagraphFont"/>
    <w:uiPriority w:val="99"/>
    <w:rPr>
      <w:rFonts w:cs="Times New Roman"/>
    </w:rPr>
  </w:style>
  <w:style w:type="character" w:customStyle="1" w:styleId="CharAmSchText">
    <w:name w:val="CharAmSchText"/>
    <w:basedOn w:val="DefaultParagraphFont"/>
    <w:uiPriority w:val="99"/>
    <w:rPr>
      <w:rFonts w:cs="Times New Roman"/>
    </w:rPr>
  </w:style>
  <w:style w:type="character" w:customStyle="1" w:styleId="CharChapNo">
    <w:name w:val="CharChapNo"/>
    <w:basedOn w:val="DefaultParagraphFont"/>
    <w:uiPriority w:val="99"/>
    <w:rPr>
      <w:rFonts w:cs="Times New Roman"/>
    </w:rPr>
  </w:style>
  <w:style w:type="character" w:customStyle="1" w:styleId="CharChapText">
    <w:name w:val="CharChapText"/>
    <w:basedOn w:val="DefaultParagraphFont"/>
    <w:uiPriority w:val="99"/>
    <w:rPr>
      <w:rFonts w:cs="Times New Roman"/>
    </w:rPr>
  </w:style>
  <w:style w:type="character" w:customStyle="1" w:styleId="CharDivNo">
    <w:name w:val="CharDivNo"/>
    <w:basedOn w:val="DefaultParagraphFont"/>
    <w:uiPriority w:val="99"/>
    <w:rPr>
      <w:rFonts w:cs="Times New Roman"/>
    </w:rPr>
  </w:style>
  <w:style w:type="character" w:customStyle="1" w:styleId="CharDivText">
    <w:name w:val="CharDivText"/>
    <w:basedOn w:val="DefaultParagraphFont"/>
    <w:uiPriority w:val="99"/>
    <w:rPr>
      <w:rFonts w:cs="Times New Roman"/>
    </w:rPr>
  </w:style>
  <w:style w:type="character" w:customStyle="1" w:styleId="CharPartNo">
    <w:name w:val="CharPartNo"/>
    <w:basedOn w:val="DefaultParagraphFont"/>
    <w:uiPriority w:val="99"/>
    <w:rPr>
      <w:rFonts w:cs="Times New Roman"/>
    </w:rPr>
  </w:style>
  <w:style w:type="character" w:customStyle="1" w:styleId="CharPartText">
    <w:name w:val="CharPartText"/>
    <w:basedOn w:val="DefaultParagraphFont"/>
    <w:uiPriority w:val="99"/>
    <w:rPr>
      <w:rFonts w:cs="Times New Roman"/>
    </w:rPr>
  </w:style>
  <w:style w:type="character" w:customStyle="1" w:styleId="CharSectno">
    <w:name w:val="CharSectno"/>
    <w:basedOn w:val="DefaultParagraphFont"/>
    <w:uiPriority w:val="99"/>
    <w:rPr>
      <w:rFonts w:cs="Times New Roman"/>
    </w:rPr>
  </w:style>
  <w:style w:type="character" w:customStyle="1" w:styleId="CharSubdNo">
    <w:name w:val="CharSubdNo"/>
    <w:basedOn w:val="DefaultParagraphFont"/>
    <w:uiPriority w:val="99"/>
    <w:rPr>
      <w:rFonts w:cs="Times New Roman"/>
    </w:rPr>
  </w:style>
  <w:style w:type="character" w:customStyle="1" w:styleId="CharSubdText">
    <w:name w:val="CharSubdText"/>
    <w:basedOn w:val="DefaultParagraphFont"/>
    <w:uiPriority w:val="99"/>
    <w:rPr>
      <w:rFonts w:cs="Times New Roman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styleId="Footer">
    <w:name w:val="footer"/>
    <w:basedOn w:val="Normal"/>
    <w:link w:val="FooterChar"/>
    <w:uiPriority w:val="99"/>
    <w:pPr>
      <w:tabs>
        <w:tab w:val="center" w:pos="4150"/>
        <w:tab w:val="right" w:pos="830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"/>
      <w:lang w:val="en-AU" w:eastAsia="x-none"/>
    </w:rPr>
  </w:style>
  <w:style w:type="paragraph" w:customStyle="1" w:styleId="Formula">
    <w:name w:val="Formula"/>
    <w:basedOn w:val="Normal"/>
    <w:uiPriority w:val="99"/>
    <w:pPr>
      <w:ind w:left="1134"/>
    </w:pPr>
  </w:style>
  <w:style w:type="paragraph" w:styleId="Header">
    <w:name w:val="header"/>
    <w:basedOn w:val="Normal"/>
    <w:link w:val="HeaderChar"/>
    <w:uiPriority w:val="99"/>
    <w:pPr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" w:hAnsi="Times" w:cs="Times"/>
      <w:lang w:val="en-AU" w:eastAsia="x-none"/>
    </w:r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ListBullet">
    <w:name w:val="List Bullet"/>
    <w:basedOn w:val="Normal"/>
    <w:uiPriority w:val="99"/>
    <w:pPr>
      <w:numPr>
        <w:numId w:val="2"/>
      </w:numPr>
      <w:tabs>
        <w:tab w:val="clear" w:pos="643"/>
      </w:tabs>
      <w:ind w:left="284" w:hanging="284"/>
    </w:pPr>
  </w:style>
  <w:style w:type="paragraph" w:styleId="ListBullet2">
    <w:name w:val="List Bullet 2"/>
    <w:basedOn w:val="Normal"/>
    <w:uiPriority w:val="99"/>
    <w:pPr>
      <w:numPr>
        <w:numId w:val="4"/>
      </w:numPr>
      <w:tabs>
        <w:tab w:val="clear" w:pos="1209"/>
        <w:tab w:val="num" w:pos="643"/>
      </w:tabs>
      <w:ind w:left="643"/>
    </w:pPr>
  </w:style>
  <w:style w:type="paragraph" w:styleId="ListBullet3">
    <w:name w:val="List Bullet 3"/>
    <w:basedOn w:val="Normal"/>
    <w:uiPriority w:val="99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ListBullet4">
    <w:name w:val="List Bullet 4"/>
    <w:basedOn w:val="Normal"/>
    <w:uiPriority w:val="99"/>
    <w:pPr>
      <w:numPr>
        <w:numId w:val="8"/>
      </w:numPr>
      <w:tabs>
        <w:tab w:val="num" w:pos="643"/>
        <w:tab w:val="num" w:pos="1209"/>
      </w:tabs>
      <w:ind w:left="1209"/>
    </w:pPr>
  </w:style>
  <w:style w:type="paragraph" w:styleId="ListBullet5">
    <w:name w:val="List Bullet 5"/>
    <w:basedOn w:val="Normal"/>
    <w:uiPriority w:val="99"/>
    <w:pPr>
      <w:numPr>
        <w:numId w:val="10"/>
      </w:numPr>
      <w:tabs>
        <w:tab w:val="num" w:pos="926"/>
      </w:tabs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Page1">
    <w:name w:val="Page1"/>
    <w:basedOn w:val="Normal"/>
    <w:uiPriority w:val="99"/>
    <w:pPr>
      <w:spacing w:before="56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AU" w:eastAsia="x-none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AU" w:eastAsia="x-none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Notebullet">
    <w:name w:val="TLPNote(bullet)"/>
    <w:basedOn w:val="Normal"/>
    <w:uiPriority w:val="99"/>
    <w:pPr>
      <w:numPr>
        <w:numId w:val="21"/>
      </w:numPr>
      <w:tabs>
        <w:tab w:val="clear" w:pos="360"/>
      </w:tabs>
      <w:spacing w:before="122" w:line="198" w:lineRule="exact"/>
      <w:ind w:left="2552" w:hanging="284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  <w:outlineLvl w:val="9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right" w:leader="dot" w:pos="7088"/>
      </w:tabs>
      <w:spacing w:before="4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 w:line="240" w:lineRule="auto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right="0" w:firstLine="0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right="0" w:hanging="794"/>
    </w:pPr>
    <w:rPr>
      <w:b w:val="0"/>
      <w:bCs w:val="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en-AU" w:eastAsia="x-none"/>
    </w:r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Helvetica" w:hAnsi="Helvetica" w:cs="Helvetica"/>
      <w:b/>
      <w:bCs/>
      <w:i/>
      <w:iCs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Helvetica" w:hAnsi="Helvetica" w:cs="Helvetica"/>
      <w:b/>
      <w:bCs/>
      <w:sz w:val="28"/>
      <w:szCs w:val="28"/>
    </w:rPr>
  </w:style>
  <w:style w:type="character" w:customStyle="1" w:styleId="CharNotesItals">
    <w:name w:val="CharNotesItals"/>
    <w:basedOn w:val="DefaultParagraphFont"/>
    <w:uiPriority w:val="99"/>
    <w:rPr>
      <w:rFonts w:cs="Times New Roman"/>
      <w:i/>
      <w:iCs/>
    </w:rPr>
  </w:style>
  <w:style w:type="character" w:customStyle="1" w:styleId="CharNotesReg">
    <w:name w:val="CharNotesReg"/>
    <w:basedOn w:val="DefaultParagraphFont"/>
    <w:uiPriority w:val="99"/>
    <w:rPr>
      <w:rFonts w:cs="Times New Roman"/>
    </w:r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Contents">
    <w:name w:val="Contents"/>
    <w:basedOn w:val="Normal"/>
    <w:next w:val="Normal"/>
    <w:uiPriority w:val="99"/>
    <w:pPr>
      <w:spacing w:line="240" w:lineRule="auto"/>
    </w:pPr>
    <w:rPr>
      <w:sz w:val="36"/>
      <w:szCs w:val="36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Helvetica" w:hAnsi="Helvetica" w:cs="Helvetica"/>
      <w:b/>
      <w:bCs/>
      <w:sz w:val="24"/>
      <w:szCs w:val="24"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Helvetica" w:hAnsi="Helvetica" w:cs="Helvetica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mend">
    <w:name w:val="TableOfAmend"/>
    <w:basedOn w:val="Normal"/>
    <w:next w:val="Normal"/>
    <w:uiPriority w:val="99"/>
    <w:pPr>
      <w:tabs>
        <w:tab w:val="right" w:leader="dot" w:pos="2268"/>
      </w:tabs>
      <w:spacing w:before="60" w:line="180" w:lineRule="exact"/>
      <w:ind w:left="170" w:right="-113" w:hanging="170"/>
    </w:pPr>
    <w:rPr>
      <w:rFonts w:ascii="Helvetica" w:hAnsi="Helvetica" w:cs="Helvetica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Helvetica" w:hAnsi="Helvetica" w:cs="Helvetica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Helvetica" w:hAnsi="Helvetica" w:cs="Helvetica"/>
      <w:i/>
      <w:iCs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Helvetica" w:hAnsi="Helvetica" w:cs="Helvetica"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Helvetica" w:hAnsi="Helvetica" w:cs="Helvetica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Helvetica" w:hAnsi="Helvetica" w:cs="Helvetica"/>
      <w:sz w:val="16"/>
      <w:szCs w:val="16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mendOpt">
    <w:name w:val="TableOfAmendOpt"/>
    <w:basedOn w:val="TableOfAmend"/>
    <w:uiPriority w:val="99"/>
    <w:pPr>
      <w:spacing w:before="0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Helvetica" w:hAnsi="Helvetica" w:cs="Helvetica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1134" w:hanging="1134"/>
    </w:pPr>
    <w:rPr>
      <w:rFonts w:ascii="Times" w:hAnsi="Times" w:cs="Times"/>
      <w:b w:val="0"/>
      <w:bCs w:val="0"/>
      <w:i/>
      <w:iCs/>
    </w:rPr>
  </w:style>
  <w:style w:type="paragraph" w:customStyle="1" w:styleId="notebullet">
    <w:name w:val="note(bullet)"/>
    <w:basedOn w:val="Normal"/>
    <w:uiPriority w:val="99"/>
    <w:pPr>
      <w:numPr>
        <w:numId w:val="29"/>
      </w:numPr>
      <w:tabs>
        <w:tab w:val="left" w:pos="2268"/>
      </w:tabs>
    </w:pPr>
    <w:rPr>
      <w:sz w:val="18"/>
      <w:szCs w:val="18"/>
    </w:rPr>
  </w:style>
  <w:style w:type="character" w:customStyle="1" w:styleId="superscriptstyle">
    <w:name w:val="superscriptstyle"/>
    <w:basedOn w:val="DefaultParagraphFont"/>
    <w:uiPriority w:val="99"/>
    <w:rPr>
      <w:rFonts w:ascii="Times" w:hAnsi="Times" w:cs="Times"/>
      <w:sz w:val="18"/>
      <w:szCs w:val="18"/>
      <w:vertAlign w:val="baseline"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Mathtype">
    <w:name w:val="Mathtype"/>
    <w:basedOn w:val="Normal"/>
    <w:uiPriority w:val="99"/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940</Words>
  <Characters>4967</Characters>
  <Application>Microsoft Office Word</Application>
  <DocSecurity>0</DocSecurity>
  <Lines>827</Lines>
  <Paragraphs>536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2023-09-18T05:44:00Z</dcterms:created>
  <dcterms:modified xsi:type="dcterms:W3CDTF">2023-12-20T03:41:00Z</dcterms:modified>
</cp:coreProperties>
</file>