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2A0" w:rsidRDefault="00625EEE">
      <w:pPr>
        <w:spacing w:line="240" w:lineRule="auto"/>
      </w:pPr>
      <w:r>
        <w:rPr>
          <w:noProof/>
        </w:rPr>
        <w:drawing>
          <wp:inline distT="0" distB="0" distL="0" distR="0">
            <wp:extent cx="1362075" cy="990600"/>
            <wp:effectExtent l="0" t="0" r="0" b="0"/>
            <wp:docPr id="2" name="Picture 2" descr="Commonwealth Coat of Arms of Austral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990600"/>
                    </a:xfrm>
                    <a:prstGeom prst="rect">
                      <a:avLst/>
                    </a:prstGeom>
                    <a:noFill/>
                    <a:ln>
                      <a:noFill/>
                    </a:ln>
                  </pic:spPr>
                </pic:pic>
              </a:graphicData>
            </a:graphic>
          </wp:inline>
        </w:drawing>
      </w:r>
    </w:p>
    <w:p w:rsidR="001C32A0" w:rsidRDefault="001C32A0"/>
    <w:p w:rsidR="001C32A0" w:rsidRDefault="001C32A0"/>
    <w:p w:rsidR="001C32A0" w:rsidRDefault="001C32A0"/>
    <w:p w:rsidR="001C32A0" w:rsidRDefault="001C32A0"/>
    <w:p w:rsidR="001C32A0" w:rsidRDefault="006937CB">
      <w:pPr>
        <w:pStyle w:val="ShortT"/>
      </w:pPr>
      <w:r>
        <w:t>Renewable Energy (Electricity) (Charge) Act 2000</w:t>
      </w:r>
    </w:p>
    <w:p w:rsidR="001C32A0" w:rsidRDefault="001C32A0"/>
    <w:p w:rsidR="001C32A0" w:rsidRPr="00E43E45" w:rsidRDefault="006937CB">
      <w:pPr>
        <w:pStyle w:val="Actno"/>
        <w:spacing w:before="400"/>
        <w:rPr>
          <w:sz w:val="40"/>
          <w:szCs w:val="40"/>
        </w:rPr>
      </w:pPr>
      <w:r w:rsidRPr="00E43E45">
        <w:rPr>
          <w:sz w:val="40"/>
          <w:szCs w:val="40"/>
        </w:rPr>
        <w:t>No. 129, 2000</w:t>
      </w:r>
    </w:p>
    <w:p w:rsidR="001C32A0" w:rsidRDefault="001C32A0"/>
    <w:p w:rsidR="001C32A0" w:rsidRDefault="001C32A0"/>
    <w:p w:rsidR="001C32A0" w:rsidRDefault="001C32A0"/>
    <w:p w:rsidR="001C32A0" w:rsidRDefault="001C32A0"/>
    <w:p w:rsidR="001C32A0" w:rsidRDefault="006937CB">
      <w:pPr>
        <w:pStyle w:val="LongT"/>
        <w:outlineLvl w:val="0"/>
      </w:pPr>
      <w:r>
        <w:t>An Act to impose renewable energy certificate charge, and for related purposes</w:t>
      </w:r>
    </w:p>
    <w:p w:rsidR="001C32A0" w:rsidRDefault="006937CB">
      <w:pPr>
        <w:pStyle w:val="Header"/>
      </w:pPr>
      <w:r>
        <w:rPr>
          <w:rStyle w:val="CharChapNo"/>
        </w:rPr>
        <w:t xml:space="preserve"> </w:t>
      </w:r>
      <w:r>
        <w:rPr>
          <w:rStyle w:val="CharChapText"/>
        </w:rPr>
        <w:t xml:space="preserve"> </w:t>
      </w:r>
    </w:p>
    <w:p w:rsidR="001C32A0" w:rsidRDefault="006937CB">
      <w:pPr>
        <w:pStyle w:val="Header"/>
      </w:pPr>
      <w:r>
        <w:rPr>
          <w:rStyle w:val="CharPartNo"/>
        </w:rPr>
        <w:t xml:space="preserve"> </w:t>
      </w:r>
      <w:r>
        <w:rPr>
          <w:rStyle w:val="CharPartText"/>
        </w:rPr>
        <w:t xml:space="preserve"> </w:t>
      </w:r>
    </w:p>
    <w:p w:rsidR="001C32A0" w:rsidRDefault="006937CB">
      <w:pPr>
        <w:pStyle w:val="Header"/>
      </w:pPr>
      <w:r>
        <w:rPr>
          <w:rStyle w:val="CharDivNo"/>
        </w:rPr>
        <w:t xml:space="preserve"> </w:t>
      </w:r>
      <w:bookmarkStart w:id="0" w:name="String1Start"/>
      <w:bookmarkStart w:id="1" w:name="String1"/>
      <w:bookmarkEnd w:id="0"/>
      <w:r>
        <w:rPr>
          <w:rStyle w:val="CharDivText"/>
        </w:rPr>
        <w:t xml:space="preserve"> </w:t>
      </w:r>
    </w:p>
    <w:p w:rsidR="001C32A0" w:rsidRDefault="001C32A0">
      <w:pPr>
        <w:sectPr w:rsidR="001C32A0">
          <w:headerReference w:type="even" r:id="rId8"/>
          <w:headerReference w:type="default" r:id="rId9"/>
          <w:footerReference w:type="even" r:id="rId10"/>
          <w:footerReference w:type="default" r:id="rId11"/>
          <w:pgSz w:w="11906" w:h="16838" w:code="9"/>
          <w:pgMar w:top="1418" w:right="2410" w:bottom="4252" w:left="2410" w:header="709" w:footer="3402" w:gutter="0"/>
          <w:cols w:space="709"/>
        </w:sectPr>
      </w:pPr>
      <w:bookmarkStart w:id="2" w:name="String1End"/>
      <w:bookmarkEnd w:id="1"/>
      <w:bookmarkEnd w:id="2"/>
    </w:p>
    <w:p w:rsidR="001C32A0" w:rsidRDefault="006937CB">
      <w:pPr>
        <w:outlineLvl w:val="0"/>
        <w:rPr>
          <w:sz w:val="36"/>
          <w:szCs w:val="36"/>
        </w:rPr>
      </w:pPr>
      <w:r>
        <w:rPr>
          <w:sz w:val="36"/>
          <w:szCs w:val="36"/>
        </w:rPr>
        <w:lastRenderedPageBreak/>
        <w:t>Contents</w:t>
      </w:r>
    </w:p>
    <w:p w:rsidR="001C32A0" w:rsidRDefault="006937CB">
      <w:pPr>
        <w:pStyle w:val="TOC5"/>
        <w:rPr>
          <w:noProof/>
        </w:rPr>
      </w:pPr>
      <w:r>
        <w:fldChar w:fldCharType="begin"/>
      </w:r>
      <w:r>
        <w:instrText xml:space="preserve"> TOC \o "1-9" </w:instrText>
      </w:r>
      <w:r>
        <w:fldChar w:fldCharType="separate"/>
      </w:r>
      <w:r>
        <w:rPr>
          <w:noProof/>
        </w:rPr>
        <w:t>1</w:t>
      </w:r>
      <w:r>
        <w:rPr>
          <w:noProof/>
        </w:rPr>
        <w:tab/>
        <w:t>Short title</w:t>
      </w:r>
      <w:r>
        <w:rPr>
          <w:noProof/>
        </w:rPr>
        <w:tab/>
      </w:r>
      <w:r>
        <w:rPr>
          <w:noProof/>
        </w:rPr>
        <w:fldChar w:fldCharType="begin"/>
      </w:r>
      <w:r>
        <w:rPr>
          <w:noProof/>
        </w:rPr>
        <w:instrText xml:space="preserve"> PAGEREF _Toc484863983 \h </w:instrText>
      </w:r>
      <w:r>
        <w:rPr>
          <w:noProof/>
        </w:rPr>
      </w:r>
      <w:r>
        <w:rPr>
          <w:noProof/>
        </w:rPr>
        <w:fldChar w:fldCharType="separate"/>
      </w:r>
      <w:r>
        <w:rPr>
          <w:noProof/>
        </w:rPr>
        <w:t>2</w:t>
      </w:r>
      <w:r>
        <w:rPr>
          <w:noProof/>
        </w:rPr>
        <w:fldChar w:fldCharType="end"/>
      </w:r>
    </w:p>
    <w:p w:rsidR="001C32A0" w:rsidRDefault="006937CB">
      <w:pPr>
        <w:pStyle w:val="TOC5"/>
        <w:rPr>
          <w:noProof/>
        </w:rPr>
      </w:pPr>
      <w:r>
        <w:rPr>
          <w:noProof/>
        </w:rPr>
        <w:t>2</w:t>
      </w:r>
      <w:r>
        <w:rPr>
          <w:noProof/>
        </w:rPr>
        <w:tab/>
        <w:t>Commencement</w:t>
      </w:r>
      <w:r>
        <w:rPr>
          <w:noProof/>
        </w:rPr>
        <w:tab/>
      </w:r>
      <w:r>
        <w:rPr>
          <w:noProof/>
        </w:rPr>
        <w:fldChar w:fldCharType="begin"/>
      </w:r>
      <w:r>
        <w:rPr>
          <w:noProof/>
        </w:rPr>
        <w:instrText xml:space="preserve"> PAGEREF _Toc484863984 \h </w:instrText>
      </w:r>
      <w:r>
        <w:rPr>
          <w:noProof/>
        </w:rPr>
      </w:r>
      <w:r>
        <w:rPr>
          <w:noProof/>
        </w:rPr>
        <w:fldChar w:fldCharType="separate"/>
      </w:r>
      <w:r>
        <w:rPr>
          <w:noProof/>
        </w:rPr>
        <w:t>2</w:t>
      </w:r>
      <w:r>
        <w:rPr>
          <w:noProof/>
        </w:rPr>
        <w:fldChar w:fldCharType="end"/>
      </w:r>
    </w:p>
    <w:p w:rsidR="001C32A0" w:rsidRDefault="006937CB">
      <w:pPr>
        <w:pStyle w:val="TOC5"/>
        <w:rPr>
          <w:noProof/>
        </w:rPr>
      </w:pPr>
      <w:r>
        <w:rPr>
          <w:noProof/>
        </w:rPr>
        <w:t>3</w:t>
      </w:r>
      <w:r>
        <w:rPr>
          <w:noProof/>
        </w:rPr>
        <w:tab/>
        <w:t>Definitions</w:t>
      </w:r>
      <w:r>
        <w:rPr>
          <w:noProof/>
        </w:rPr>
        <w:tab/>
      </w:r>
      <w:r>
        <w:rPr>
          <w:noProof/>
        </w:rPr>
        <w:fldChar w:fldCharType="begin"/>
      </w:r>
      <w:r>
        <w:rPr>
          <w:noProof/>
        </w:rPr>
        <w:instrText xml:space="preserve"> PAGEREF _Toc484863985 \h </w:instrText>
      </w:r>
      <w:r>
        <w:rPr>
          <w:noProof/>
        </w:rPr>
      </w:r>
      <w:r>
        <w:rPr>
          <w:noProof/>
        </w:rPr>
        <w:fldChar w:fldCharType="separate"/>
      </w:r>
      <w:r>
        <w:rPr>
          <w:noProof/>
        </w:rPr>
        <w:t>2</w:t>
      </w:r>
      <w:r>
        <w:rPr>
          <w:noProof/>
        </w:rPr>
        <w:fldChar w:fldCharType="end"/>
      </w:r>
    </w:p>
    <w:p w:rsidR="001C32A0" w:rsidRDefault="006937CB">
      <w:pPr>
        <w:pStyle w:val="TOC5"/>
        <w:rPr>
          <w:noProof/>
        </w:rPr>
      </w:pPr>
      <w:r>
        <w:rPr>
          <w:noProof/>
        </w:rPr>
        <w:t>4</w:t>
      </w:r>
      <w:r>
        <w:rPr>
          <w:noProof/>
        </w:rPr>
        <w:tab/>
        <w:t>Act to bind Crown</w:t>
      </w:r>
      <w:r>
        <w:rPr>
          <w:noProof/>
        </w:rPr>
        <w:tab/>
      </w:r>
      <w:r>
        <w:rPr>
          <w:noProof/>
        </w:rPr>
        <w:fldChar w:fldCharType="begin"/>
      </w:r>
      <w:r>
        <w:rPr>
          <w:noProof/>
        </w:rPr>
        <w:instrText xml:space="preserve"> PAGEREF _Toc484863986 \h </w:instrText>
      </w:r>
      <w:r>
        <w:rPr>
          <w:noProof/>
        </w:rPr>
      </w:r>
      <w:r>
        <w:rPr>
          <w:noProof/>
        </w:rPr>
        <w:fldChar w:fldCharType="separate"/>
      </w:r>
      <w:r>
        <w:rPr>
          <w:noProof/>
        </w:rPr>
        <w:t>2</w:t>
      </w:r>
      <w:r>
        <w:rPr>
          <w:noProof/>
        </w:rPr>
        <w:fldChar w:fldCharType="end"/>
      </w:r>
    </w:p>
    <w:p w:rsidR="001C32A0" w:rsidRDefault="006937CB">
      <w:pPr>
        <w:pStyle w:val="TOC5"/>
        <w:rPr>
          <w:noProof/>
        </w:rPr>
      </w:pPr>
      <w:r>
        <w:rPr>
          <w:noProof/>
        </w:rPr>
        <w:t>5</w:t>
      </w:r>
      <w:r>
        <w:rPr>
          <w:noProof/>
        </w:rPr>
        <w:tab/>
        <w:t>Imposition</w:t>
      </w:r>
      <w:r>
        <w:rPr>
          <w:noProof/>
        </w:rPr>
        <w:tab/>
      </w:r>
      <w:r>
        <w:rPr>
          <w:noProof/>
        </w:rPr>
        <w:fldChar w:fldCharType="begin"/>
      </w:r>
      <w:r>
        <w:rPr>
          <w:noProof/>
        </w:rPr>
        <w:instrText xml:space="preserve"> PAGEREF _Toc484863987 \h </w:instrText>
      </w:r>
      <w:r>
        <w:rPr>
          <w:noProof/>
        </w:rPr>
      </w:r>
      <w:r>
        <w:rPr>
          <w:noProof/>
        </w:rPr>
        <w:fldChar w:fldCharType="separate"/>
      </w:r>
      <w:r>
        <w:rPr>
          <w:noProof/>
        </w:rPr>
        <w:t>2</w:t>
      </w:r>
      <w:r>
        <w:rPr>
          <w:noProof/>
        </w:rPr>
        <w:fldChar w:fldCharType="end"/>
      </w:r>
    </w:p>
    <w:p w:rsidR="001C32A0" w:rsidRDefault="006937CB">
      <w:pPr>
        <w:pStyle w:val="TOC5"/>
        <w:rPr>
          <w:noProof/>
        </w:rPr>
      </w:pPr>
      <w:r>
        <w:rPr>
          <w:noProof/>
        </w:rPr>
        <w:t>6</w:t>
      </w:r>
      <w:r>
        <w:rPr>
          <w:noProof/>
        </w:rPr>
        <w:tab/>
        <w:t>Rates of charge</w:t>
      </w:r>
      <w:r>
        <w:rPr>
          <w:noProof/>
        </w:rPr>
        <w:tab/>
      </w:r>
      <w:r>
        <w:rPr>
          <w:noProof/>
        </w:rPr>
        <w:fldChar w:fldCharType="begin"/>
      </w:r>
      <w:r>
        <w:rPr>
          <w:noProof/>
        </w:rPr>
        <w:instrText xml:space="preserve"> PAGEREF _Toc484863988 \h </w:instrText>
      </w:r>
      <w:r>
        <w:rPr>
          <w:noProof/>
        </w:rPr>
      </w:r>
      <w:r>
        <w:rPr>
          <w:noProof/>
        </w:rPr>
        <w:fldChar w:fldCharType="separate"/>
      </w:r>
      <w:r>
        <w:rPr>
          <w:noProof/>
        </w:rPr>
        <w:t>3</w:t>
      </w:r>
      <w:r>
        <w:rPr>
          <w:noProof/>
        </w:rPr>
        <w:fldChar w:fldCharType="end"/>
      </w:r>
    </w:p>
    <w:p w:rsidR="001C32A0" w:rsidRDefault="006937CB">
      <w:pPr>
        <w:pStyle w:val="TOC5"/>
        <w:rPr>
          <w:noProof/>
        </w:rPr>
      </w:pPr>
      <w:r>
        <w:rPr>
          <w:noProof/>
        </w:rPr>
        <w:t>7</w:t>
      </w:r>
      <w:r>
        <w:rPr>
          <w:noProof/>
        </w:rPr>
        <w:tab/>
        <w:t>Act does not impose a tax on property of a State</w:t>
      </w:r>
      <w:r>
        <w:rPr>
          <w:noProof/>
        </w:rPr>
        <w:tab/>
      </w:r>
      <w:r>
        <w:rPr>
          <w:noProof/>
        </w:rPr>
        <w:fldChar w:fldCharType="begin"/>
      </w:r>
      <w:r>
        <w:rPr>
          <w:noProof/>
        </w:rPr>
        <w:instrText xml:space="preserve"> PAGEREF _Toc484863989 \h </w:instrText>
      </w:r>
      <w:r>
        <w:rPr>
          <w:noProof/>
        </w:rPr>
      </w:r>
      <w:r>
        <w:rPr>
          <w:noProof/>
        </w:rPr>
        <w:fldChar w:fldCharType="separate"/>
      </w:r>
      <w:r>
        <w:rPr>
          <w:noProof/>
        </w:rPr>
        <w:t>3</w:t>
      </w:r>
      <w:r>
        <w:rPr>
          <w:noProof/>
        </w:rPr>
        <w:fldChar w:fldCharType="end"/>
      </w:r>
    </w:p>
    <w:p w:rsidR="001C32A0" w:rsidRDefault="006937CB">
      <w:r>
        <w:fldChar w:fldCharType="end"/>
      </w:r>
    </w:p>
    <w:p w:rsidR="001C32A0" w:rsidRDefault="001C32A0">
      <w:pPr>
        <w:sectPr w:rsidR="001C32A0">
          <w:headerReference w:type="even" r:id="rId12"/>
          <w:headerReference w:type="default" r:id="rId13"/>
          <w:footerReference w:type="even" r:id="rId14"/>
          <w:footerReference w:type="default" r:id="rId15"/>
          <w:pgSz w:w="11906" w:h="16838" w:code="9"/>
          <w:pgMar w:top="2381" w:right="2410" w:bottom="4252" w:left="2410" w:header="709" w:footer="3402" w:gutter="0"/>
          <w:pgNumType w:fmt="lowerRoman" w:start="1"/>
          <w:cols w:space="709"/>
        </w:sectPr>
      </w:pPr>
    </w:p>
    <w:p w:rsidR="001C32A0" w:rsidRDefault="00625EEE">
      <w:pPr>
        <w:spacing w:line="240" w:lineRule="auto"/>
      </w:pPr>
      <w:r>
        <w:rPr>
          <w:noProof/>
        </w:rPr>
        <w:lastRenderedPageBreak/>
        <w:drawing>
          <wp:inline distT="0" distB="0" distL="0" distR="0">
            <wp:extent cx="1362075" cy="990600"/>
            <wp:effectExtent l="0" t="0" r="0" b="0"/>
            <wp:docPr id="3" name="Picture 3" descr="Commonwealth Coat of Arms of Austral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990600"/>
                    </a:xfrm>
                    <a:prstGeom prst="rect">
                      <a:avLst/>
                    </a:prstGeom>
                    <a:noFill/>
                    <a:ln>
                      <a:noFill/>
                    </a:ln>
                  </pic:spPr>
                </pic:pic>
              </a:graphicData>
            </a:graphic>
          </wp:inline>
        </w:drawing>
      </w:r>
    </w:p>
    <w:p w:rsidR="001C32A0" w:rsidRDefault="006937CB">
      <w:pPr>
        <w:spacing w:before="800" w:line="240" w:lineRule="auto"/>
        <w:rPr>
          <w:b/>
          <w:bCs/>
          <w:sz w:val="40"/>
          <w:szCs w:val="40"/>
        </w:rPr>
      </w:pPr>
      <w:r>
        <w:rPr>
          <w:b/>
          <w:bCs/>
          <w:sz w:val="40"/>
          <w:szCs w:val="40"/>
        </w:rPr>
        <w:fldChar w:fldCharType="begin"/>
      </w:r>
      <w:r>
        <w:rPr>
          <w:b/>
          <w:bCs/>
          <w:sz w:val="40"/>
          <w:szCs w:val="40"/>
        </w:rPr>
        <w:instrText xml:space="preserve"> STYLEREF ShortT </w:instrText>
      </w:r>
      <w:r>
        <w:rPr>
          <w:b/>
          <w:bCs/>
          <w:sz w:val="40"/>
          <w:szCs w:val="40"/>
        </w:rPr>
        <w:fldChar w:fldCharType="separate"/>
      </w:r>
      <w:r>
        <w:rPr>
          <w:b/>
          <w:bCs/>
          <w:noProof/>
          <w:sz w:val="40"/>
          <w:szCs w:val="40"/>
        </w:rPr>
        <w:t>Renewable Energy (Electricity) (Charge) Act 2000</w:t>
      </w:r>
      <w:r>
        <w:rPr>
          <w:b/>
          <w:bCs/>
          <w:sz w:val="40"/>
          <w:szCs w:val="40"/>
        </w:rPr>
        <w:fldChar w:fldCharType="end"/>
      </w:r>
    </w:p>
    <w:p w:rsidR="001C32A0" w:rsidRDefault="006937CB">
      <w:pPr>
        <w:spacing w:before="800" w:line="240" w:lineRule="auto"/>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noProof/>
          <w:sz w:val="28"/>
          <w:szCs w:val="28"/>
        </w:rPr>
        <w:t>No. 129, 2000</w:t>
      </w:r>
      <w:r>
        <w:rPr>
          <w:b/>
          <w:bCs/>
          <w:sz w:val="28"/>
          <w:szCs w:val="28"/>
        </w:rPr>
        <w:fldChar w:fldCharType="end"/>
      </w:r>
    </w:p>
    <w:p w:rsidR="001C32A0" w:rsidRDefault="001C32A0">
      <w:pPr>
        <w:pBdr>
          <w:bottom w:val="single" w:sz="6" w:space="0" w:color="auto"/>
        </w:pBdr>
        <w:spacing w:before="400" w:line="240" w:lineRule="auto"/>
        <w:rPr>
          <w:b/>
          <w:bCs/>
          <w:sz w:val="28"/>
          <w:szCs w:val="28"/>
        </w:rPr>
      </w:pPr>
    </w:p>
    <w:p w:rsidR="001C32A0" w:rsidRDefault="001C32A0">
      <w:pPr>
        <w:spacing w:line="40" w:lineRule="exact"/>
        <w:rPr>
          <w:b/>
          <w:bCs/>
          <w:sz w:val="28"/>
          <w:szCs w:val="28"/>
        </w:rPr>
      </w:pPr>
    </w:p>
    <w:p w:rsidR="001C32A0" w:rsidRDefault="001C32A0">
      <w:pPr>
        <w:pBdr>
          <w:top w:val="single" w:sz="12" w:space="0" w:color="auto"/>
        </w:pBdr>
        <w:spacing w:line="240" w:lineRule="auto"/>
        <w:rPr>
          <w:b/>
          <w:bCs/>
          <w:sz w:val="28"/>
          <w:szCs w:val="28"/>
        </w:rPr>
      </w:pPr>
      <w:bookmarkStart w:id="3" w:name="_GoBack"/>
      <w:bookmarkEnd w:id="3"/>
    </w:p>
    <w:p w:rsidR="001C32A0" w:rsidRDefault="006937CB">
      <w:pPr>
        <w:pStyle w:val="Page1"/>
      </w:pPr>
      <w:r>
        <w:lastRenderedPageBreak/>
        <w:t>An Act to impose renewable energy certificate charge, and for related purposes</w:t>
      </w:r>
    </w:p>
    <w:p w:rsidR="001C32A0" w:rsidRDefault="006937CB">
      <w:pPr>
        <w:spacing w:before="120"/>
      </w:pPr>
      <w:r>
        <w:t>[</w:t>
      </w:r>
      <w:r>
        <w:rPr>
          <w:i/>
          <w:iCs/>
        </w:rPr>
        <w:t>Assented to 26 October 2000</w:t>
      </w:r>
      <w:r>
        <w:t>]</w:t>
      </w:r>
    </w:p>
    <w:p w:rsidR="001C32A0" w:rsidRDefault="006937CB">
      <w:pPr>
        <w:spacing w:before="240" w:line="240" w:lineRule="auto"/>
        <w:outlineLvl w:val="0"/>
        <w:rPr>
          <w:sz w:val="32"/>
          <w:szCs w:val="32"/>
        </w:rPr>
      </w:pPr>
      <w:r>
        <w:rPr>
          <w:sz w:val="32"/>
          <w:szCs w:val="32"/>
        </w:rPr>
        <w:t>The Parliament of Australia enacts:</w:t>
      </w:r>
    </w:p>
    <w:p w:rsidR="001C32A0" w:rsidRDefault="006937CB">
      <w:pPr>
        <w:pStyle w:val="Heading5"/>
      </w:pPr>
      <w:bookmarkStart w:id="4" w:name="_Toc484863983"/>
      <w:r>
        <w:rPr>
          <w:rStyle w:val="CharSectno"/>
        </w:rPr>
        <w:t>1</w:t>
      </w:r>
      <w:r>
        <w:t xml:space="preserve">  Short title</w:t>
      </w:r>
      <w:bookmarkEnd w:id="4"/>
    </w:p>
    <w:p w:rsidR="001C32A0" w:rsidRDefault="006937CB">
      <w:pPr>
        <w:pStyle w:val="subsection"/>
      </w:pPr>
      <w:r>
        <w:tab/>
      </w:r>
      <w:r>
        <w:tab/>
        <w:t xml:space="preserve">This Act may be cited as the </w:t>
      </w:r>
      <w:r>
        <w:rPr>
          <w:i/>
          <w:iCs/>
        </w:rPr>
        <w:t>Renewable Energy (Electricity) (Charge) Act 2000</w:t>
      </w:r>
      <w:r>
        <w:t>.</w:t>
      </w:r>
    </w:p>
    <w:p w:rsidR="001C32A0" w:rsidRDefault="006937CB">
      <w:pPr>
        <w:pStyle w:val="Heading5"/>
      </w:pPr>
      <w:bookmarkStart w:id="5" w:name="_Toc484863984"/>
      <w:r>
        <w:rPr>
          <w:rStyle w:val="CharSectno"/>
        </w:rPr>
        <w:t>2</w:t>
      </w:r>
      <w:r>
        <w:t xml:space="preserve">  Commencement</w:t>
      </w:r>
      <w:bookmarkEnd w:id="5"/>
    </w:p>
    <w:p w:rsidR="001C32A0" w:rsidRDefault="006937CB">
      <w:pPr>
        <w:pStyle w:val="subsection"/>
      </w:pPr>
      <w:r>
        <w:tab/>
      </w:r>
      <w:r>
        <w:tab/>
        <w:t xml:space="preserve">This Act commences at the same time as section 1 of the </w:t>
      </w:r>
      <w:r>
        <w:rPr>
          <w:i/>
          <w:iCs/>
        </w:rPr>
        <w:t>Renewable Energy (Electricity) Act 2000</w:t>
      </w:r>
      <w:r>
        <w:t>.</w:t>
      </w:r>
    </w:p>
    <w:p w:rsidR="001C32A0" w:rsidRDefault="006937CB">
      <w:pPr>
        <w:pStyle w:val="Heading5"/>
      </w:pPr>
      <w:bookmarkStart w:id="6" w:name="_Toc484863985"/>
      <w:r>
        <w:rPr>
          <w:rStyle w:val="CharSectno"/>
        </w:rPr>
        <w:t>3</w:t>
      </w:r>
      <w:r>
        <w:t xml:space="preserve">  Definitions</w:t>
      </w:r>
      <w:bookmarkEnd w:id="6"/>
    </w:p>
    <w:p w:rsidR="001C32A0" w:rsidRDefault="006937CB">
      <w:pPr>
        <w:pStyle w:val="subsection"/>
      </w:pPr>
      <w:r>
        <w:tab/>
      </w:r>
      <w:r>
        <w:tab/>
        <w:t xml:space="preserve">An expression used in this Act and in the </w:t>
      </w:r>
      <w:r>
        <w:rPr>
          <w:i/>
          <w:iCs/>
        </w:rPr>
        <w:t>Renewable Energy (Electricity) Act 2000</w:t>
      </w:r>
      <w:r>
        <w:t xml:space="preserve"> has the same meaning in this Act as it has in that Act.</w:t>
      </w:r>
    </w:p>
    <w:p w:rsidR="001C32A0" w:rsidRDefault="006937CB">
      <w:pPr>
        <w:pStyle w:val="Heading5"/>
      </w:pPr>
      <w:bookmarkStart w:id="7" w:name="_Toc484863986"/>
      <w:r>
        <w:rPr>
          <w:rStyle w:val="CharSectno"/>
        </w:rPr>
        <w:t>4</w:t>
      </w:r>
      <w:r>
        <w:t xml:space="preserve">  Act to bind Crown</w:t>
      </w:r>
      <w:bookmarkEnd w:id="7"/>
    </w:p>
    <w:p w:rsidR="001C32A0" w:rsidRDefault="006937CB">
      <w:pPr>
        <w:pStyle w:val="subsection"/>
      </w:pPr>
      <w:r>
        <w:tab/>
      </w:r>
      <w:r>
        <w:tab/>
        <w:t>This Act binds the Crown in right of each of the States, of the Australian Capital Territory, of the Northern Territory and of Norfolk Island. However, it does not bind the Crown in right of the Commonwealth.</w:t>
      </w:r>
    </w:p>
    <w:p w:rsidR="001C32A0" w:rsidRDefault="006937CB">
      <w:pPr>
        <w:pStyle w:val="Heading5"/>
      </w:pPr>
      <w:bookmarkStart w:id="8" w:name="_Toc484863987"/>
      <w:r>
        <w:rPr>
          <w:rStyle w:val="CharSectno"/>
        </w:rPr>
        <w:t>5</w:t>
      </w:r>
      <w:r>
        <w:t xml:space="preserve">  Imposition</w:t>
      </w:r>
      <w:bookmarkEnd w:id="8"/>
    </w:p>
    <w:p w:rsidR="001C32A0" w:rsidRDefault="006937CB">
      <w:pPr>
        <w:pStyle w:val="subsection"/>
      </w:pPr>
      <w:r>
        <w:tab/>
      </w:r>
      <w:r>
        <w:tab/>
        <w:t xml:space="preserve">The charge that is payable under the </w:t>
      </w:r>
      <w:r>
        <w:rPr>
          <w:i/>
          <w:iCs/>
        </w:rPr>
        <w:t>Renewable Energy (Electricity) Act 2000</w:t>
      </w:r>
      <w:r>
        <w:t xml:space="preserve"> is imposed by this section under the name of renewable energy shortfall charge.</w:t>
      </w:r>
    </w:p>
    <w:p w:rsidR="001C32A0" w:rsidRDefault="006937CB">
      <w:pPr>
        <w:pStyle w:val="Heading5"/>
      </w:pPr>
      <w:bookmarkStart w:id="9" w:name="_Toc484863988"/>
      <w:r>
        <w:rPr>
          <w:rStyle w:val="CharSectno"/>
        </w:rPr>
        <w:lastRenderedPageBreak/>
        <w:t>6</w:t>
      </w:r>
      <w:r>
        <w:t xml:space="preserve">  Rates of charge</w:t>
      </w:r>
      <w:bookmarkEnd w:id="9"/>
    </w:p>
    <w:p w:rsidR="001C32A0" w:rsidRDefault="006937CB">
      <w:pPr>
        <w:pStyle w:val="subsection"/>
      </w:pPr>
      <w:r>
        <w:tab/>
      </w:r>
      <w:r>
        <w:tab/>
        <w:t xml:space="preserve">The </w:t>
      </w:r>
      <w:r>
        <w:rPr>
          <w:b/>
          <w:bCs/>
          <w:i/>
          <w:iCs/>
        </w:rPr>
        <w:t>rate of charge</w:t>
      </w:r>
      <w:r>
        <w:t xml:space="preserve"> in relation to the year commencing on 1 January 2001 and all later years is $40 per MWh.</w:t>
      </w:r>
    </w:p>
    <w:p w:rsidR="001C32A0" w:rsidRDefault="006937CB">
      <w:pPr>
        <w:pStyle w:val="Heading5"/>
      </w:pPr>
      <w:bookmarkStart w:id="10" w:name="_Toc484863989"/>
      <w:r>
        <w:rPr>
          <w:rStyle w:val="CharSectno"/>
        </w:rPr>
        <w:t>7</w:t>
      </w:r>
      <w:r>
        <w:t xml:space="preserve">  Act does not impose a tax on property of a State</w:t>
      </w:r>
      <w:bookmarkEnd w:id="10"/>
    </w:p>
    <w:p w:rsidR="001C32A0" w:rsidRDefault="006937CB">
      <w:pPr>
        <w:pStyle w:val="subsection"/>
      </w:pPr>
      <w:r>
        <w:tab/>
        <w:t>(1)</w:t>
      </w:r>
      <w:r>
        <w:tab/>
        <w:t>This Act does not impose a tax on property of any kind belonging to a State.</w:t>
      </w:r>
    </w:p>
    <w:p w:rsidR="001C32A0" w:rsidRDefault="006937CB">
      <w:pPr>
        <w:pStyle w:val="subsection"/>
      </w:pPr>
      <w:r>
        <w:tab/>
        <w:t>(2)</w:t>
      </w:r>
      <w:r>
        <w:tab/>
        <w:t>In this section:</w:t>
      </w:r>
    </w:p>
    <w:p w:rsidR="001C32A0" w:rsidRDefault="006937CB">
      <w:pPr>
        <w:pStyle w:val="Definition"/>
      </w:pPr>
      <w:r>
        <w:rPr>
          <w:b/>
          <w:bCs/>
          <w:i/>
          <w:iCs/>
        </w:rPr>
        <w:t>property of any kind belonging to a State</w:t>
      </w:r>
      <w:r>
        <w:t xml:space="preserve"> has the same meaning as in section 114 of the Constitution.</w:t>
      </w:r>
    </w:p>
    <w:p w:rsidR="001C32A0" w:rsidRDefault="001C32A0"/>
    <w:p w:rsidR="001C32A0" w:rsidRDefault="001C32A0">
      <w:pPr>
        <w:sectPr w:rsidR="001C32A0">
          <w:headerReference w:type="even" r:id="rId16"/>
          <w:headerReference w:type="default" r:id="rId17"/>
          <w:footerReference w:type="even" r:id="rId18"/>
          <w:footerReference w:type="default" r:id="rId19"/>
          <w:headerReference w:type="first" r:id="rId20"/>
          <w:footerReference w:type="first" r:id="rId21"/>
          <w:pgSz w:w="11906" w:h="16838" w:code="9"/>
          <w:pgMar w:top="2381" w:right="2410" w:bottom="4252" w:left="2410" w:header="709" w:footer="3402" w:gutter="0"/>
          <w:pgNumType w:start="1"/>
          <w:cols w:space="709"/>
          <w:titlePg/>
        </w:sectPr>
      </w:pPr>
    </w:p>
    <w:p w:rsidR="001C32A0" w:rsidRDefault="006937CB">
      <w:pPr>
        <w:framePr w:w="947" w:h="325" w:hSpace="181" w:wrap="notBeside" w:vAnchor="page" w:hAnchor="page" w:x="2448" w:y="12241"/>
      </w:pPr>
      <w:r>
        <w:lastRenderedPageBreak/>
        <w:t>(95/00)</w:t>
      </w:r>
    </w:p>
    <w:p w:rsidR="001C32A0" w:rsidRDefault="001C32A0"/>
    <w:p w:rsidR="001C32A0" w:rsidRDefault="001C32A0"/>
    <w:p w:rsidR="001C32A0" w:rsidRDefault="006937CB">
      <w:pPr>
        <w:rPr>
          <w:i/>
          <w:iCs/>
        </w:rPr>
      </w:pPr>
      <w:r>
        <w:t>[</w:t>
      </w:r>
      <w:r>
        <w:rPr>
          <w:i/>
          <w:iCs/>
        </w:rPr>
        <w:t>Minister’s second reading speech made in—</w:t>
      </w:r>
    </w:p>
    <w:p w:rsidR="001C32A0" w:rsidRDefault="006937CB">
      <w:pPr>
        <w:rPr>
          <w:i/>
          <w:iCs/>
        </w:rPr>
      </w:pPr>
      <w:r>
        <w:rPr>
          <w:i/>
          <w:iCs/>
        </w:rPr>
        <w:t>House of Representatives on 22 June 2000</w:t>
      </w:r>
    </w:p>
    <w:p w:rsidR="001C32A0" w:rsidRDefault="006937CB">
      <w:r>
        <w:rPr>
          <w:i/>
          <w:iCs/>
        </w:rPr>
        <w:t>Senate on 14 August 2000</w:t>
      </w:r>
      <w:r>
        <w:t>]</w:t>
      </w:r>
    </w:p>
    <w:p w:rsidR="001C32A0" w:rsidRDefault="001C32A0"/>
    <w:p w:rsidR="001C32A0" w:rsidRDefault="001C32A0"/>
    <w:p w:rsidR="001C32A0" w:rsidRDefault="001C32A0"/>
    <w:p w:rsidR="001C32A0" w:rsidRDefault="001C32A0"/>
    <w:p w:rsidR="001C32A0" w:rsidRDefault="001C32A0"/>
    <w:p w:rsidR="001C32A0" w:rsidRDefault="001C32A0"/>
    <w:p w:rsidR="001C32A0" w:rsidRDefault="001C32A0"/>
    <w:sectPr w:rsidR="001C32A0">
      <w:headerReference w:type="first" r:id="rId22"/>
      <w:footerReference w:type="first" r:id="rId23"/>
      <w:pgSz w:w="11906" w:h="16838" w:code="9"/>
      <w:pgMar w:top="2381" w:right="2410" w:bottom="4252" w:left="2410" w:header="709" w:footer="3402"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2A0" w:rsidRDefault="006937CB">
      <w:pPr>
        <w:spacing w:line="240" w:lineRule="auto"/>
      </w:pPr>
      <w:r>
        <w:separator/>
      </w:r>
    </w:p>
  </w:endnote>
  <w:endnote w:type="continuationSeparator" w:id="0">
    <w:p w:rsidR="001C32A0" w:rsidRDefault="00693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2A0" w:rsidRDefault="001C3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2A0" w:rsidRDefault="001C32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2A0" w:rsidRDefault="001C32A0">
    <w:pPr>
      <w:pBdr>
        <w:top w:val="single" w:sz="6" w:space="1" w:color="auto"/>
      </w:pBdr>
      <w:rPr>
        <w:sz w:val="18"/>
        <w:szCs w:val="18"/>
      </w:rPr>
    </w:pPr>
  </w:p>
  <w:p w:rsidR="001C32A0" w:rsidRDefault="006937CB">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Renewable Energy (Electricity) (Charge) Act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129,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2</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2A0" w:rsidRDefault="001C32A0">
    <w:pPr>
      <w:pBdr>
        <w:top w:val="single" w:sz="6" w:space="1" w:color="auto"/>
      </w:pBdr>
      <w:rPr>
        <w:sz w:val="18"/>
        <w:szCs w:val="18"/>
      </w:rPr>
    </w:pPr>
  </w:p>
  <w:p w:rsidR="001C32A0" w:rsidRDefault="006937CB">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E43E45">
      <w:rPr>
        <w:i/>
        <w:iCs/>
        <w:noProof/>
        <w:sz w:val="18"/>
        <w:szCs w:val="18"/>
      </w:rPr>
      <w:t>Renewable Energy (Electricity) (Charge) Act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E43E45">
      <w:rPr>
        <w:i/>
        <w:iCs/>
        <w:noProof/>
        <w:sz w:val="18"/>
        <w:szCs w:val="18"/>
      </w:rPr>
      <w:t>No. 129, 2000</w:t>
    </w:r>
    <w:r>
      <w:rPr>
        <w:i/>
        <w:i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2A0" w:rsidRDefault="001C32A0">
    <w:pPr>
      <w:pBdr>
        <w:top w:val="single" w:sz="6" w:space="1" w:color="auto"/>
      </w:pBdr>
      <w:rPr>
        <w:sz w:val="18"/>
        <w:szCs w:val="18"/>
      </w:rPr>
    </w:pPr>
  </w:p>
  <w:p w:rsidR="001C32A0" w:rsidRDefault="006937CB">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E43E45">
      <w:rPr>
        <w:i/>
        <w:iCs/>
        <w:noProof/>
        <w:sz w:val="18"/>
        <w:szCs w:val="18"/>
      </w:rPr>
      <w:t>Renewable Energy (Electricity) (Charge) Act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E43E45">
      <w:rPr>
        <w:i/>
        <w:iCs/>
        <w:noProof/>
        <w:sz w:val="18"/>
        <w:szCs w:val="18"/>
      </w:rPr>
      <w:t>No. 129, 2000</w:t>
    </w:r>
    <w:r>
      <w:rPr>
        <w:i/>
        <w:i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2A0" w:rsidRDefault="001C32A0">
    <w:pPr>
      <w:pBdr>
        <w:top w:val="single" w:sz="6" w:space="1" w:color="auto"/>
      </w:pBdr>
      <w:rPr>
        <w:sz w:val="18"/>
        <w:szCs w:val="18"/>
      </w:rPr>
    </w:pPr>
  </w:p>
  <w:p w:rsidR="001C32A0" w:rsidRDefault="006937CB">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E43E45">
      <w:rPr>
        <w:i/>
        <w:iCs/>
        <w:noProof/>
        <w:sz w:val="18"/>
        <w:szCs w:val="18"/>
      </w:rPr>
      <w:t>Renewable Energy (Electricity) (Charge) Act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E43E45">
      <w:rPr>
        <w:i/>
        <w:iCs/>
        <w:noProof/>
        <w:sz w:val="18"/>
        <w:szCs w:val="18"/>
      </w:rPr>
      <w:t>No. 129,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2A0" w:rsidRDefault="001C32A0">
    <w:pPr>
      <w:pBdr>
        <w:top w:val="single" w:sz="6" w:space="1" w:color="auto"/>
      </w:pBdr>
      <w:rPr>
        <w:sz w:val="18"/>
        <w:szCs w:val="18"/>
      </w:rPr>
    </w:pPr>
  </w:p>
  <w:p w:rsidR="001C32A0" w:rsidRDefault="006937CB">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E43E45">
      <w:rPr>
        <w:i/>
        <w:iCs/>
        <w:noProof/>
        <w:sz w:val="18"/>
        <w:szCs w:val="18"/>
      </w:rPr>
      <w:t>Renewable Energy (Electricity) (Charge) Act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E43E45">
      <w:rPr>
        <w:i/>
        <w:iCs/>
        <w:noProof/>
        <w:sz w:val="18"/>
        <w:szCs w:val="18"/>
      </w:rPr>
      <w:t>No. 129,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2A0" w:rsidRDefault="001C32A0">
    <w:pPr>
      <w:pBdr>
        <w:top w:val="single" w:sz="6" w:space="1" w:color="auto"/>
      </w:pBdr>
      <w:rPr>
        <w:sz w:val="18"/>
        <w:szCs w:val="18"/>
      </w:rPr>
    </w:pPr>
  </w:p>
  <w:p w:rsidR="001C32A0" w:rsidRDefault="006937CB">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E43E45">
      <w:rPr>
        <w:i/>
        <w:iCs/>
        <w:noProof/>
        <w:sz w:val="18"/>
        <w:szCs w:val="18"/>
      </w:rPr>
      <w:t>Renewable Energy (Electricity) (Charge) Act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E43E45">
      <w:rPr>
        <w:i/>
        <w:iCs/>
        <w:noProof/>
        <w:sz w:val="18"/>
        <w:szCs w:val="18"/>
      </w:rPr>
      <w:t>No. 129, 2000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4</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2A0" w:rsidRDefault="006937CB">
      <w:pPr>
        <w:spacing w:line="240" w:lineRule="auto"/>
      </w:pPr>
      <w:r>
        <w:separator/>
      </w:r>
    </w:p>
  </w:footnote>
  <w:footnote w:type="continuationSeparator" w:id="0">
    <w:p w:rsidR="001C32A0" w:rsidRDefault="00693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2A0" w:rsidRDefault="001C3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2A0" w:rsidRDefault="001C32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2A0" w:rsidRDefault="001C32A0">
    <w:pPr>
      <w:pBdr>
        <w:bottom w:val="single" w:sz="12"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2A0" w:rsidRDefault="001C32A0">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2A0" w:rsidRDefault="006937CB">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end"/>
    </w:r>
  </w:p>
  <w:p w:rsidR="001C32A0" w:rsidRDefault="006937CB">
    <w:pPr>
      <w:rPr>
        <w:b/>
        <w:bCs/>
        <w:sz w:val="20"/>
        <w:szCs w:val="20"/>
      </w:rPr>
    </w:pPr>
    <w:r>
      <w:rPr>
        <w:b/>
        <w:bCs/>
        <w:sz w:val="20"/>
        <w:szCs w:val="20"/>
      </w:rPr>
      <w:fldChar w:fldCharType="begin"/>
    </w:r>
    <w:r>
      <w:rPr>
        <w:b/>
        <w:bCs/>
        <w:sz w:val="20"/>
        <w:szCs w:val="20"/>
      </w:rPr>
      <w:instrText xml:space="preserve"> STYLEREF CharPartNo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CharPartText </w:instrText>
    </w:r>
    <w:r>
      <w:rPr>
        <w:sz w:val="20"/>
        <w:szCs w:val="20"/>
      </w:rPr>
      <w:fldChar w:fldCharType="end"/>
    </w:r>
  </w:p>
  <w:p w:rsidR="001C32A0" w:rsidRDefault="006937CB">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end"/>
    </w:r>
  </w:p>
  <w:p w:rsidR="001C32A0" w:rsidRDefault="001C32A0">
    <w:pPr>
      <w:rPr>
        <w:b/>
        <w:bCs/>
        <w:sz w:val="24"/>
        <w:szCs w:val="24"/>
      </w:rPr>
    </w:pPr>
  </w:p>
  <w:p w:rsidR="001C32A0" w:rsidRDefault="006937CB">
    <w:pPr>
      <w:pBdr>
        <w:bottom w:val="single" w:sz="6" w:space="1" w:color="auto"/>
      </w:pBdr>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sidR="00E43E45">
      <w:rPr>
        <w:noProof/>
        <w:sz w:val="24"/>
        <w:szCs w:val="24"/>
      </w:rPr>
      <w:t>1</w:t>
    </w:r>
    <w:r>
      <w:rPr>
        <w:sz w:val="24"/>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2A0" w:rsidRDefault="006937CB">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end"/>
    </w:r>
  </w:p>
  <w:p w:rsidR="001C32A0" w:rsidRDefault="006937CB">
    <w:pPr>
      <w:jc w:val="right"/>
      <w:rPr>
        <w:b/>
        <w:bCs/>
        <w:sz w:val="20"/>
        <w:szCs w:val="20"/>
      </w:rPr>
    </w:pPr>
    <w:r>
      <w:rPr>
        <w:sz w:val="20"/>
        <w:szCs w:val="20"/>
      </w:rPr>
      <w:fldChar w:fldCharType="begin"/>
    </w:r>
    <w:r>
      <w:rPr>
        <w:sz w:val="20"/>
        <w:szCs w:val="20"/>
      </w:rPr>
      <w:instrText xml:space="preserve"> STYLEREF CharPartText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end"/>
    </w:r>
  </w:p>
  <w:p w:rsidR="001C32A0" w:rsidRDefault="006937CB">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1C32A0" w:rsidRDefault="001C32A0">
    <w:pPr>
      <w:jc w:val="right"/>
      <w:rPr>
        <w:b/>
        <w:bCs/>
        <w:sz w:val="24"/>
        <w:szCs w:val="24"/>
      </w:rPr>
    </w:pPr>
  </w:p>
  <w:p w:rsidR="001C32A0" w:rsidRDefault="006937CB">
    <w:pPr>
      <w:pBdr>
        <w:bottom w:val="single" w:sz="6" w:space="1" w:color="auto"/>
      </w:pBdr>
      <w:jc w:val="right"/>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sidR="00E43E45">
      <w:rPr>
        <w:noProof/>
        <w:sz w:val="24"/>
        <w:szCs w:val="24"/>
      </w:rPr>
      <w:t>6</w:t>
    </w:r>
    <w:r>
      <w:rPr>
        <w:sz w:val="24"/>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2A0" w:rsidRDefault="001C32A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2A0" w:rsidRDefault="006937CB">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end"/>
    </w:r>
    <w:r>
      <w:rPr>
        <w:sz w:val="20"/>
        <w:szCs w:val="20"/>
      </w:rPr>
      <w:fldChar w:fldCharType="begin"/>
    </w:r>
    <w:r>
      <w:rPr>
        <w:sz w:val="20"/>
        <w:szCs w:val="20"/>
      </w:rPr>
      <w:instrText xml:space="preserve"> STYLEREF CharChapText </w:instrText>
    </w:r>
    <w:r>
      <w:rPr>
        <w:sz w:val="20"/>
        <w:szCs w:val="20"/>
      </w:rPr>
      <w:fldChar w:fldCharType="end"/>
    </w:r>
  </w:p>
  <w:p w:rsidR="001C32A0" w:rsidRDefault="006937CB">
    <w:pPr>
      <w:rPr>
        <w:b/>
        <w:bCs/>
        <w:sz w:val="20"/>
        <w:szCs w:val="20"/>
      </w:rPr>
    </w:pPr>
    <w:r>
      <w:rPr>
        <w:b/>
        <w:bCs/>
        <w:sz w:val="20"/>
        <w:szCs w:val="20"/>
      </w:rPr>
      <w:fldChar w:fldCharType="begin"/>
    </w:r>
    <w:r>
      <w:rPr>
        <w:b/>
        <w:bCs/>
        <w:sz w:val="20"/>
        <w:szCs w:val="20"/>
      </w:rPr>
      <w:instrText xml:space="preserve"> STYLEREF CharPartNo </w:instrText>
    </w:r>
    <w:r>
      <w:rPr>
        <w:b/>
        <w:bCs/>
        <w:sz w:val="20"/>
        <w:szCs w:val="20"/>
      </w:rPr>
      <w:fldChar w:fldCharType="end"/>
    </w:r>
    <w:r>
      <w:rPr>
        <w:sz w:val="20"/>
        <w:szCs w:val="20"/>
      </w:rPr>
      <w:fldChar w:fldCharType="begin"/>
    </w:r>
    <w:r>
      <w:rPr>
        <w:sz w:val="20"/>
        <w:szCs w:val="20"/>
      </w:rPr>
      <w:instrText xml:space="preserve"> STYLEREF CharPartText </w:instrText>
    </w:r>
    <w:r>
      <w:rPr>
        <w:sz w:val="20"/>
        <w:szCs w:val="20"/>
      </w:rPr>
      <w:fldChar w:fldCharType="end"/>
    </w:r>
  </w:p>
  <w:p w:rsidR="001C32A0" w:rsidRDefault="006937CB">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end"/>
    </w:r>
    <w:r>
      <w:rPr>
        <w:sz w:val="20"/>
        <w:szCs w:val="20"/>
      </w:rPr>
      <w:fldChar w:fldCharType="begin"/>
    </w:r>
    <w:r>
      <w:rPr>
        <w:sz w:val="20"/>
        <w:szCs w:val="20"/>
      </w:rPr>
      <w:instrText xml:space="preserve"> STYLEREF CharDivText </w:instrText>
    </w:r>
    <w:r>
      <w:rPr>
        <w:sz w:val="20"/>
        <w:szCs w:val="20"/>
      </w:rPr>
      <w:fldChar w:fldCharType="end"/>
    </w:r>
  </w:p>
  <w:p w:rsidR="001C32A0" w:rsidRDefault="001C32A0">
    <w:pPr>
      <w:rPr>
        <w:b/>
        <w:bCs/>
        <w:sz w:val="24"/>
        <w:szCs w:val="24"/>
      </w:rPr>
    </w:pPr>
  </w:p>
  <w:p w:rsidR="001C32A0" w:rsidRDefault="001C32A0">
    <w:pPr>
      <w:pBdr>
        <w:bottom w:val="single" w:sz="6" w:space="1" w:color="auto"/>
      </w:pBdr>
      <w:rPr>
        <w:sz w:val="24"/>
        <w:szCs w:val="24"/>
      </w:rPr>
    </w:pPr>
  </w:p>
  <w:p w:rsidR="001C32A0" w:rsidRDefault="001C32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16D8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5C1E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9ABC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A8DB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C27E9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4DEEF608"/>
    <w:lvl w:ilvl="0">
      <w:start w:val="1"/>
      <w:numFmt w:val="bullet"/>
      <w:pStyle w:val="ListBullet2"/>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093A4CE0"/>
    <w:lvl w:ilvl="0">
      <w:start w:val="1"/>
      <w:numFmt w:val="bullet"/>
      <w:pStyle w:val="ListBullet5"/>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6A720894"/>
    <w:lvl w:ilvl="0">
      <w:start w:val="1"/>
      <w:numFmt w:val="bullet"/>
      <w:pStyle w:val="List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408C92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0AA58C"/>
    <w:lvl w:ilvl="0">
      <w:start w:val="1"/>
      <w:numFmt w:val="bullet"/>
      <w:pStyle w:val="ListBullet3"/>
      <w:lvlText w:val=""/>
      <w:lvlJc w:val="left"/>
      <w:pPr>
        <w:tabs>
          <w:tab w:val="num" w:pos="360"/>
        </w:tabs>
        <w:ind w:left="360" w:hanging="360"/>
      </w:pPr>
      <w:rPr>
        <w:rFonts w:ascii="Symbol" w:hAnsi="Symbol" w:cs="Symbol" w:hint="default"/>
      </w:rPr>
    </w:lvl>
  </w:abstractNum>
  <w:abstractNum w:abstractNumId="10" w15:restartNumberingAfterBreak="0">
    <w:nsid w:val="1F565067"/>
    <w:multiLevelType w:val="singleLevel"/>
    <w:tmpl w:val="C4D0FBA0"/>
    <w:lvl w:ilvl="0">
      <w:start w:val="1"/>
      <w:numFmt w:val="bullet"/>
      <w:pStyle w:val="TLPNotebullet"/>
      <w:lvlText w:val=""/>
      <w:lvlJc w:val="left"/>
      <w:pPr>
        <w:tabs>
          <w:tab w:val="num" w:pos="360"/>
        </w:tabs>
        <w:ind w:left="360" w:hanging="360"/>
      </w:pPr>
      <w:rPr>
        <w:rFonts w:ascii="Symbol" w:hAnsi="Symbol" w:cs="Symbol" w:hint="default"/>
      </w:rPr>
    </w:lvl>
  </w:abstractNum>
  <w:abstractNum w:abstractNumId="11" w15:restartNumberingAfterBreak="0">
    <w:nsid w:val="795C104B"/>
    <w:multiLevelType w:val="singleLevel"/>
    <w:tmpl w:val="3FDE850A"/>
    <w:lvl w:ilvl="0">
      <w:start w:val="1"/>
      <w:numFmt w:val="bullet"/>
      <w:pStyle w:val="notebullet"/>
      <w:lvlText w:val=""/>
      <w:lvlJc w:val="left"/>
      <w:pPr>
        <w:tabs>
          <w:tab w:val="num" w:pos="2118"/>
        </w:tabs>
        <w:ind w:left="360" w:firstLine="1398"/>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10"/>
  </w:num>
  <w:num w:numId="17">
    <w:abstractNumId w:val="8"/>
  </w:num>
  <w:num w:numId="18">
    <w:abstractNumId w:val="3"/>
  </w:num>
  <w:num w:numId="19">
    <w:abstractNumId w:val="2"/>
  </w:num>
  <w:num w:numId="20">
    <w:abstractNumId w:val="1"/>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EE"/>
    <w:rsid w:val="001C32A0"/>
    <w:rsid w:val="00307804"/>
    <w:rsid w:val="00625EEE"/>
    <w:rsid w:val="006937CB"/>
    <w:rsid w:val="00C168AE"/>
    <w:rsid w:val="00E43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60" w:lineRule="atLeast"/>
    </w:pPr>
    <w:rPr>
      <w:rFonts w:ascii="Times" w:hAnsi="Times" w:cs="Times"/>
      <w:lang w:val="en-AU"/>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lang w:val="en-AU"/>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lang w:val="en-AU"/>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lang w:val="en-AU"/>
    </w:rPr>
  </w:style>
  <w:style w:type="character" w:customStyle="1" w:styleId="Heading4Char">
    <w:name w:val="Heading 4 Char"/>
    <w:aliases w:val="sd Char"/>
    <w:basedOn w:val="DefaultParagraphFont"/>
    <w:link w:val="Heading4"/>
    <w:uiPriority w:val="9"/>
    <w:semiHidden/>
    <w:rPr>
      <w:b/>
      <w:bCs/>
      <w:sz w:val="28"/>
      <w:szCs w:val="28"/>
      <w:lang w:val="en-AU"/>
    </w:rPr>
  </w:style>
  <w:style w:type="character" w:customStyle="1" w:styleId="Heading5Char">
    <w:name w:val="Heading 5 Char"/>
    <w:aliases w:val="s Char"/>
    <w:basedOn w:val="DefaultParagraphFont"/>
    <w:link w:val="Heading5"/>
    <w:uiPriority w:val="9"/>
    <w:semiHidden/>
    <w:rPr>
      <w:b/>
      <w:bCs/>
      <w:i/>
      <w:iCs/>
      <w:sz w:val="26"/>
      <w:szCs w:val="26"/>
      <w:lang w:val="en-AU"/>
    </w:rPr>
  </w:style>
  <w:style w:type="character" w:customStyle="1" w:styleId="Heading6Char">
    <w:name w:val="Heading 6 Char"/>
    <w:aliases w:val="as Char"/>
    <w:basedOn w:val="DefaultParagraphFont"/>
    <w:link w:val="Heading6"/>
    <w:uiPriority w:val="9"/>
    <w:semiHidden/>
    <w:rPr>
      <w:b/>
      <w:bCs/>
      <w:lang w:val="en-AU"/>
    </w:rPr>
  </w:style>
  <w:style w:type="character" w:customStyle="1" w:styleId="Heading7Char">
    <w:name w:val="Heading 7 Char"/>
    <w:aliases w:val="ap Char"/>
    <w:basedOn w:val="DefaultParagraphFont"/>
    <w:link w:val="Heading7"/>
    <w:uiPriority w:val="9"/>
    <w:semiHidden/>
    <w:rPr>
      <w:sz w:val="24"/>
      <w:szCs w:val="24"/>
      <w:lang w:val="en-AU"/>
    </w:rPr>
  </w:style>
  <w:style w:type="character" w:customStyle="1" w:styleId="Heading8Char">
    <w:name w:val="Heading 8 Char"/>
    <w:aliases w:val="ad Char"/>
    <w:basedOn w:val="DefaultParagraphFont"/>
    <w:link w:val="Heading8"/>
    <w:uiPriority w:val="9"/>
    <w:semiHidden/>
    <w:rPr>
      <w:i/>
      <w:iCs/>
      <w:sz w:val="24"/>
      <w:szCs w:val="24"/>
      <w:lang w:val="en-AU"/>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lang w:val="en-AU"/>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lang w:val="en-AU"/>
    </w:rPr>
  </w:style>
  <w:style w:type="paragraph" w:customStyle="1" w:styleId="ShortT">
    <w:name w:val="ShortT"/>
    <w:basedOn w:val="Normal"/>
    <w:next w:val="Normal"/>
    <w:uiPriority w:val="99"/>
    <w:pPr>
      <w:spacing w:before="360"/>
    </w:pPr>
    <w:rPr>
      <w:b/>
      <w:bCs/>
      <w:sz w:val="40"/>
      <w:szCs w:val="40"/>
    </w:rPr>
  </w:style>
  <w:style w:type="paragraph" w:customStyle="1" w:styleId="Actno">
    <w:name w:val="Actno"/>
    <w:basedOn w:val="UpdateDate"/>
    <w:next w:val="Normal"/>
    <w:uiPriority w:val="99"/>
    <w:rPr>
      <w:b/>
      <w:bCs/>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lang w:val="en-AU"/>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lang w:val="en-AU"/>
    </w:rPr>
  </w:style>
  <w:style w:type="paragraph" w:customStyle="1" w:styleId="Formula">
    <w:name w:val="Formula"/>
    <w:basedOn w:val="Normal"/>
    <w:uiPriority w:val="99"/>
    <w:pPr>
      <w:ind w:left="1134"/>
    </w:pPr>
    <w:rPr>
      <w:sz w:val="20"/>
      <w:szCs w:val="20"/>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lang w:val="en-AU"/>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character" w:styleId="LineNumber">
    <w:name w:val="line number"/>
    <w:basedOn w:val="DefaultParagraphFont"/>
    <w:uiPriority w:val="99"/>
    <w:rPr>
      <w:rFonts w:ascii="Times" w:hAnsi="Times" w:cs="Times"/>
      <w:sz w:val="16"/>
      <w:szCs w:val="16"/>
    </w:rPr>
  </w:style>
  <w:style w:type="paragraph" w:styleId="ListBullet">
    <w:name w:val="List Bullet"/>
    <w:basedOn w:val="Normal"/>
    <w:autoRedefine/>
    <w:uiPriority w:val="99"/>
    <w:pPr>
      <w:numPr>
        <w:numId w:val="2"/>
      </w:numPr>
      <w:tabs>
        <w:tab w:val="clear" w:pos="643"/>
      </w:tabs>
      <w:ind w:left="284" w:hanging="284"/>
    </w:pPr>
  </w:style>
  <w:style w:type="paragraph" w:styleId="ListBullet2">
    <w:name w:val="List Bullet 2"/>
    <w:basedOn w:val="Normal"/>
    <w:autoRedefine/>
    <w:uiPriority w:val="99"/>
    <w:pPr>
      <w:numPr>
        <w:numId w:val="4"/>
      </w:numPr>
      <w:tabs>
        <w:tab w:val="clear" w:pos="1209"/>
        <w:tab w:val="num" w:pos="643"/>
      </w:tabs>
      <w:ind w:left="643"/>
    </w:pPr>
  </w:style>
  <w:style w:type="paragraph" w:styleId="ListBullet3">
    <w:name w:val="List Bullet 3"/>
    <w:basedOn w:val="Normal"/>
    <w:autoRedefine/>
    <w:uiPriority w:val="99"/>
    <w:pPr>
      <w:numPr>
        <w:numId w:val="6"/>
      </w:numPr>
      <w:tabs>
        <w:tab w:val="clear" w:pos="360"/>
        <w:tab w:val="num" w:pos="926"/>
      </w:tabs>
      <w:ind w:left="926"/>
    </w:pPr>
  </w:style>
  <w:style w:type="paragraph" w:styleId="ListBullet4">
    <w:name w:val="List Bullet 4"/>
    <w:basedOn w:val="Normal"/>
    <w:autoRedefine/>
    <w:uiPriority w:val="99"/>
    <w:pPr>
      <w:tabs>
        <w:tab w:val="num" w:pos="643"/>
        <w:tab w:val="num" w:pos="1209"/>
      </w:tabs>
      <w:ind w:left="1209" w:hanging="360"/>
    </w:pPr>
  </w:style>
  <w:style w:type="paragraph" w:styleId="ListBullet5">
    <w:name w:val="List Bullet 5"/>
    <w:basedOn w:val="Normal"/>
    <w:autoRedefine/>
    <w:uiPriority w:val="99"/>
    <w:pPr>
      <w:numPr>
        <w:numId w:val="10"/>
      </w:numPr>
      <w:tabs>
        <w:tab w:val="num" w:pos="1492"/>
      </w:tabs>
      <w:ind w:left="1492"/>
    </w:pPr>
  </w:style>
  <w:style w:type="paragraph" w:customStyle="1" w:styleId="LongT">
    <w:name w:val="LongT"/>
    <w:basedOn w:val="Normal"/>
    <w:uiPriority w:val="99"/>
    <w:rPr>
      <w:b/>
      <w:bCs/>
      <w:sz w:val="32"/>
      <w:szCs w:val="32"/>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ge1">
    <w:name w:val="Page1"/>
    <w:basedOn w:val="Normal"/>
    <w:uiPriority w:val="99"/>
    <w:pPr>
      <w:spacing w:before="56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16"/>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styleId="TOC1">
    <w:name w:val="toc 1"/>
    <w:basedOn w:val="Heading1"/>
    <w:next w:val="Normal"/>
    <w:uiPriority w:val="99"/>
    <w:pPr>
      <w:tabs>
        <w:tab w:val="right" w:pos="7088"/>
      </w:tabs>
      <w:spacing w:before="120" w:line="240" w:lineRule="auto"/>
      <w:ind w:left="1474" w:right="567" w:hanging="1474"/>
      <w:outlineLvl w:val="9"/>
    </w:pPr>
    <w:rPr>
      <w:sz w:val="28"/>
      <w:szCs w:val="28"/>
    </w:rPr>
  </w:style>
  <w:style w:type="paragraph" w:styleId="TOC2">
    <w:name w:val="toc 2"/>
    <w:basedOn w:val="Heading2"/>
    <w:next w:val="Normal"/>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9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line="240" w:lineRule="auto"/>
      <w:ind w:left="851" w:right="567" w:firstLine="0"/>
      <w:outlineLvl w:val="9"/>
    </w:pPr>
    <w:rPr>
      <w:b w:val="0"/>
      <w:bCs w:val="0"/>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ection">
    <w:name w:val="TofSects(Section)"/>
    <w:basedOn w:val="TOC5"/>
    <w:uiPriority w:val="99"/>
    <w:pPr>
      <w:tabs>
        <w:tab w:val="clear" w:pos="7088"/>
      </w:tabs>
      <w:ind w:left="1588" w:right="0" w:hanging="794"/>
    </w:p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lang w:val="en-AU"/>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TableAA">
    <w:name w:val="Table(AA)"/>
    <w:aliases w:val="taaa"/>
    <w:basedOn w:val="Tablei"/>
    <w:uiPriority w:val="99"/>
    <w:pPr>
      <w:tabs>
        <w:tab w:val="clear" w:pos="970"/>
      </w:tabs>
      <w:ind w:left="1055"/>
    </w:p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UpdateDate">
    <w:name w:val="UpdateDate"/>
    <w:basedOn w:val="Normal"/>
    <w:uiPriority w:val="99"/>
    <w:pPr>
      <w:spacing w:before="240"/>
    </w:pPr>
    <w:rPr>
      <w:sz w:val="24"/>
      <w:szCs w:val="24"/>
    </w:rPr>
  </w:style>
  <w:style w:type="paragraph" w:customStyle="1" w:styleId="CoverActNo">
    <w:name w:val="CoverActNo"/>
    <w:basedOn w:val="UpdateDate"/>
    <w:uiPriority w:val="99"/>
    <w:rPr>
      <w:b/>
      <w:bCs/>
    </w:rPr>
  </w:style>
  <w:style w:type="paragraph" w:customStyle="1" w:styleId="Contents">
    <w:name w:val="Contents"/>
    <w:basedOn w:val="Normal"/>
    <w:next w:val="Normal"/>
    <w:uiPriority w:val="99"/>
    <w:pPr>
      <w:spacing w:line="240" w:lineRule="auto"/>
    </w:pPr>
    <w:rPr>
      <w:sz w:val="36"/>
      <w:szCs w:val="36"/>
    </w:rPr>
  </w:style>
  <w:style w:type="paragraph" w:customStyle="1" w:styleId="ReprintDate">
    <w:name w:val="ReprintDate"/>
    <w:basedOn w:val="Normal"/>
    <w:uiPriority w:val="99"/>
    <w:pPr>
      <w:spacing w:before="240"/>
    </w:pPr>
    <w:rPr>
      <w:b/>
      <w:bCs/>
      <w:sz w:val="28"/>
      <w:szCs w:val="28"/>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EndNote">
    <w:name w:val="EndNote"/>
    <w:basedOn w:val="Normal"/>
    <w:uiPriority w:val="99"/>
    <w:pPr>
      <w:spacing w:before="180"/>
    </w:p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mendOpt">
    <w:name w:val="TableOfAmendOpt"/>
    <w:basedOn w:val="TableOfAmend"/>
    <w:uiPriority w:val="99"/>
    <w:pPr>
      <w:spacing w:before="0"/>
    </w:pPr>
  </w:style>
  <w:style w:type="paragraph" w:customStyle="1" w:styleId="TableA0">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customStyle="1" w:styleId="notebullet">
    <w:name w:val="note(bullet)"/>
    <w:basedOn w:val="Normal"/>
    <w:uiPriority w:val="99"/>
    <w:pPr>
      <w:numPr>
        <w:numId w:val="22"/>
      </w:numPr>
      <w:tabs>
        <w:tab w:val="left" w:pos="2268"/>
      </w:tabs>
    </w:pPr>
    <w:rPr>
      <w:sz w:val="18"/>
      <w:szCs w:val="1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TOAmRenumbered">
    <w:name w:val="TOAmRenumbered"/>
    <w:basedOn w:val="TableOfAmend"/>
    <w:uiPriority w:val="99"/>
    <w:pPr>
      <w:ind w:left="0" w:firstLine="0"/>
    </w:pPr>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320</Words>
  <Characters>1779</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2023-09-19T00:39:00Z</dcterms:created>
  <dcterms:modified xsi:type="dcterms:W3CDTF">2023-09-19T23:18:00Z</dcterms:modified>
</cp:coreProperties>
</file>