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115BA" w14:textId="77777777" w:rsidR="002F5A10" w:rsidRDefault="002F5A10" w:rsidP="00900BC8">
      <w:r>
        <w:object w:dxaOrig="2146" w:dyaOrig="1561" w14:anchorId="2CBF2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85pt" o:ole="" fillcolor="window">
            <v:imagedata r:id="rId8" o:title=""/>
          </v:shape>
          <o:OLEObject Type="Embed" ProgID="Word.Picture.8" ShapeID="_x0000_i1025" DrawAspect="Content" ObjectID="_1798010819" r:id="rId9"/>
        </w:object>
      </w:r>
    </w:p>
    <w:p w14:paraId="566B4833" w14:textId="79C7FD58" w:rsidR="002F5A10" w:rsidRPr="00604092" w:rsidRDefault="002F5A10" w:rsidP="00900BC8">
      <w:pPr>
        <w:pStyle w:val="ShortT"/>
        <w:spacing w:before="240"/>
        <w:rPr>
          <w:lang w:val="es-CL"/>
        </w:rPr>
      </w:pPr>
      <w:r>
        <w:rPr>
          <w:lang w:val="es-CL"/>
        </w:rPr>
        <w:t>Horticulture Marketing and Research and Development Services (Repeals and Consequential Provisions) Act 2000</w:t>
      </w:r>
    </w:p>
    <w:p w14:paraId="6CBDBF3D" w14:textId="1A20DF11" w:rsidR="002F5A10" w:rsidRPr="00604092" w:rsidRDefault="002F5A10" w:rsidP="00900BC8">
      <w:pPr>
        <w:pStyle w:val="CompiledActNo"/>
        <w:spacing w:before="240"/>
        <w:rPr>
          <w:lang w:val="es-CL"/>
        </w:rPr>
      </w:pPr>
      <w:r>
        <w:rPr>
          <w:lang w:val="es-CL"/>
        </w:rPr>
        <w:t>No. 163, 2000</w:t>
      </w:r>
    </w:p>
    <w:p w14:paraId="465E8AE2" w14:textId="38ADF4F6" w:rsidR="002F5A10" w:rsidRPr="00376CEF" w:rsidRDefault="002F5A10" w:rsidP="00900BC8">
      <w:pPr>
        <w:spacing w:before="1000"/>
        <w:rPr>
          <w:rFonts w:cs="Arial"/>
          <w:b/>
          <w:sz w:val="32"/>
          <w:szCs w:val="32"/>
        </w:rPr>
      </w:pPr>
      <w:r w:rsidRPr="00604092">
        <w:rPr>
          <w:rFonts w:cs="Arial"/>
          <w:b/>
          <w:sz w:val="32"/>
          <w:szCs w:val="32"/>
          <w:lang w:val="es-CL"/>
        </w:rPr>
        <w:t xml:space="preserve">Compilation No. </w:t>
      </w:r>
      <w:r w:rsidRPr="00505FA3">
        <w:rPr>
          <w:rFonts w:cs="Arial"/>
          <w:b/>
          <w:sz w:val="32"/>
          <w:szCs w:val="32"/>
        </w:rPr>
        <w:fldChar w:fldCharType="begin"/>
      </w:r>
      <w:r w:rsidRPr="00604092">
        <w:rPr>
          <w:rFonts w:cs="Arial"/>
          <w:b/>
          <w:sz w:val="32"/>
          <w:szCs w:val="32"/>
          <w:lang w:val="es-CL"/>
        </w:rPr>
        <w:instrText xml:space="preserve"> DOCPROPERTY  CompilationNumber </w:instrText>
      </w:r>
      <w:r w:rsidRPr="00505FA3">
        <w:rPr>
          <w:rFonts w:cs="Arial"/>
          <w:b/>
          <w:sz w:val="32"/>
          <w:szCs w:val="32"/>
        </w:rPr>
        <w:fldChar w:fldCharType="separate"/>
      </w:r>
      <w:r w:rsidR="001814D2">
        <w:rPr>
          <w:rFonts w:cs="Arial"/>
          <w:b/>
          <w:sz w:val="32"/>
          <w:szCs w:val="32"/>
          <w:lang w:val="es-CL"/>
        </w:rPr>
        <w:t>6</w:t>
      </w:r>
      <w:r w:rsidRPr="00505FA3">
        <w:rPr>
          <w:rFonts w:cs="Arial"/>
          <w:b/>
          <w:sz w:val="32"/>
          <w:szCs w:val="32"/>
        </w:rPr>
        <w:fldChar w:fldCharType="end"/>
      </w:r>
    </w:p>
    <w:p w14:paraId="3402E688" w14:textId="22E83361" w:rsidR="002F5A10" w:rsidRDefault="002F5A10" w:rsidP="00C31A31">
      <w:pPr>
        <w:tabs>
          <w:tab w:val="left" w:pos="2551"/>
        </w:tabs>
        <w:spacing w:before="480"/>
        <w:rPr>
          <w:rFonts w:cs="Arial"/>
          <w:sz w:val="24"/>
        </w:rPr>
      </w:pPr>
      <w:r w:rsidRPr="00FD265D">
        <w:rPr>
          <w:rFonts w:cs="Arial"/>
          <w:b/>
          <w:sz w:val="24"/>
        </w:rPr>
        <w:t>Compilation date:</w:t>
      </w:r>
      <w:r>
        <w:rPr>
          <w:rFonts w:cs="Arial"/>
          <w:b/>
          <w:sz w:val="24"/>
        </w:rPr>
        <w:tab/>
      </w:r>
      <w:r w:rsidRPr="00720F0E">
        <w:rPr>
          <w:rFonts w:cs="Arial"/>
          <w:sz w:val="24"/>
        </w:rPr>
        <w:fldChar w:fldCharType="begin"/>
      </w:r>
      <w:r w:rsidR="001E5984">
        <w:rPr>
          <w:rFonts w:cs="Arial"/>
          <w:sz w:val="24"/>
        </w:rPr>
        <w:instrText>DOCPROPERTY StartDate \@ "d MMMM yyyy" \* MERGEFORMAT</w:instrText>
      </w:r>
      <w:r w:rsidRPr="00720F0E">
        <w:rPr>
          <w:rFonts w:cs="Arial"/>
          <w:sz w:val="24"/>
        </w:rPr>
        <w:fldChar w:fldCharType="separate"/>
      </w:r>
      <w:r w:rsidR="001F5C7F">
        <w:rPr>
          <w:rFonts w:cs="Arial"/>
          <w:sz w:val="24"/>
        </w:rPr>
        <w:t>1 January</w:t>
      </w:r>
      <w:r w:rsidR="001E5984">
        <w:rPr>
          <w:rFonts w:cs="Arial"/>
          <w:sz w:val="24"/>
        </w:rPr>
        <w:t xml:space="preserve"> 2025</w:t>
      </w:r>
      <w:r w:rsidRPr="00720F0E">
        <w:rPr>
          <w:rFonts w:cs="Arial"/>
          <w:sz w:val="24"/>
        </w:rPr>
        <w:fldChar w:fldCharType="end"/>
      </w:r>
    </w:p>
    <w:p w14:paraId="6E52AE7E" w14:textId="3C2189D3" w:rsidR="002F5A10" w:rsidRDefault="002F5A10" w:rsidP="001814D2">
      <w:pPr>
        <w:tabs>
          <w:tab w:val="left" w:pos="2551"/>
        </w:tabs>
        <w:spacing w:before="240" w:after="240"/>
        <w:ind w:left="2552" w:hanging="2552"/>
        <w:rPr>
          <w:rFonts w:cs="Arial"/>
          <w:sz w:val="24"/>
        </w:rPr>
      </w:pPr>
      <w:r>
        <w:rPr>
          <w:rFonts w:cs="Arial"/>
          <w:b/>
          <w:sz w:val="24"/>
        </w:rPr>
        <w:t>Includes amendments:</w:t>
      </w:r>
      <w:r w:rsidRPr="00FD265D">
        <w:rPr>
          <w:rFonts w:cs="Arial"/>
          <w:b/>
          <w:sz w:val="24"/>
        </w:rPr>
        <w:tab/>
      </w:r>
      <w:r w:rsidRPr="00720F0E">
        <w:rPr>
          <w:rFonts w:cs="Arial"/>
          <w:sz w:val="24"/>
        </w:rPr>
        <w:fldChar w:fldCharType="begin"/>
      </w:r>
      <w:r w:rsidRPr="00720F0E">
        <w:rPr>
          <w:rFonts w:cs="Arial"/>
          <w:sz w:val="24"/>
        </w:rPr>
        <w:instrText xml:space="preserve"> DOCPROPERTY IncludesUpTo </w:instrText>
      </w:r>
      <w:r w:rsidRPr="00720F0E">
        <w:rPr>
          <w:rFonts w:cs="Arial"/>
          <w:sz w:val="24"/>
        </w:rPr>
        <w:fldChar w:fldCharType="separate"/>
      </w:r>
      <w:r w:rsidR="001814D2">
        <w:rPr>
          <w:rFonts w:cs="Arial"/>
          <w:sz w:val="24"/>
        </w:rPr>
        <w:t>Act No. 60, 2024</w:t>
      </w:r>
      <w:r w:rsidRPr="00720F0E">
        <w:rPr>
          <w:rFonts w:cs="Arial"/>
          <w:sz w:val="24"/>
        </w:rPr>
        <w:fldChar w:fldCharType="end"/>
      </w:r>
    </w:p>
    <w:p w14:paraId="64886963" w14:textId="77777777" w:rsidR="002F5A10" w:rsidRPr="00DA25EC" w:rsidRDefault="002F5A10" w:rsidP="00900BC8">
      <w:pPr>
        <w:pageBreakBefore/>
        <w:rPr>
          <w:rFonts w:cs="Arial"/>
          <w:b/>
          <w:sz w:val="32"/>
          <w:szCs w:val="32"/>
        </w:rPr>
      </w:pPr>
      <w:r w:rsidRPr="00DA25EC">
        <w:rPr>
          <w:rFonts w:cs="Arial"/>
          <w:b/>
          <w:sz w:val="32"/>
          <w:szCs w:val="32"/>
        </w:rPr>
        <w:lastRenderedPageBreak/>
        <w:t>About this compilation</w:t>
      </w:r>
    </w:p>
    <w:p w14:paraId="603FE729" w14:textId="77777777" w:rsidR="002F5A10" w:rsidRPr="00DA25EC" w:rsidRDefault="002F5A10" w:rsidP="00900BC8">
      <w:pPr>
        <w:spacing w:before="240"/>
        <w:rPr>
          <w:rFonts w:cs="Arial"/>
        </w:rPr>
      </w:pPr>
      <w:r w:rsidRPr="00DA25EC">
        <w:rPr>
          <w:rFonts w:cs="Arial"/>
          <w:b/>
          <w:szCs w:val="22"/>
        </w:rPr>
        <w:t>This compilation</w:t>
      </w:r>
    </w:p>
    <w:p w14:paraId="0E93F4D4" w14:textId="31F7E576" w:rsidR="002F5A10" w:rsidRPr="00DA25EC" w:rsidRDefault="002F5A10" w:rsidP="00900BC8">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1814D2">
        <w:rPr>
          <w:rFonts w:cs="Arial"/>
          <w:i/>
          <w:noProof/>
          <w:szCs w:val="22"/>
        </w:rPr>
        <w:t>Horticulture Marketing and Research and Development Services (Repeals and Consequential Provisions) Act 2000</w:t>
      </w:r>
      <w:r w:rsidRPr="00DA25EC">
        <w:rPr>
          <w:rFonts w:cs="Arial"/>
          <w:i/>
          <w:szCs w:val="22"/>
        </w:rPr>
        <w:fldChar w:fldCharType="end"/>
      </w:r>
      <w:r w:rsidRPr="00DA25EC">
        <w:rPr>
          <w:rFonts w:cs="Arial"/>
          <w:szCs w:val="22"/>
        </w:rPr>
        <w:t xml:space="preserve"> that shows the text of the law as amended and in force on </w:t>
      </w:r>
      <w:r w:rsidRPr="00720F0E">
        <w:rPr>
          <w:rFonts w:cs="Arial"/>
          <w:szCs w:val="22"/>
        </w:rPr>
        <w:fldChar w:fldCharType="begin"/>
      </w:r>
      <w:r w:rsidR="001E5984">
        <w:rPr>
          <w:rFonts w:cs="Arial"/>
          <w:szCs w:val="22"/>
        </w:rPr>
        <w:instrText>DOCPROPERTY StartDate \@ "d MMMM yyyy" \* MERGEFORMAT</w:instrText>
      </w:r>
      <w:r w:rsidRPr="00720F0E">
        <w:rPr>
          <w:rFonts w:cs="Arial"/>
          <w:szCs w:val="22"/>
        </w:rPr>
        <w:fldChar w:fldCharType="separate"/>
      </w:r>
      <w:r w:rsidR="001F5C7F">
        <w:rPr>
          <w:rFonts w:cs="Arial"/>
          <w:szCs w:val="22"/>
        </w:rPr>
        <w:t>1 January</w:t>
      </w:r>
      <w:r w:rsidR="001E5984">
        <w:rPr>
          <w:rFonts w:cs="Arial"/>
          <w:szCs w:val="22"/>
        </w:rPr>
        <w:t xml:space="preserve"> 2025</w:t>
      </w:r>
      <w:r w:rsidRPr="00720F0E">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5D240FD4" w14:textId="77777777" w:rsidR="002F5A10" w:rsidRPr="00DA25EC" w:rsidRDefault="002F5A10" w:rsidP="00900BC8">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4B80154D" w14:textId="77777777" w:rsidR="002F5A10" w:rsidRPr="00DA25EC" w:rsidRDefault="002F5A10" w:rsidP="00900BC8">
      <w:pPr>
        <w:tabs>
          <w:tab w:val="left" w:pos="5640"/>
        </w:tabs>
        <w:spacing w:before="120" w:after="120"/>
        <w:rPr>
          <w:rFonts w:cs="Arial"/>
          <w:b/>
          <w:szCs w:val="22"/>
        </w:rPr>
      </w:pPr>
      <w:r w:rsidRPr="00DA25EC">
        <w:rPr>
          <w:rFonts w:cs="Arial"/>
          <w:b/>
          <w:szCs w:val="22"/>
        </w:rPr>
        <w:t>Uncommenced amendments</w:t>
      </w:r>
    </w:p>
    <w:p w14:paraId="0BBE0A49" w14:textId="77777777" w:rsidR="002F5A10" w:rsidRPr="00DA25EC" w:rsidRDefault="002F5A10" w:rsidP="00900BC8">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w:t>
      </w:r>
      <w:r>
        <w:rPr>
          <w:rFonts w:cs="Arial"/>
          <w:szCs w:val="22"/>
        </w:rPr>
        <w:t>Register</w:t>
      </w:r>
      <w:r w:rsidRPr="00DA25EC">
        <w:rPr>
          <w:rFonts w:cs="Arial"/>
          <w:szCs w:val="22"/>
        </w:rPr>
        <w:t xml:space="preserve"> for the compiled law.</w:t>
      </w:r>
    </w:p>
    <w:p w14:paraId="149D47CC" w14:textId="77777777" w:rsidR="002F5A10" w:rsidRPr="00DA25EC" w:rsidRDefault="002F5A10" w:rsidP="00900BC8">
      <w:pPr>
        <w:spacing w:before="120" w:after="120"/>
        <w:rPr>
          <w:rFonts w:cs="Arial"/>
          <w:b/>
          <w:szCs w:val="22"/>
        </w:rPr>
      </w:pPr>
      <w:r w:rsidRPr="00DA25EC">
        <w:rPr>
          <w:rFonts w:cs="Arial"/>
          <w:b/>
          <w:szCs w:val="22"/>
        </w:rPr>
        <w:t>Application, saving and transitional provisions for provisions and amendments</w:t>
      </w:r>
    </w:p>
    <w:p w14:paraId="70D81634" w14:textId="77777777" w:rsidR="002F5A10" w:rsidRDefault="002F5A10" w:rsidP="00900BC8">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2CD8B277" w14:textId="77777777" w:rsidR="002F5A10" w:rsidRDefault="002F5A10" w:rsidP="00900BC8">
      <w:pPr>
        <w:spacing w:after="120"/>
        <w:rPr>
          <w:rFonts w:cs="Arial"/>
          <w:b/>
          <w:szCs w:val="22"/>
        </w:rPr>
      </w:pPr>
      <w:r w:rsidRPr="003F3B80">
        <w:rPr>
          <w:rFonts w:cs="Arial"/>
          <w:b/>
          <w:szCs w:val="22"/>
        </w:rPr>
        <w:t>Editorial changes</w:t>
      </w:r>
    </w:p>
    <w:p w14:paraId="10435686" w14:textId="77777777" w:rsidR="002F5A10" w:rsidRPr="003F3B80" w:rsidRDefault="002F5A10" w:rsidP="00900BC8">
      <w:pPr>
        <w:spacing w:after="120"/>
        <w:rPr>
          <w:rFonts w:cs="Arial"/>
          <w:szCs w:val="22"/>
        </w:rPr>
      </w:pPr>
      <w:r>
        <w:rPr>
          <w:rFonts w:cs="Arial"/>
          <w:szCs w:val="22"/>
        </w:rPr>
        <w:t>For more information about any editorial changes made in this compilation, see the endnotes.</w:t>
      </w:r>
    </w:p>
    <w:p w14:paraId="025B1D9D" w14:textId="77777777" w:rsidR="002F5A10" w:rsidRPr="00DA25EC" w:rsidRDefault="002F5A10" w:rsidP="00900BC8">
      <w:pPr>
        <w:spacing w:before="120" w:after="120"/>
        <w:rPr>
          <w:rFonts w:cs="Arial"/>
          <w:b/>
          <w:szCs w:val="22"/>
        </w:rPr>
      </w:pPr>
      <w:r w:rsidRPr="00DA25EC">
        <w:rPr>
          <w:rFonts w:cs="Arial"/>
          <w:b/>
          <w:szCs w:val="22"/>
        </w:rPr>
        <w:t>Modifications</w:t>
      </w:r>
    </w:p>
    <w:p w14:paraId="7C8BB5B9" w14:textId="77777777" w:rsidR="002F5A10" w:rsidRPr="00DA25EC" w:rsidRDefault="002F5A10" w:rsidP="00900BC8">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DA25EC">
        <w:rPr>
          <w:rFonts w:cs="Arial"/>
          <w:szCs w:val="22"/>
        </w:rPr>
        <w:t xml:space="preserve"> for the compiled law.</w:t>
      </w:r>
    </w:p>
    <w:p w14:paraId="16C76210" w14:textId="6A6A88C5" w:rsidR="002F5A10" w:rsidRPr="00DA25EC" w:rsidRDefault="002F5A10" w:rsidP="00900BC8">
      <w:pPr>
        <w:spacing w:before="80" w:after="120"/>
        <w:rPr>
          <w:rFonts w:cs="Arial"/>
          <w:b/>
          <w:szCs w:val="22"/>
        </w:rPr>
      </w:pPr>
      <w:r w:rsidRPr="00DA25EC">
        <w:rPr>
          <w:rFonts w:cs="Arial"/>
          <w:b/>
          <w:szCs w:val="22"/>
        </w:rPr>
        <w:t>Self</w:t>
      </w:r>
      <w:r w:rsidR="001F5C7F">
        <w:rPr>
          <w:rFonts w:cs="Arial"/>
          <w:b/>
          <w:szCs w:val="22"/>
        </w:rPr>
        <w:noBreakHyphen/>
      </w:r>
      <w:r w:rsidRPr="00DA25EC">
        <w:rPr>
          <w:rFonts w:cs="Arial"/>
          <w:b/>
          <w:szCs w:val="22"/>
        </w:rPr>
        <w:t>repealing provisions</w:t>
      </w:r>
    </w:p>
    <w:p w14:paraId="7A09C0EC" w14:textId="77777777" w:rsidR="002F5A10" w:rsidRPr="00B75B4D" w:rsidRDefault="002F5A10" w:rsidP="00900BC8">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633B1804" w14:textId="77777777" w:rsidR="002F5A10" w:rsidRPr="00ED79B6" w:rsidRDefault="002F5A10" w:rsidP="00900BC8">
      <w:pPr>
        <w:pStyle w:val="Header"/>
        <w:tabs>
          <w:tab w:val="clear" w:pos="4150"/>
          <w:tab w:val="clear" w:pos="8307"/>
        </w:tabs>
      </w:pPr>
      <w:r w:rsidRPr="001F5C7F">
        <w:rPr>
          <w:rStyle w:val="CharChapNo"/>
        </w:rPr>
        <w:t xml:space="preserve"> </w:t>
      </w:r>
      <w:r w:rsidRPr="001F5C7F">
        <w:rPr>
          <w:rStyle w:val="CharChapText"/>
        </w:rPr>
        <w:t xml:space="preserve"> </w:t>
      </w:r>
    </w:p>
    <w:p w14:paraId="6D153C13" w14:textId="77777777" w:rsidR="002F5A10" w:rsidRPr="00ED79B6" w:rsidRDefault="002F5A10" w:rsidP="00900BC8">
      <w:pPr>
        <w:pStyle w:val="Header"/>
        <w:tabs>
          <w:tab w:val="clear" w:pos="4150"/>
          <w:tab w:val="clear" w:pos="8307"/>
        </w:tabs>
      </w:pPr>
      <w:r w:rsidRPr="001F5C7F">
        <w:rPr>
          <w:rStyle w:val="CharPartNo"/>
        </w:rPr>
        <w:t xml:space="preserve"> </w:t>
      </w:r>
      <w:r w:rsidRPr="001F5C7F">
        <w:rPr>
          <w:rStyle w:val="CharPartText"/>
        </w:rPr>
        <w:t xml:space="preserve"> </w:t>
      </w:r>
    </w:p>
    <w:p w14:paraId="62AE90F2" w14:textId="77777777" w:rsidR="002F5A10" w:rsidRPr="00ED79B6" w:rsidRDefault="002F5A10" w:rsidP="00900BC8">
      <w:pPr>
        <w:pStyle w:val="Header"/>
        <w:tabs>
          <w:tab w:val="clear" w:pos="4150"/>
          <w:tab w:val="clear" w:pos="8307"/>
        </w:tabs>
      </w:pPr>
      <w:r w:rsidRPr="001F5C7F">
        <w:rPr>
          <w:rStyle w:val="CharDivNo"/>
        </w:rPr>
        <w:t xml:space="preserve"> </w:t>
      </w:r>
      <w:r w:rsidRPr="001F5C7F">
        <w:rPr>
          <w:rStyle w:val="CharDivText"/>
        </w:rPr>
        <w:t xml:space="preserve"> </w:t>
      </w:r>
    </w:p>
    <w:p w14:paraId="5DFB916B" w14:textId="77777777" w:rsidR="002F5A10" w:rsidRDefault="002F5A10" w:rsidP="00900BC8">
      <w:pPr>
        <w:sectPr w:rsidR="002F5A10" w:rsidSect="00BC32B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1E5ADE77" w14:textId="77777777" w:rsidR="00AA749C" w:rsidRPr="0036425D" w:rsidRDefault="00AA749C" w:rsidP="00BD2B41">
      <w:r w:rsidRPr="0036425D">
        <w:rPr>
          <w:rFonts w:cs="Times New Roman"/>
          <w:sz w:val="36"/>
        </w:rPr>
        <w:lastRenderedPageBreak/>
        <w:t>Contents</w:t>
      </w:r>
    </w:p>
    <w:p w14:paraId="6B12EDE0" w14:textId="752840B3" w:rsidR="005422DE" w:rsidRDefault="002D5A93">
      <w:pPr>
        <w:pStyle w:val="TOC2"/>
        <w:rPr>
          <w:rFonts w:asciiTheme="minorHAnsi" w:eastAsiaTheme="minorEastAsia" w:hAnsiTheme="minorHAnsi" w:cstheme="minorBidi"/>
          <w:b w:val="0"/>
          <w:noProof/>
          <w:kern w:val="2"/>
          <w:szCs w:val="24"/>
          <w14:ligatures w14:val="standardContextual"/>
        </w:rPr>
      </w:pPr>
      <w:r w:rsidRPr="0097620F">
        <w:rPr>
          <w:iCs/>
          <w:szCs w:val="28"/>
        </w:rPr>
        <w:fldChar w:fldCharType="begin"/>
      </w:r>
      <w:r w:rsidRPr="0097620F">
        <w:instrText xml:space="preserve"> TOC \o "1-9" \t "ActHead 1,2,ActHead 2,2,ActHead 3,3,ActHead 4,4,ActHead 5,5, Schedule,2, Schedule Text,3, NotesSection,6" </w:instrText>
      </w:r>
      <w:r w:rsidRPr="0097620F">
        <w:rPr>
          <w:iCs/>
          <w:szCs w:val="28"/>
        </w:rPr>
        <w:fldChar w:fldCharType="separate"/>
      </w:r>
      <w:r w:rsidR="005422DE">
        <w:rPr>
          <w:noProof/>
        </w:rPr>
        <w:t>Part 1—Preliminary</w:t>
      </w:r>
      <w:r w:rsidR="005422DE" w:rsidRPr="005422DE">
        <w:rPr>
          <w:b w:val="0"/>
          <w:noProof/>
          <w:sz w:val="18"/>
        </w:rPr>
        <w:tab/>
      </w:r>
      <w:r w:rsidR="005422DE" w:rsidRPr="005422DE">
        <w:rPr>
          <w:b w:val="0"/>
          <w:noProof/>
          <w:sz w:val="18"/>
        </w:rPr>
        <w:fldChar w:fldCharType="begin"/>
      </w:r>
      <w:r w:rsidR="005422DE" w:rsidRPr="005422DE">
        <w:rPr>
          <w:b w:val="0"/>
          <w:noProof/>
          <w:sz w:val="18"/>
        </w:rPr>
        <w:instrText xml:space="preserve"> PAGEREF _Toc187395985 \h </w:instrText>
      </w:r>
      <w:r w:rsidR="005422DE" w:rsidRPr="005422DE">
        <w:rPr>
          <w:b w:val="0"/>
          <w:noProof/>
          <w:sz w:val="18"/>
        </w:rPr>
      </w:r>
      <w:r w:rsidR="005422DE" w:rsidRPr="005422DE">
        <w:rPr>
          <w:b w:val="0"/>
          <w:noProof/>
          <w:sz w:val="18"/>
        </w:rPr>
        <w:fldChar w:fldCharType="separate"/>
      </w:r>
      <w:r w:rsidR="005422DE" w:rsidRPr="005422DE">
        <w:rPr>
          <w:b w:val="0"/>
          <w:noProof/>
          <w:sz w:val="18"/>
        </w:rPr>
        <w:t>1</w:t>
      </w:r>
      <w:r w:rsidR="005422DE" w:rsidRPr="005422DE">
        <w:rPr>
          <w:b w:val="0"/>
          <w:noProof/>
          <w:sz w:val="18"/>
        </w:rPr>
        <w:fldChar w:fldCharType="end"/>
      </w:r>
    </w:p>
    <w:p w14:paraId="503C8C02" w14:textId="65D0D580"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5422DE">
        <w:rPr>
          <w:noProof/>
        </w:rPr>
        <w:tab/>
      </w:r>
      <w:r w:rsidRPr="005422DE">
        <w:rPr>
          <w:noProof/>
        </w:rPr>
        <w:fldChar w:fldCharType="begin"/>
      </w:r>
      <w:r w:rsidRPr="005422DE">
        <w:rPr>
          <w:noProof/>
        </w:rPr>
        <w:instrText xml:space="preserve"> PAGEREF _Toc187395986 \h </w:instrText>
      </w:r>
      <w:r w:rsidRPr="005422DE">
        <w:rPr>
          <w:noProof/>
        </w:rPr>
      </w:r>
      <w:r w:rsidRPr="005422DE">
        <w:rPr>
          <w:noProof/>
        </w:rPr>
        <w:fldChar w:fldCharType="separate"/>
      </w:r>
      <w:r w:rsidRPr="005422DE">
        <w:rPr>
          <w:noProof/>
        </w:rPr>
        <w:t>1</w:t>
      </w:r>
      <w:r w:rsidRPr="005422DE">
        <w:rPr>
          <w:noProof/>
        </w:rPr>
        <w:fldChar w:fldCharType="end"/>
      </w:r>
    </w:p>
    <w:p w14:paraId="3DD3F647" w14:textId="4557E466"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5422DE">
        <w:rPr>
          <w:noProof/>
        </w:rPr>
        <w:tab/>
      </w:r>
      <w:r w:rsidRPr="005422DE">
        <w:rPr>
          <w:noProof/>
        </w:rPr>
        <w:fldChar w:fldCharType="begin"/>
      </w:r>
      <w:r w:rsidRPr="005422DE">
        <w:rPr>
          <w:noProof/>
        </w:rPr>
        <w:instrText xml:space="preserve"> PAGEREF _Toc187395987 \h </w:instrText>
      </w:r>
      <w:r w:rsidRPr="005422DE">
        <w:rPr>
          <w:noProof/>
        </w:rPr>
      </w:r>
      <w:r w:rsidRPr="005422DE">
        <w:rPr>
          <w:noProof/>
        </w:rPr>
        <w:fldChar w:fldCharType="separate"/>
      </w:r>
      <w:r w:rsidRPr="005422DE">
        <w:rPr>
          <w:noProof/>
        </w:rPr>
        <w:t>1</w:t>
      </w:r>
      <w:r w:rsidRPr="005422DE">
        <w:rPr>
          <w:noProof/>
        </w:rPr>
        <w:fldChar w:fldCharType="end"/>
      </w:r>
    </w:p>
    <w:p w14:paraId="079BDB90" w14:textId="143C502F"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Simplified outline</w:t>
      </w:r>
      <w:r w:rsidRPr="005422DE">
        <w:rPr>
          <w:noProof/>
        </w:rPr>
        <w:tab/>
      </w:r>
      <w:r w:rsidRPr="005422DE">
        <w:rPr>
          <w:noProof/>
        </w:rPr>
        <w:fldChar w:fldCharType="begin"/>
      </w:r>
      <w:r w:rsidRPr="005422DE">
        <w:rPr>
          <w:noProof/>
        </w:rPr>
        <w:instrText xml:space="preserve"> PAGEREF _Toc187395988 \h </w:instrText>
      </w:r>
      <w:r w:rsidRPr="005422DE">
        <w:rPr>
          <w:noProof/>
        </w:rPr>
      </w:r>
      <w:r w:rsidRPr="005422DE">
        <w:rPr>
          <w:noProof/>
        </w:rPr>
        <w:fldChar w:fldCharType="separate"/>
      </w:r>
      <w:r w:rsidRPr="005422DE">
        <w:rPr>
          <w:noProof/>
        </w:rPr>
        <w:t>2</w:t>
      </w:r>
      <w:r w:rsidRPr="005422DE">
        <w:rPr>
          <w:noProof/>
        </w:rPr>
        <w:fldChar w:fldCharType="end"/>
      </w:r>
    </w:p>
    <w:p w14:paraId="0142C7A8" w14:textId="7AAD603A"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4</w:t>
      </w:r>
      <w:r>
        <w:rPr>
          <w:noProof/>
        </w:rPr>
        <w:tab/>
        <w:t>Definitions</w:t>
      </w:r>
      <w:r w:rsidRPr="005422DE">
        <w:rPr>
          <w:noProof/>
        </w:rPr>
        <w:tab/>
      </w:r>
      <w:r w:rsidRPr="005422DE">
        <w:rPr>
          <w:noProof/>
        </w:rPr>
        <w:fldChar w:fldCharType="begin"/>
      </w:r>
      <w:r w:rsidRPr="005422DE">
        <w:rPr>
          <w:noProof/>
        </w:rPr>
        <w:instrText xml:space="preserve"> PAGEREF _Toc187395989 \h </w:instrText>
      </w:r>
      <w:r w:rsidRPr="005422DE">
        <w:rPr>
          <w:noProof/>
        </w:rPr>
      </w:r>
      <w:r w:rsidRPr="005422DE">
        <w:rPr>
          <w:noProof/>
        </w:rPr>
        <w:fldChar w:fldCharType="separate"/>
      </w:r>
      <w:r w:rsidRPr="005422DE">
        <w:rPr>
          <w:noProof/>
        </w:rPr>
        <w:t>3</w:t>
      </w:r>
      <w:r w:rsidRPr="005422DE">
        <w:rPr>
          <w:noProof/>
        </w:rPr>
        <w:fldChar w:fldCharType="end"/>
      </w:r>
    </w:p>
    <w:p w14:paraId="79F22F2D" w14:textId="1B0B69F1"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5</w:t>
      </w:r>
      <w:r>
        <w:rPr>
          <w:noProof/>
        </w:rPr>
        <w:tab/>
        <w:t>Crown to be bound</w:t>
      </w:r>
      <w:r w:rsidRPr="005422DE">
        <w:rPr>
          <w:noProof/>
        </w:rPr>
        <w:tab/>
      </w:r>
      <w:r w:rsidRPr="005422DE">
        <w:rPr>
          <w:noProof/>
        </w:rPr>
        <w:fldChar w:fldCharType="begin"/>
      </w:r>
      <w:r w:rsidRPr="005422DE">
        <w:rPr>
          <w:noProof/>
        </w:rPr>
        <w:instrText xml:space="preserve"> PAGEREF _Toc187395990 \h </w:instrText>
      </w:r>
      <w:r w:rsidRPr="005422DE">
        <w:rPr>
          <w:noProof/>
        </w:rPr>
      </w:r>
      <w:r w:rsidRPr="005422DE">
        <w:rPr>
          <w:noProof/>
        </w:rPr>
        <w:fldChar w:fldCharType="separate"/>
      </w:r>
      <w:r w:rsidRPr="005422DE">
        <w:rPr>
          <w:noProof/>
        </w:rPr>
        <w:t>5</w:t>
      </w:r>
      <w:r w:rsidRPr="005422DE">
        <w:rPr>
          <w:noProof/>
        </w:rPr>
        <w:fldChar w:fldCharType="end"/>
      </w:r>
    </w:p>
    <w:p w14:paraId="5B08C590" w14:textId="3D103C46"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6</w:t>
      </w:r>
      <w:r>
        <w:rPr>
          <w:noProof/>
        </w:rPr>
        <w:tab/>
        <w:t>Extra</w:t>
      </w:r>
      <w:r>
        <w:rPr>
          <w:noProof/>
        </w:rPr>
        <w:noBreakHyphen/>
        <w:t>territorial operation</w:t>
      </w:r>
      <w:r w:rsidRPr="005422DE">
        <w:rPr>
          <w:noProof/>
        </w:rPr>
        <w:tab/>
      </w:r>
      <w:r w:rsidRPr="005422DE">
        <w:rPr>
          <w:noProof/>
        </w:rPr>
        <w:fldChar w:fldCharType="begin"/>
      </w:r>
      <w:r w:rsidRPr="005422DE">
        <w:rPr>
          <w:noProof/>
        </w:rPr>
        <w:instrText xml:space="preserve"> PAGEREF _Toc187395991 \h </w:instrText>
      </w:r>
      <w:r w:rsidRPr="005422DE">
        <w:rPr>
          <w:noProof/>
        </w:rPr>
      </w:r>
      <w:r w:rsidRPr="005422DE">
        <w:rPr>
          <w:noProof/>
        </w:rPr>
        <w:fldChar w:fldCharType="separate"/>
      </w:r>
      <w:r w:rsidRPr="005422DE">
        <w:rPr>
          <w:noProof/>
        </w:rPr>
        <w:t>5</w:t>
      </w:r>
      <w:r w:rsidRPr="005422DE">
        <w:rPr>
          <w:noProof/>
        </w:rPr>
        <w:fldChar w:fldCharType="end"/>
      </w:r>
    </w:p>
    <w:p w14:paraId="7A900033" w14:textId="23D4636A" w:rsidR="005422DE" w:rsidRDefault="005422DE">
      <w:pPr>
        <w:pStyle w:val="TOC2"/>
        <w:rPr>
          <w:rFonts w:asciiTheme="minorHAnsi" w:eastAsiaTheme="minorEastAsia" w:hAnsiTheme="minorHAnsi" w:cstheme="minorBidi"/>
          <w:b w:val="0"/>
          <w:noProof/>
          <w:kern w:val="2"/>
          <w:szCs w:val="24"/>
          <w14:ligatures w14:val="standardContextual"/>
        </w:rPr>
      </w:pPr>
      <w:r>
        <w:rPr>
          <w:noProof/>
        </w:rPr>
        <w:t>Part 2—Transitional provisions</w:t>
      </w:r>
      <w:r w:rsidRPr="005422DE">
        <w:rPr>
          <w:b w:val="0"/>
          <w:noProof/>
          <w:sz w:val="18"/>
        </w:rPr>
        <w:tab/>
      </w:r>
      <w:r w:rsidRPr="005422DE">
        <w:rPr>
          <w:b w:val="0"/>
          <w:noProof/>
          <w:sz w:val="18"/>
        </w:rPr>
        <w:fldChar w:fldCharType="begin"/>
      </w:r>
      <w:r w:rsidRPr="005422DE">
        <w:rPr>
          <w:b w:val="0"/>
          <w:noProof/>
          <w:sz w:val="18"/>
        </w:rPr>
        <w:instrText xml:space="preserve"> PAGEREF _Toc187395992 \h </w:instrText>
      </w:r>
      <w:r w:rsidRPr="005422DE">
        <w:rPr>
          <w:b w:val="0"/>
          <w:noProof/>
          <w:sz w:val="18"/>
        </w:rPr>
      </w:r>
      <w:r w:rsidRPr="005422DE">
        <w:rPr>
          <w:b w:val="0"/>
          <w:noProof/>
          <w:sz w:val="18"/>
        </w:rPr>
        <w:fldChar w:fldCharType="separate"/>
      </w:r>
      <w:r w:rsidRPr="005422DE">
        <w:rPr>
          <w:b w:val="0"/>
          <w:noProof/>
          <w:sz w:val="18"/>
        </w:rPr>
        <w:t>6</w:t>
      </w:r>
      <w:r w:rsidRPr="005422DE">
        <w:rPr>
          <w:b w:val="0"/>
          <w:noProof/>
          <w:sz w:val="18"/>
        </w:rPr>
        <w:fldChar w:fldCharType="end"/>
      </w:r>
    </w:p>
    <w:p w14:paraId="01648B09" w14:textId="55F8A575" w:rsidR="005422DE" w:rsidRDefault="005422DE">
      <w:pPr>
        <w:pStyle w:val="TOC3"/>
        <w:rPr>
          <w:rFonts w:asciiTheme="minorHAnsi" w:eastAsiaTheme="minorEastAsia" w:hAnsiTheme="minorHAnsi" w:cstheme="minorBidi"/>
          <w:b w:val="0"/>
          <w:noProof/>
          <w:kern w:val="2"/>
          <w:sz w:val="24"/>
          <w:szCs w:val="24"/>
          <w14:ligatures w14:val="standardContextual"/>
        </w:rPr>
      </w:pPr>
      <w:r>
        <w:rPr>
          <w:noProof/>
        </w:rPr>
        <w:t>Division 2—Transfer day</w:t>
      </w:r>
      <w:r w:rsidRPr="005422DE">
        <w:rPr>
          <w:b w:val="0"/>
          <w:noProof/>
          <w:sz w:val="18"/>
        </w:rPr>
        <w:tab/>
      </w:r>
      <w:r w:rsidRPr="005422DE">
        <w:rPr>
          <w:b w:val="0"/>
          <w:noProof/>
          <w:sz w:val="18"/>
        </w:rPr>
        <w:fldChar w:fldCharType="begin"/>
      </w:r>
      <w:r w:rsidRPr="005422DE">
        <w:rPr>
          <w:b w:val="0"/>
          <w:noProof/>
          <w:sz w:val="18"/>
        </w:rPr>
        <w:instrText xml:space="preserve"> PAGEREF _Toc187395993 \h </w:instrText>
      </w:r>
      <w:r w:rsidRPr="005422DE">
        <w:rPr>
          <w:b w:val="0"/>
          <w:noProof/>
          <w:sz w:val="18"/>
        </w:rPr>
      </w:r>
      <w:r w:rsidRPr="005422DE">
        <w:rPr>
          <w:b w:val="0"/>
          <w:noProof/>
          <w:sz w:val="18"/>
        </w:rPr>
        <w:fldChar w:fldCharType="separate"/>
      </w:r>
      <w:r w:rsidRPr="005422DE">
        <w:rPr>
          <w:b w:val="0"/>
          <w:noProof/>
          <w:sz w:val="18"/>
        </w:rPr>
        <w:t>6</w:t>
      </w:r>
      <w:r w:rsidRPr="005422DE">
        <w:rPr>
          <w:b w:val="0"/>
          <w:noProof/>
          <w:sz w:val="18"/>
        </w:rPr>
        <w:fldChar w:fldCharType="end"/>
      </w:r>
    </w:p>
    <w:p w14:paraId="093677F8" w14:textId="1864E3D3"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Simplified outline</w:t>
      </w:r>
      <w:r w:rsidRPr="005422DE">
        <w:rPr>
          <w:noProof/>
        </w:rPr>
        <w:tab/>
      </w:r>
      <w:r w:rsidRPr="005422DE">
        <w:rPr>
          <w:noProof/>
        </w:rPr>
        <w:fldChar w:fldCharType="begin"/>
      </w:r>
      <w:r w:rsidRPr="005422DE">
        <w:rPr>
          <w:noProof/>
        </w:rPr>
        <w:instrText xml:space="preserve"> PAGEREF _Toc187395994 \h </w:instrText>
      </w:r>
      <w:r w:rsidRPr="005422DE">
        <w:rPr>
          <w:noProof/>
        </w:rPr>
      </w:r>
      <w:r w:rsidRPr="005422DE">
        <w:rPr>
          <w:noProof/>
        </w:rPr>
        <w:fldChar w:fldCharType="separate"/>
      </w:r>
      <w:r w:rsidRPr="005422DE">
        <w:rPr>
          <w:noProof/>
        </w:rPr>
        <w:t>6</w:t>
      </w:r>
      <w:r w:rsidRPr="005422DE">
        <w:rPr>
          <w:noProof/>
        </w:rPr>
        <w:fldChar w:fldCharType="end"/>
      </w:r>
    </w:p>
    <w:p w14:paraId="09A51235" w14:textId="0DE86B61"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Minister must determine transfer day</w:t>
      </w:r>
      <w:r w:rsidRPr="005422DE">
        <w:rPr>
          <w:noProof/>
        </w:rPr>
        <w:tab/>
      </w:r>
      <w:r w:rsidRPr="005422DE">
        <w:rPr>
          <w:noProof/>
        </w:rPr>
        <w:fldChar w:fldCharType="begin"/>
      </w:r>
      <w:r w:rsidRPr="005422DE">
        <w:rPr>
          <w:noProof/>
        </w:rPr>
        <w:instrText xml:space="preserve"> PAGEREF _Toc187395995 \h </w:instrText>
      </w:r>
      <w:r w:rsidRPr="005422DE">
        <w:rPr>
          <w:noProof/>
        </w:rPr>
      </w:r>
      <w:r w:rsidRPr="005422DE">
        <w:rPr>
          <w:noProof/>
        </w:rPr>
        <w:fldChar w:fldCharType="separate"/>
      </w:r>
      <w:r w:rsidRPr="005422DE">
        <w:rPr>
          <w:noProof/>
        </w:rPr>
        <w:t>6</w:t>
      </w:r>
      <w:r w:rsidRPr="005422DE">
        <w:rPr>
          <w:noProof/>
        </w:rPr>
        <w:fldChar w:fldCharType="end"/>
      </w:r>
    </w:p>
    <w:p w14:paraId="1CB82135" w14:textId="57DA3CDB"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Time of transfers</w:t>
      </w:r>
      <w:r w:rsidRPr="005422DE">
        <w:rPr>
          <w:noProof/>
        </w:rPr>
        <w:tab/>
      </w:r>
      <w:r w:rsidRPr="005422DE">
        <w:rPr>
          <w:noProof/>
        </w:rPr>
        <w:fldChar w:fldCharType="begin"/>
      </w:r>
      <w:r w:rsidRPr="005422DE">
        <w:rPr>
          <w:noProof/>
        </w:rPr>
        <w:instrText xml:space="preserve"> PAGEREF _Toc187395996 \h </w:instrText>
      </w:r>
      <w:r w:rsidRPr="005422DE">
        <w:rPr>
          <w:noProof/>
        </w:rPr>
      </w:r>
      <w:r w:rsidRPr="005422DE">
        <w:rPr>
          <w:noProof/>
        </w:rPr>
        <w:fldChar w:fldCharType="separate"/>
      </w:r>
      <w:r w:rsidRPr="005422DE">
        <w:rPr>
          <w:noProof/>
        </w:rPr>
        <w:t>7</w:t>
      </w:r>
      <w:r w:rsidRPr="005422DE">
        <w:rPr>
          <w:noProof/>
        </w:rPr>
        <w:fldChar w:fldCharType="end"/>
      </w:r>
    </w:p>
    <w:p w14:paraId="5EDEB4F2" w14:textId="6ACE4AC8" w:rsidR="005422DE" w:rsidRDefault="005422DE">
      <w:pPr>
        <w:pStyle w:val="TOC3"/>
        <w:rPr>
          <w:rFonts w:asciiTheme="minorHAnsi" w:eastAsiaTheme="minorEastAsia" w:hAnsiTheme="minorHAnsi" w:cstheme="minorBidi"/>
          <w:b w:val="0"/>
          <w:noProof/>
          <w:kern w:val="2"/>
          <w:sz w:val="24"/>
          <w:szCs w:val="24"/>
          <w14:ligatures w14:val="standardContextual"/>
        </w:rPr>
      </w:pPr>
      <w:r>
        <w:rPr>
          <w:noProof/>
        </w:rPr>
        <w:t>Division 3—Transfer of assets and liabilities etc.</w:t>
      </w:r>
      <w:r w:rsidRPr="005422DE">
        <w:rPr>
          <w:b w:val="0"/>
          <w:noProof/>
          <w:sz w:val="18"/>
        </w:rPr>
        <w:tab/>
      </w:r>
      <w:r w:rsidRPr="005422DE">
        <w:rPr>
          <w:b w:val="0"/>
          <w:noProof/>
          <w:sz w:val="18"/>
        </w:rPr>
        <w:fldChar w:fldCharType="begin"/>
      </w:r>
      <w:r w:rsidRPr="005422DE">
        <w:rPr>
          <w:b w:val="0"/>
          <w:noProof/>
          <w:sz w:val="18"/>
        </w:rPr>
        <w:instrText xml:space="preserve"> PAGEREF _Toc187395997 \h </w:instrText>
      </w:r>
      <w:r w:rsidRPr="005422DE">
        <w:rPr>
          <w:b w:val="0"/>
          <w:noProof/>
          <w:sz w:val="18"/>
        </w:rPr>
      </w:r>
      <w:r w:rsidRPr="005422DE">
        <w:rPr>
          <w:b w:val="0"/>
          <w:noProof/>
          <w:sz w:val="18"/>
        </w:rPr>
        <w:fldChar w:fldCharType="separate"/>
      </w:r>
      <w:r w:rsidRPr="005422DE">
        <w:rPr>
          <w:b w:val="0"/>
          <w:noProof/>
          <w:sz w:val="18"/>
        </w:rPr>
        <w:t>8</w:t>
      </w:r>
      <w:r w:rsidRPr="005422DE">
        <w:rPr>
          <w:b w:val="0"/>
          <w:noProof/>
          <w:sz w:val="18"/>
        </w:rPr>
        <w:fldChar w:fldCharType="end"/>
      </w:r>
    </w:p>
    <w:p w14:paraId="20D0A370" w14:textId="215537BA"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Simplified outline</w:t>
      </w:r>
      <w:r w:rsidRPr="005422DE">
        <w:rPr>
          <w:noProof/>
        </w:rPr>
        <w:tab/>
      </w:r>
      <w:r w:rsidRPr="005422DE">
        <w:rPr>
          <w:noProof/>
        </w:rPr>
        <w:fldChar w:fldCharType="begin"/>
      </w:r>
      <w:r w:rsidRPr="005422DE">
        <w:rPr>
          <w:noProof/>
        </w:rPr>
        <w:instrText xml:space="preserve"> PAGEREF _Toc187395998 \h </w:instrText>
      </w:r>
      <w:r w:rsidRPr="005422DE">
        <w:rPr>
          <w:noProof/>
        </w:rPr>
      </w:r>
      <w:r w:rsidRPr="005422DE">
        <w:rPr>
          <w:noProof/>
        </w:rPr>
        <w:fldChar w:fldCharType="separate"/>
      </w:r>
      <w:r w:rsidRPr="005422DE">
        <w:rPr>
          <w:noProof/>
        </w:rPr>
        <w:t>8</w:t>
      </w:r>
      <w:r w:rsidRPr="005422DE">
        <w:rPr>
          <w:noProof/>
        </w:rPr>
        <w:fldChar w:fldCharType="end"/>
      </w:r>
    </w:p>
    <w:p w14:paraId="7F1AB0B0" w14:textId="1D82EFA3"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Transfers subject to conditions</w:t>
      </w:r>
      <w:r w:rsidRPr="005422DE">
        <w:rPr>
          <w:noProof/>
        </w:rPr>
        <w:tab/>
      </w:r>
      <w:r w:rsidRPr="005422DE">
        <w:rPr>
          <w:noProof/>
        </w:rPr>
        <w:fldChar w:fldCharType="begin"/>
      </w:r>
      <w:r w:rsidRPr="005422DE">
        <w:rPr>
          <w:noProof/>
        </w:rPr>
        <w:instrText xml:space="preserve"> PAGEREF _Toc187395999 \h </w:instrText>
      </w:r>
      <w:r w:rsidRPr="005422DE">
        <w:rPr>
          <w:noProof/>
        </w:rPr>
      </w:r>
      <w:r w:rsidRPr="005422DE">
        <w:rPr>
          <w:noProof/>
        </w:rPr>
        <w:fldChar w:fldCharType="separate"/>
      </w:r>
      <w:r w:rsidRPr="005422DE">
        <w:rPr>
          <w:noProof/>
        </w:rPr>
        <w:t>8</w:t>
      </w:r>
      <w:r w:rsidRPr="005422DE">
        <w:rPr>
          <w:noProof/>
        </w:rPr>
        <w:fldChar w:fldCharType="end"/>
      </w:r>
    </w:p>
    <w:p w14:paraId="3DF94833" w14:textId="239308BB"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Transfer of assets and liabilities</w:t>
      </w:r>
      <w:r w:rsidRPr="005422DE">
        <w:rPr>
          <w:noProof/>
        </w:rPr>
        <w:tab/>
      </w:r>
      <w:r w:rsidRPr="005422DE">
        <w:rPr>
          <w:noProof/>
        </w:rPr>
        <w:fldChar w:fldCharType="begin"/>
      </w:r>
      <w:r w:rsidRPr="005422DE">
        <w:rPr>
          <w:noProof/>
        </w:rPr>
        <w:instrText xml:space="preserve"> PAGEREF _Toc187396000 \h </w:instrText>
      </w:r>
      <w:r w:rsidRPr="005422DE">
        <w:rPr>
          <w:noProof/>
        </w:rPr>
      </w:r>
      <w:r w:rsidRPr="005422DE">
        <w:rPr>
          <w:noProof/>
        </w:rPr>
        <w:fldChar w:fldCharType="separate"/>
      </w:r>
      <w:r w:rsidRPr="005422DE">
        <w:rPr>
          <w:noProof/>
        </w:rPr>
        <w:t>8</w:t>
      </w:r>
      <w:r w:rsidRPr="005422DE">
        <w:rPr>
          <w:noProof/>
        </w:rPr>
        <w:fldChar w:fldCharType="end"/>
      </w:r>
    </w:p>
    <w:p w14:paraId="1F539489" w14:textId="7AA828EE"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ADF Trust Amount</w:t>
      </w:r>
      <w:r w:rsidRPr="005422DE">
        <w:rPr>
          <w:noProof/>
        </w:rPr>
        <w:tab/>
      </w:r>
      <w:r w:rsidRPr="005422DE">
        <w:rPr>
          <w:noProof/>
        </w:rPr>
        <w:fldChar w:fldCharType="begin"/>
      </w:r>
      <w:r w:rsidRPr="005422DE">
        <w:rPr>
          <w:noProof/>
        </w:rPr>
        <w:instrText xml:space="preserve"> PAGEREF _Toc187396001 \h </w:instrText>
      </w:r>
      <w:r w:rsidRPr="005422DE">
        <w:rPr>
          <w:noProof/>
        </w:rPr>
      </w:r>
      <w:r w:rsidRPr="005422DE">
        <w:rPr>
          <w:noProof/>
        </w:rPr>
        <w:fldChar w:fldCharType="separate"/>
      </w:r>
      <w:r w:rsidRPr="005422DE">
        <w:rPr>
          <w:noProof/>
        </w:rPr>
        <w:t>9</w:t>
      </w:r>
      <w:r w:rsidRPr="005422DE">
        <w:rPr>
          <w:noProof/>
        </w:rPr>
        <w:fldChar w:fldCharType="end"/>
      </w:r>
    </w:p>
    <w:p w14:paraId="64761499" w14:textId="7FB97FD9"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Transfer of pending proceedings</w:t>
      </w:r>
      <w:r w:rsidRPr="005422DE">
        <w:rPr>
          <w:noProof/>
        </w:rPr>
        <w:tab/>
      </w:r>
      <w:r w:rsidRPr="005422DE">
        <w:rPr>
          <w:noProof/>
        </w:rPr>
        <w:fldChar w:fldCharType="begin"/>
      </w:r>
      <w:r w:rsidRPr="005422DE">
        <w:rPr>
          <w:noProof/>
        </w:rPr>
        <w:instrText xml:space="preserve"> PAGEREF _Toc187396002 \h </w:instrText>
      </w:r>
      <w:r w:rsidRPr="005422DE">
        <w:rPr>
          <w:noProof/>
        </w:rPr>
      </w:r>
      <w:r w:rsidRPr="005422DE">
        <w:rPr>
          <w:noProof/>
        </w:rPr>
        <w:fldChar w:fldCharType="separate"/>
      </w:r>
      <w:r w:rsidRPr="005422DE">
        <w:rPr>
          <w:noProof/>
        </w:rPr>
        <w:t>10</w:t>
      </w:r>
      <w:r w:rsidRPr="005422DE">
        <w:rPr>
          <w:noProof/>
        </w:rPr>
        <w:fldChar w:fldCharType="end"/>
      </w:r>
    </w:p>
    <w:p w14:paraId="210120B4" w14:textId="376162BE"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Exemption from taxation</w:t>
      </w:r>
      <w:r w:rsidRPr="005422DE">
        <w:rPr>
          <w:noProof/>
        </w:rPr>
        <w:tab/>
      </w:r>
      <w:r w:rsidRPr="005422DE">
        <w:rPr>
          <w:noProof/>
        </w:rPr>
        <w:fldChar w:fldCharType="begin"/>
      </w:r>
      <w:r w:rsidRPr="005422DE">
        <w:rPr>
          <w:noProof/>
        </w:rPr>
        <w:instrText xml:space="preserve"> PAGEREF _Toc187396003 \h </w:instrText>
      </w:r>
      <w:r w:rsidRPr="005422DE">
        <w:rPr>
          <w:noProof/>
        </w:rPr>
      </w:r>
      <w:r w:rsidRPr="005422DE">
        <w:rPr>
          <w:noProof/>
        </w:rPr>
        <w:fldChar w:fldCharType="separate"/>
      </w:r>
      <w:r w:rsidRPr="005422DE">
        <w:rPr>
          <w:noProof/>
        </w:rPr>
        <w:t>10</w:t>
      </w:r>
      <w:r w:rsidRPr="005422DE">
        <w:rPr>
          <w:noProof/>
        </w:rPr>
        <w:fldChar w:fldCharType="end"/>
      </w:r>
    </w:p>
    <w:p w14:paraId="43505B2E" w14:textId="166F7706"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19A</w:t>
      </w:r>
      <w:r>
        <w:rPr>
          <w:noProof/>
        </w:rPr>
        <w:tab/>
        <w:t>Operation of GST Law</w:t>
      </w:r>
      <w:r w:rsidRPr="005422DE">
        <w:rPr>
          <w:noProof/>
        </w:rPr>
        <w:tab/>
      </w:r>
      <w:r w:rsidRPr="005422DE">
        <w:rPr>
          <w:noProof/>
        </w:rPr>
        <w:fldChar w:fldCharType="begin"/>
      </w:r>
      <w:r w:rsidRPr="005422DE">
        <w:rPr>
          <w:noProof/>
        </w:rPr>
        <w:instrText xml:space="preserve"> PAGEREF _Toc187396004 \h </w:instrText>
      </w:r>
      <w:r w:rsidRPr="005422DE">
        <w:rPr>
          <w:noProof/>
        </w:rPr>
      </w:r>
      <w:r w:rsidRPr="005422DE">
        <w:rPr>
          <w:noProof/>
        </w:rPr>
        <w:fldChar w:fldCharType="separate"/>
      </w:r>
      <w:r w:rsidRPr="005422DE">
        <w:rPr>
          <w:noProof/>
        </w:rPr>
        <w:t>10</w:t>
      </w:r>
      <w:r w:rsidRPr="005422DE">
        <w:rPr>
          <w:noProof/>
        </w:rPr>
        <w:fldChar w:fldCharType="end"/>
      </w:r>
    </w:p>
    <w:p w14:paraId="7CC6B99E" w14:textId="298A3066"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References in certain instruments</w:t>
      </w:r>
      <w:r w:rsidRPr="005422DE">
        <w:rPr>
          <w:noProof/>
        </w:rPr>
        <w:tab/>
      </w:r>
      <w:r w:rsidRPr="005422DE">
        <w:rPr>
          <w:noProof/>
        </w:rPr>
        <w:fldChar w:fldCharType="begin"/>
      </w:r>
      <w:r w:rsidRPr="005422DE">
        <w:rPr>
          <w:noProof/>
        </w:rPr>
        <w:instrText xml:space="preserve"> PAGEREF _Toc187396005 \h </w:instrText>
      </w:r>
      <w:r w:rsidRPr="005422DE">
        <w:rPr>
          <w:noProof/>
        </w:rPr>
      </w:r>
      <w:r w:rsidRPr="005422DE">
        <w:rPr>
          <w:noProof/>
        </w:rPr>
        <w:fldChar w:fldCharType="separate"/>
      </w:r>
      <w:r w:rsidRPr="005422DE">
        <w:rPr>
          <w:noProof/>
        </w:rPr>
        <w:t>11</w:t>
      </w:r>
      <w:r w:rsidRPr="005422DE">
        <w:rPr>
          <w:noProof/>
        </w:rPr>
        <w:fldChar w:fldCharType="end"/>
      </w:r>
    </w:p>
    <w:p w14:paraId="6ECBCE4B" w14:textId="0FCB81C3"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Certificates in relation to assets</w:t>
      </w:r>
      <w:r w:rsidRPr="005422DE">
        <w:rPr>
          <w:noProof/>
        </w:rPr>
        <w:tab/>
      </w:r>
      <w:r w:rsidRPr="005422DE">
        <w:rPr>
          <w:noProof/>
        </w:rPr>
        <w:fldChar w:fldCharType="begin"/>
      </w:r>
      <w:r w:rsidRPr="005422DE">
        <w:rPr>
          <w:noProof/>
        </w:rPr>
        <w:instrText xml:space="preserve"> PAGEREF _Toc187396006 \h </w:instrText>
      </w:r>
      <w:r w:rsidRPr="005422DE">
        <w:rPr>
          <w:noProof/>
        </w:rPr>
      </w:r>
      <w:r w:rsidRPr="005422DE">
        <w:rPr>
          <w:noProof/>
        </w:rPr>
        <w:fldChar w:fldCharType="separate"/>
      </w:r>
      <w:r w:rsidRPr="005422DE">
        <w:rPr>
          <w:noProof/>
        </w:rPr>
        <w:t>11</w:t>
      </w:r>
      <w:r w:rsidRPr="005422DE">
        <w:rPr>
          <w:noProof/>
        </w:rPr>
        <w:fldChar w:fldCharType="end"/>
      </w:r>
    </w:p>
    <w:p w14:paraId="1BB602AB" w14:textId="69CD40CC" w:rsidR="005422DE" w:rsidRDefault="005422DE">
      <w:pPr>
        <w:pStyle w:val="TOC3"/>
        <w:rPr>
          <w:rFonts w:asciiTheme="minorHAnsi" w:eastAsiaTheme="minorEastAsia" w:hAnsiTheme="minorHAnsi" w:cstheme="minorBidi"/>
          <w:b w:val="0"/>
          <w:noProof/>
          <w:kern w:val="2"/>
          <w:sz w:val="24"/>
          <w:szCs w:val="24"/>
          <w14:ligatures w14:val="standardContextual"/>
        </w:rPr>
      </w:pPr>
      <w:r>
        <w:rPr>
          <w:noProof/>
        </w:rPr>
        <w:t>Division 4—Transfer of staff</w:t>
      </w:r>
      <w:r w:rsidRPr="005422DE">
        <w:rPr>
          <w:b w:val="0"/>
          <w:noProof/>
          <w:sz w:val="18"/>
        </w:rPr>
        <w:tab/>
      </w:r>
      <w:r w:rsidRPr="005422DE">
        <w:rPr>
          <w:b w:val="0"/>
          <w:noProof/>
          <w:sz w:val="18"/>
        </w:rPr>
        <w:fldChar w:fldCharType="begin"/>
      </w:r>
      <w:r w:rsidRPr="005422DE">
        <w:rPr>
          <w:b w:val="0"/>
          <w:noProof/>
          <w:sz w:val="18"/>
        </w:rPr>
        <w:instrText xml:space="preserve"> PAGEREF _Toc187396007 \h </w:instrText>
      </w:r>
      <w:r w:rsidRPr="005422DE">
        <w:rPr>
          <w:b w:val="0"/>
          <w:noProof/>
          <w:sz w:val="18"/>
        </w:rPr>
      </w:r>
      <w:r w:rsidRPr="005422DE">
        <w:rPr>
          <w:b w:val="0"/>
          <w:noProof/>
          <w:sz w:val="18"/>
        </w:rPr>
        <w:fldChar w:fldCharType="separate"/>
      </w:r>
      <w:r w:rsidRPr="005422DE">
        <w:rPr>
          <w:b w:val="0"/>
          <w:noProof/>
          <w:sz w:val="18"/>
        </w:rPr>
        <w:t>13</w:t>
      </w:r>
      <w:r w:rsidRPr="005422DE">
        <w:rPr>
          <w:b w:val="0"/>
          <w:noProof/>
          <w:sz w:val="18"/>
        </w:rPr>
        <w:fldChar w:fldCharType="end"/>
      </w:r>
    </w:p>
    <w:p w14:paraId="3091117F" w14:textId="58803DB7" w:rsidR="005422DE" w:rsidRDefault="005422DE">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5422DE">
        <w:rPr>
          <w:b w:val="0"/>
          <w:noProof/>
          <w:sz w:val="18"/>
        </w:rPr>
        <w:tab/>
      </w:r>
      <w:r w:rsidRPr="005422DE">
        <w:rPr>
          <w:b w:val="0"/>
          <w:noProof/>
          <w:sz w:val="18"/>
        </w:rPr>
        <w:fldChar w:fldCharType="begin"/>
      </w:r>
      <w:r w:rsidRPr="005422DE">
        <w:rPr>
          <w:b w:val="0"/>
          <w:noProof/>
          <w:sz w:val="18"/>
        </w:rPr>
        <w:instrText xml:space="preserve"> PAGEREF _Toc187396008 \h </w:instrText>
      </w:r>
      <w:r w:rsidRPr="005422DE">
        <w:rPr>
          <w:b w:val="0"/>
          <w:noProof/>
          <w:sz w:val="18"/>
        </w:rPr>
      </w:r>
      <w:r w:rsidRPr="005422DE">
        <w:rPr>
          <w:b w:val="0"/>
          <w:noProof/>
          <w:sz w:val="18"/>
        </w:rPr>
        <w:fldChar w:fldCharType="separate"/>
      </w:r>
      <w:r w:rsidRPr="005422DE">
        <w:rPr>
          <w:b w:val="0"/>
          <w:noProof/>
          <w:sz w:val="18"/>
        </w:rPr>
        <w:t>13</w:t>
      </w:r>
      <w:r w:rsidRPr="005422DE">
        <w:rPr>
          <w:b w:val="0"/>
          <w:noProof/>
          <w:sz w:val="18"/>
        </w:rPr>
        <w:fldChar w:fldCharType="end"/>
      </w:r>
    </w:p>
    <w:p w14:paraId="4858F187" w14:textId="15F0DF25"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Simplified outline</w:t>
      </w:r>
      <w:r w:rsidRPr="005422DE">
        <w:rPr>
          <w:noProof/>
        </w:rPr>
        <w:tab/>
      </w:r>
      <w:r w:rsidRPr="005422DE">
        <w:rPr>
          <w:noProof/>
        </w:rPr>
        <w:fldChar w:fldCharType="begin"/>
      </w:r>
      <w:r w:rsidRPr="005422DE">
        <w:rPr>
          <w:noProof/>
        </w:rPr>
        <w:instrText xml:space="preserve"> PAGEREF _Toc187396009 \h </w:instrText>
      </w:r>
      <w:r w:rsidRPr="005422DE">
        <w:rPr>
          <w:noProof/>
        </w:rPr>
      </w:r>
      <w:r w:rsidRPr="005422DE">
        <w:rPr>
          <w:noProof/>
        </w:rPr>
        <w:fldChar w:fldCharType="separate"/>
      </w:r>
      <w:r w:rsidRPr="005422DE">
        <w:rPr>
          <w:noProof/>
        </w:rPr>
        <w:t>13</w:t>
      </w:r>
      <w:r w:rsidRPr="005422DE">
        <w:rPr>
          <w:noProof/>
        </w:rPr>
        <w:fldChar w:fldCharType="end"/>
      </w:r>
    </w:p>
    <w:p w14:paraId="1736B152" w14:textId="16CC3A47"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Transfer of staff</w:t>
      </w:r>
      <w:r w:rsidRPr="005422DE">
        <w:rPr>
          <w:noProof/>
        </w:rPr>
        <w:tab/>
      </w:r>
      <w:r w:rsidRPr="005422DE">
        <w:rPr>
          <w:noProof/>
        </w:rPr>
        <w:fldChar w:fldCharType="begin"/>
      </w:r>
      <w:r w:rsidRPr="005422DE">
        <w:rPr>
          <w:noProof/>
        </w:rPr>
        <w:instrText xml:space="preserve"> PAGEREF _Toc187396010 \h </w:instrText>
      </w:r>
      <w:r w:rsidRPr="005422DE">
        <w:rPr>
          <w:noProof/>
        </w:rPr>
      </w:r>
      <w:r w:rsidRPr="005422DE">
        <w:rPr>
          <w:noProof/>
        </w:rPr>
        <w:fldChar w:fldCharType="separate"/>
      </w:r>
      <w:r w:rsidRPr="005422DE">
        <w:rPr>
          <w:noProof/>
        </w:rPr>
        <w:t>13</w:t>
      </w:r>
      <w:r w:rsidRPr="005422DE">
        <w:rPr>
          <w:noProof/>
        </w:rPr>
        <w:fldChar w:fldCharType="end"/>
      </w:r>
    </w:p>
    <w:p w14:paraId="283D5222" w14:textId="5DE09FA4"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Terms and conditions of transferred employees</w:t>
      </w:r>
      <w:r w:rsidRPr="005422DE">
        <w:rPr>
          <w:noProof/>
        </w:rPr>
        <w:tab/>
      </w:r>
      <w:r w:rsidRPr="005422DE">
        <w:rPr>
          <w:noProof/>
        </w:rPr>
        <w:fldChar w:fldCharType="begin"/>
      </w:r>
      <w:r w:rsidRPr="005422DE">
        <w:rPr>
          <w:noProof/>
        </w:rPr>
        <w:instrText xml:space="preserve"> PAGEREF _Toc187396011 \h </w:instrText>
      </w:r>
      <w:r w:rsidRPr="005422DE">
        <w:rPr>
          <w:noProof/>
        </w:rPr>
      </w:r>
      <w:r w:rsidRPr="005422DE">
        <w:rPr>
          <w:noProof/>
        </w:rPr>
        <w:fldChar w:fldCharType="separate"/>
      </w:r>
      <w:r w:rsidRPr="005422DE">
        <w:rPr>
          <w:noProof/>
        </w:rPr>
        <w:t>13</w:t>
      </w:r>
      <w:r w:rsidRPr="005422DE">
        <w:rPr>
          <w:noProof/>
        </w:rPr>
        <w:fldChar w:fldCharType="end"/>
      </w:r>
    </w:p>
    <w:p w14:paraId="5384B6CB" w14:textId="333E580D"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Variation of terms and conditions of employment</w:t>
      </w:r>
      <w:r w:rsidRPr="005422DE">
        <w:rPr>
          <w:noProof/>
        </w:rPr>
        <w:tab/>
      </w:r>
      <w:r w:rsidRPr="005422DE">
        <w:rPr>
          <w:noProof/>
        </w:rPr>
        <w:fldChar w:fldCharType="begin"/>
      </w:r>
      <w:r w:rsidRPr="005422DE">
        <w:rPr>
          <w:noProof/>
        </w:rPr>
        <w:instrText xml:space="preserve"> PAGEREF _Toc187396012 \h </w:instrText>
      </w:r>
      <w:r w:rsidRPr="005422DE">
        <w:rPr>
          <w:noProof/>
        </w:rPr>
      </w:r>
      <w:r w:rsidRPr="005422DE">
        <w:rPr>
          <w:noProof/>
        </w:rPr>
        <w:fldChar w:fldCharType="separate"/>
      </w:r>
      <w:r w:rsidRPr="005422DE">
        <w:rPr>
          <w:noProof/>
        </w:rPr>
        <w:t>14</w:t>
      </w:r>
      <w:r w:rsidRPr="005422DE">
        <w:rPr>
          <w:noProof/>
        </w:rPr>
        <w:fldChar w:fldCharType="end"/>
      </w:r>
    </w:p>
    <w:p w14:paraId="25657EC9" w14:textId="5257ED8C" w:rsidR="005422DE" w:rsidRDefault="005422DE">
      <w:pPr>
        <w:pStyle w:val="TOC4"/>
        <w:rPr>
          <w:rFonts w:asciiTheme="minorHAnsi" w:eastAsiaTheme="minorEastAsia" w:hAnsiTheme="minorHAnsi" w:cstheme="minorBidi"/>
          <w:b w:val="0"/>
          <w:noProof/>
          <w:kern w:val="2"/>
          <w:sz w:val="24"/>
          <w:szCs w:val="24"/>
          <w14:ligatures w14:val="standardContextual"/>
        </w:rPr>
      </w:pPr>
      <w:r>
        <w:rPr>
          <w:noProof/>
        </w:rPr>
        <w:t>Subdivision B—Application of the Safety, Rehabilitation and Compensation Act</w:t>
      </w:r>
      <w:r w:rsidRPr="005422DE">
        <w:rPr>
          <w:b w:val="0"/>
          <w:noProof/>
          <w:sz w:val="18"/>
        </w:rPr>
        <w:tab/>
      </w:r>
      <w:r w:rsidRPr="005422DE">
        <w:rPr>
          <w:b w:val="0"/>
          <w:noProof/>
          <w:sz w:val="18"/>
        </w:rPr>
        <w:fldChar w:fldCharType="begin"/>
      </w:r>
      <w:r w:rsidRPr="005422DE">
        <w:rPr>
          <w:b w:val="0"/>
          <w:noProof/>
          <w:sz w:val="18"/>
        </w:rPr>
        <w:instrText xml:space="preserve"> PAGEREF _Toc187396013 \h </w:instrText>
      </w:r>
      <w:r w:rsidRPr="005422DE">
        <w:rPr>
          <w:b w:val="0"/>
          <w:noProof/>
          <w:sz w:val="18"/>
        </w:rPr>
      </w:r>
      <w:r w:rsidRPr="005422DE">
        <w:rPr>
          <w:b w:val="0"/>
          <w:noProof/>
          <w:sz w:val="18"/>
        </w:rPr>
        <w:fldChar w:fldCharType="separate"/>
      </w:r>
      <w:r w:rsidRPr="005422DE">
        <w:rPr>
          <w:b w:val="0"/>
          <w:noProof/>
          <w:sz w:val="18"/>
        </w:rPr>
        <w:t>15</w:t>
      </w:r>
      <w:r w:rsidRPr="005422DE">
        <w:rPr>
          <w:b w:val="0"/>
          <w:noProof/>
          <w:sz w:val="18"/>
        </w:rPr>
        <w:fldChar w:fldCharType="end"/>
      </w:r>
    </w:p>
    <w:p w14:paraId="41BDB438" w14:textId="0A9092B0"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Continued application of SRC Act</w:t>
      </w:r>
      <w:r w:rsidRPr="005422DE">
        <w:rPr>
          <w:noProof/>
        </w:rPr>
        <w:tab/>
      </w:r>
      <w:r w:rsidRPr="005422DE">
        <w:rPr>
          <w:noProof/>
        </w:rPr>
        <w:fldChar w:fldCharType="begin"/>
      </w:r>
      <w:r w:rsidRPr="005422DE">
        <w:rPr>
          <w:noProof/>
        </w:rPr>
        <w:instrText xml:space="preserve"> PAGEREF _Toc187396014 \h </w:instrText>
      </w:r>
      <w:r w:rsidRPr="005422DE">
        <w:rPr>
          <w:noProof/>
        </w:rPr>
      </w:r>
      <w:r w:rsidRPr="005422DE">
        <w:rPr>
          <w:noProof/>
        </w:rPr>
        <w:fldChar w:fldCharType="separate"/>
      </w:r>
      <w:r w:rsidRPr="005422DE">
        <w:rPr>
          <w:noProof/>
        </w:rPr>
        <w:t>15</w:t>
      </w:r>
      <w:r w:rsidRPr="005422DE">
        <w:rPr>
          <w:noProof/>
        </w:rPr>
        <w:fldChar w:fldCharType="end"/>
      </w:r>
    </w:p>
    <w:p w14:paraId="25B7A1F6" w14:textId="3D589B8E"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Commonwealth liability to meet certain SRC Act liabilities</w:t>
      </w:r>
      <w:r w:rsidRPr="005422DE">
        <w:rPr>
          <w:noProof/>
        </w:rPr>
        <w:tab/>
      </w:r>
      <w:r w:rsidRPr="005422DE">
        <w:rPr>
          <w:noProof/>
        </w:rPr>
        <w:fldChar w:fldCharType="begin"/>
      </w:r>
      <w:r w:rsidRPr="005422DE">
        <w:rPr>
          <w:noProof/>
        </w:rPr>
        <w:instrText xml:space="preserve"> PAGEREF _Toc187396015 \h </w:instrText>
      </w:r>
      <w:r w:rsidRPr="005422DE">
        <w:rPr>
          <w:noProof/>
        </w:rPr>
      </w:r>
      <w:r w:rsidRPr="005422DE">
        <w:rPr>
          <w:noProof/>
        </w:rPr>
        <w:fldChar w:fldCharType="separate"/>
      </w:r>
      <w:r w:rsidRPr="005422DE">
        <w:rPr>
          <w:noProof/>
        </w:rPr>
        <w:t>15</w:t>
      </w:r>
      <w:r w:rsidRPr="005422DE">
        <w:rPr>
          <w:noProof/>
        </w:rPr>
        <w:fldChar w:fldCharType="end"/>
      </w:r>
    </w:p>
    <w:p w14:paraId="10CD1723" w14:textId="41C01364"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SRC Act: rehabilitation provisions</w:t>
      </w:r>
      <w:r w:rsidRPr="005422DE">
        <w:rPr>
          <w:noProof/>
        </w:rPr>
        <w:tab/>
      </w:r>
      <w:r w:rsidRPr="005422DE">
        <w:rPr>
          <w:noProof/>
        </w:rPr>
        <w:fldChar w:fldCharType="begin"/>
      </w:r>
      <w:r w:rsidRPr="005422DE">
        <w:rPr>
          <w:noProof/>
        </w:rPr>
        <w:instrText xml:space="preserve"> PAGEREF _Toc187396016 \h </w:instrText>
      </w:r>
      <w:r w:rsidRPr="005422DE">
        <w:rPr>
          <w:noProof/>
        </w:rPr>
      </w:r>
      <w:r w:rsidRPr="005422DE">
        <w:rPr>
          <w:noProof/>
        </w:rPr>
        <w:fldChar w:fldCharType="separate"/>
      </w:r>
      <w:r w:rsidRPr="005422DE">
        <w:rPr>
          <w:noProof/>
        </w:rPr>
        <w:t>15</w:t>
      </w:r>
      <w:r w:rsidRPr="005422DE">
        <w:rPr>
          <w:noProof/>
        </w:rPr>
        <w:fldChar w:fldCharType="end"/>
      </w:r>
    </w:p>
    <w:p w14:paraId="26FD591B" w14:textId="2F70FBD0"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Premiums under the SRC Act</w:t>
      </w:r>
      <w:r w:rsidRPr="005422DE">
        <w:rPr>
          <w:noProof/>
        </w:rPr>
        <w:tab/>
      </w:r>
      <w:r w:rsidRPr="005422DE">
        <w:rPr>
          <w:noProof/>
        </w:rPr>
        <w:fldChar w:fldCharType="begin"/>
      </w:r>
      <w:r w:rsidRPr="005422DE">
        <w:rPr>
          <w:noProof/>
        </w:rPr>
        <w:instrText xml:space="preserve"> PAGEREF _Toc187396017 \h </w:instrText>
      </w:r>
      <w:r w:rsidRPr="005422DE">
        <w:rPr>
          <w:noProof/>
        </w:rPr>
      </w:r>
      <w:r w:rsidRPr="005422DE">
        <w:rPr>
          <w:noProof/>
        </w:rPr>
        <w:fldChar w:fldCharType="separate"/>
      </w:r>
      <w:r w:rsidRPr="005422DE">
        <w:rPr>
          <w:noProof/>
        </w:rPr>
        <w:t>16</w:t>
      </w:r>
      <w:r w:rsidRPr="005422DE">
        <w:rPr>
          <w:noProof/>
        </w:rPr>
        <w:fldChar w:fldCharType="end"/>
      </w:r>
    </w:p>
    <w:p w14:paraId="60502DE8" w14:textId="5685AF12" w:rsidR="005422DE" w:rsidRDefault="005422DE">
      <w:pPr>
        <w:pStyle w:val="TOC4"/>
        <w:rPr>
          <w:rFonts w:asciiTheme="minorHAnsi" w:eastAsiaTheme="minorEastAsia" w:hAnsiTheme="minorHAnsi" w:cstheme="minorBidi"/>
          <w:b w:val="0"/>
          <w:noProof/>
          <w:kern w:val="2"/>
          <w:sz w:val="24"/>
          <w:szCs w:val="24"/>
          <w14:ligatures w14:val="standardContextual"/>
        </w:rPr>
      </w:pPr>
      <w:r>
        <w:rPr>
          <w:noProof/>
        </w:rPr>
        <w:lastRenderedPageBreak/>
        <w:t>Subdivision C—Deferred Defence Force Retirement and Death Benefits Act benefits</w:t>
      </w:r>
      <w:r w:rsidRPr="005422DE">
        <w:rPr>
          <w:b w:val="0"/>
          <w:noProof/>
          <w:sz w:val="18"/>
        </w:rPr>
        <w:tab/>
      </w:r>
      <w:r w:rsidRPr="005422DE">
        <w:rPr>
          <w:b w:val="0"/>
          <w:noProof/>
          <w:sz w:val="18"/>
        </w:rPr>
        <w:fldChar w:fldCharType="begin"/>
      </w:r>
      <w:r w:rsidRPr="005422DE">
        <w:rPr>
          <w:b w:val="0"/>
          <w:noProof/>
          <w:sz w:val="18"/>
        </w:rPr>
        <w:instrText xml:space="preserve"> PAGEREF _Toc187396018 \h </w:instrText>
      </w:r>
      <w:r w:rsidRPr="005422DE">
        <w:rPr>
          <w:b w:val="0"/>
          <w:noProof/>
          <w:sz w:val="18"/>
        </w:rPr>
      </w:r>
      <w:r w:rsidRPr="005422DE">
        <w:rPr>
          <w:b w:val="0"/>
          <w:noProof/>
          <w:sz w:val="18"/>
        </w:rPr>
        <w:fldChar w:fldCharType="separate"/>
      </w:r>
      <w:r w:rsidRPr="005422DE">
        <w:rPr>
          <w:b w:val="0"/>
          <w:noProof/>
          <w:sz w:val="18"/>
        </w:rPr>
        <w:t>17</w:t>
      </w:r>
      <w:r w:rsidRPr="005422DE">
        <w:rPr>
          <w:b w:val="0"/>
          <w:noProof/>
          <w:sz w:val="18"/>
        </w:rPr>
        <w:fldChar w:fldCharType="end"/>
      </w:r>
    </w:p>
    <w:p w14:paraId="7EFE19F5" w14:textId="7029F89B"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Saving: deferred benefits under the DFRDB Act</w:t>
      </w:r>
      <w:r w:rsidRPr="005422DE">
        <w:rPr>
          <w:noProof/>
        </w:rPr>
        <w:tab/>
      </w:r>
      <w:r w:rsidRPr="005422DE">
        <w:rPr>
          <w:noProof/>
        </w:rPr>
        <w:fldChar w:fldCharType="begin"/>
      </w:r>
      <w:r w:rsidRPr="005422DE">
        <w:rPr>
          <w:noProof/>
        </w:rPr>
        <w:instrText xml:space="preserve"> PAGEREF _Toc187396019 \h </w:instrText>
      </w:r>
      <w:r w:rsidRPr="005422DE">
        <w:rPr>
          <w:noProof/>
        </w:rPr>
      </w:r>
      <w:r w:rsidRPr="005422DE">
        <w:rPr>
          <w:noProof/>
        </w:rPr>
        <w:fldChar w:fldCharType="separate"/>
      </w:r>
      <w:r w:rsidRPr="005422DE">
        <w:rPr>
          <w:noProof/>
        </w:rPr>
        <w:t>17</w:t>
      </w:r>
      <w:r w:rsidRPr="005422DE">
        <w:rPr>
          <w:noProof/>
        </w:rPr>
        <w:fldChar w:fldCharType="end"/>
      </w:r>
    </w:p>
    <w:p w14:paraId="7536D5CB" w14:textId="1CBCE121" w:rsidR="005422DE" w:rsidRDefault="005422DE">
      <w:pPr>
        <w:pStyle w:val="TOC4"/>
        <w:rPr>
          <w:rFonts w:asciiTheme="minorHAnsi" w:eastAsiaTheme="minorEastAsia" w:hAnsiTheme="minorHAnsi" w:cstheme="minorBidi"/>
          <w:b w:val="0"/>
          <w:noProof/>
          <w:kern w:val="2"/>
          <w:sz w:val="24"/>
          <w:szCs w:val="24"/>
          <w14:ligatures w14:val="standardContextual"/>
        </w:rPr>
      </w:pPr>
      <w:r>
        <w:rPr>
          <w:noProof/>
        </w:rPr>
        <w:t>Subdivision D—Maternity leave provisions</w:t>
      </w:r>
      <w:r w:rsidRPr="005422DE">
        <w:rPr>
          <w:b w:val="0"/>
          <w:noProof/>
          <w:sz w:val="18"/>
        </w:rPr>
        <w:tab/>
      </w:r>
      <w:r w:rsidRPr="005422DE">
        <w:rPr>
          <w:b w:val="0"/>
          <w:noProof/>
          <w:sz w:val="18"/>
        </w:rPr>
        <w:fldChar w:fldCharType="begin"/>
      </w:r>
      <w:r w:rsidRPr="005422DE">
        <w:rPr>
          <w:b w:val="0"/>
          <w:noProof/>
          <w:sz w:val="18"/>
        </w:rPr>
        <w:instrText xml:space="preserve"> PAGEREF _Toc187396020 \h </w:instrText>
      </w:r>
      <w:r w:rsidRPr="005422DE">
        <w:rPr>
          <w:b w:val="0"/>
          <w:noProof/>
          <w:sz w:val="18"/>
        </w:rPr>
      </w:r>
      <w:r w:rsidRPr="005422DE">
        <w:rPr>
          <w:b w:val="0"/>
          <w:noProof/>
          <w:sz w:val="18"/>
        </w:rPr>
        <w:fldChar w:fldCharType="separate"/>
      </w:r>
      <w:r w:rsidRPr="005422DE">
        <w:rPr>
          <w:b w:val="0"/>
          <w:noProof/>
          <w:sz w:val="18"/>
        </w:rPr>
        <w:t>18</w:t>
      </w:r>
      <w:r w:rsidRPr="005422DE">
        <w:rPr>
          <w:b w:val="0"/>
          <w:noProof/>
          <w:sz w:val="18"/>
        </w:rPr>
        <w:fldChar w:fldCharType="end"/>
      </w:r>
    </w:p>
    <w:p w14:paraId="53B4CE72" w14:textId="6D1DCB5E"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Maternity leave starting before transfer day</w:t>
      </w:r>
      <w:r w:rsidRPr="005422DE">
        <w:rPr>
          <w:noProof/>
        </w:rPr>
        <w:tab/>
      </w:r>
      <w:r w:rsidRPr="005422DE">
        <w:rPr>
          <w:noProof/>
        </w:rPr>
        <w:fldChar w:fldCharType="begin"/>
      </w:r>
      <w:r w:rsidRPr="005422DE">
        <w:rPr>
          <w:noProof/>
        </w:rPr>
        <w:instrText xml:space="preserve"> PAGEREF _Toc187396021 \h </w:instrText>
      </w:r>
      <w:r w:rsidRPr="005422DE">
        <w:rPr>
          <w:noProof/>
        </w:rPr>
      </w:r>
      <w:r w:rsidRPr="005422DE">
        <w:rPr>
          <w:noProof/>
        </w:rPr>
        <w:fldChar w:fldCharType="separate"/>
      </w:r>
      <w:r w:rsidRPr="005422DE">
        <w:rPr>
          <w:noProof/>
        </w:rPr>
        <w:t>18</w:t>
      </w:r>
      <w:r w:rsidRPr="005422DE">
        <w:rPr>
          <w:noProof/>
        </w:rPr>
        <w:fldChar w:fldCharType="end"/>
      </w:r>
    </w:p>
    <w:p w14:paraId="5A60D570" w14:textId="1725AA24"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Maternity leave starting after transfer day</w:t>
      </w:r>
      <w:r w:rsidRPr="005422DE">
        <w:rPr>
          <w:noProof/>
        </w:rPr>
        <w:tab/>
      </w:r>
      <w:r w:rsidRPr="005422DE">
        <w:rPr>
          <w:noProof/>
        </w:rPr>
        <w:fldChar w:fldCharType="begin"/>
      </w:r>
      <w:r w:rsidRPr="005422DE">
        <w:rPr>
          <w:noProof/>
        </w:rPr>
        <w:instrText xml:space="preserve"> PAGEREF _Toc187396022 \h </w:instrText>
      </w:r>
      <w:r w:rsidRPr="005422DE">
        <w:rPr>
          <w:noProof/>
        </w:rPr>
      </w:r>
      <w:r w:rsidRPr="005422DE">
        <w:rPr>
          <w:noProof/>
        </w:rPr>
        <w:fldChar w:fldCharType="separate"/>
      </w:r>
      <w:r w:rsidRPr="005422DE">
        <w:rPr>
          <w:noProof/>
        </w:rPr>
        <w:t>18</w:t>
      </w:r>
      <w:r w:rsidRPr="005422DE">
        <w:rPr>
          <w:noProof/>
        </w:rPr>
        <w:fldChar w:fldCharType="end"/>
      </w:r>
    </w:p>
    <w:p w14:paraId="4FE9045A" w14:textId="417A36D5" w:rsidR="005422DE" w:rsidRDefault="005422DE">
      <w:pPr>
        <w:pStyle w:val="TOC4"/>
        <w:rPr>
          <w:rFonts w:asciiTheme="minorHAnsi" w:eastAsiaTheme="minorEastAsia" w:hAnsiTheme="minorHAnsi" w:cstheme="minorBidi"/>
          <w:b w:val="0"/>
          <w:noProof/>
          <w:kern w:val="2"/>
          <w:sz w:val="24"/>
          <w:szCs w:val="24"/>
          <w14:ligatures w14:val="standardContextual"/>
        </w:rPr>
      </w:pPr>
      <w:r>
        <w:rPr>
          <w:noProof/>
        </w:rPr>
        <w:t>Subdivision E—Provisions relating to superannuation</w:t>
      </w:r>
      <w:r w:rsidRPr="005422DE">
        <w:rPr>
          <w:b w:val="0"/>
          <w:noProof/>
          <w:sz w:val="18"/>
        </w:rPr>
        <w:tab/>
      </w:r>
      <w:r w:rsidRPr="005422DE">
        <w:rPr>
          <w:b w:val="0"/>
          <w:noProof/>
          <w:sz w:val="18"/>
        </w:rPr>
        <w:fldChar w:fldCharType="begin"/>
      </w:r>
      <w:r w:rsidRPr="005422DE">
        <w:rPr>
          <w:b w:val="0"/>
          <w:noProof/>
          <w:sz w:val="18"/>
        </w:rPr>
        <w:instrText xml:space="preserve"> PAGEREF _Toc187396023 \h </w:instrText>
      </w:r>
      <w:r w:rsidRPr="005422DE">
        <w:rPr>
          <w:b w:val="0"/>
          <w:noProof/>
          <w:sz w:val="18"/>
        </w:rPr>
      </w:r>
      <w:r w:rsidRPr="005422DE">
        <w:rPr>
          <w:b w:val="0"/>
          <w:noProof/>
          <w:sz w:val="18"/>
        </w:rPr>
        <w:fldChar w:fldCharType="separate"/>
      </w:r>
      <w:r w:rsidRPr="005422DE">
        <w:rPr>
          <w:b w:val="0"/>
          <w:noProof/>
          <w:sz w:val="18"/>
        </w:rPr>
        <w:t>19</w:t>
      </w:r>
      <w:r w:rsidRPr="005422DE">
        <w:rPr>
          <w:b w:val="0"/>
          <w:noProof/>
          <w:sz w:val="18"/>
        </w:rPr>
        <w:fldChar w:fldCharType="end"/>
      </w:r>
    </w:p>
    <w:p w14:paraId="3958C24B" w14:textId="72A3DC62"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 xml:space="preserve">Application of the </w:t>
      </w:r>
      <w:r w:rsidRPr="008E4CDA">
        <w:rPr>
          <w:i/>
          <w:noProof/>
        </w:rPr>
        <w:t>Superannuation Act 1922</w:t>
      </w:r>
      <w:r w:rsidRPr="005422DE">
        <w:rPr>
          <w:noProof/>
        </w:rPr>
        <w:tab/>
      </w:r>
      <w:r w:rsidRPr="005422DE">
        <w:rPr>
          <w:noProof/>
        </w:rPr>
        <w:fldChar w:fldCharType="begin"/>
      </w:r>
      <w:r w:rsidRPr="005422DE">
        <w:rPr>
          <w:noProof/>
        </w:rPr>
        <w:instrText xml:space="preserve"> PAGEREF _Toc187396024 \h </w:instrText>
      </w:r>
      <w:r w:rsidRPr="005422DE">
        <w:rPr>
          <w:noProof/>
        </w:rPr>
      </w:r>
      <w:r w:rsidRPr="005422DE">
        <w:rPr>
          <w:noProof/>
        </w:rPr>
        <w:fldChar w:fldCharType="separate"/>
      </w:r>
      <w:r w:rsidRPr="005422DE">
        <w:rPr>
          <w:noProof/>
        </w:rPr>
        <w:t>19</w:t>
      </w:r>
      <w:r w:rsidRPr="005422DE">
        <w:rPr>
          <w:noProof/>
        </w:rPr>
        <w:fldChar w:fldCharType="end"/>
      </w:r>
    </w:p>
    <w:p w14:paraId="1D2289AB" w14:textId="2E2E77B1"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Application of other Superannuation Acts</w:t>
      </w:r>
      <w:r w:rsidRPr="005422DE">
        <w:rPr>
          <w:noProof/>
        </w:rPr>
        <w:tab/>
      </w:r>
      <w:r w:rsidRPr="005422DE">
        <w:rPr>
          <w:noProof/>
        </w:rPr>
        <w:fldChar w:fldCharType="begin"/>
      </w:r>
      <w:r w:rsidRPr="005422DE">
        <w:rPr>
          <w:noProof/>
        </w:rPr>
        <w:instrText xml:space="preserve"> PAGEREF _Toc187396025 \h </w:instrText>
      </w:r>
      <w:r w:rsidRPr="005422DE">
        <w:rPr>
          <w:noProof/>
        </w:rPr>
      </w:r>
      <w:r w:rsidRPr="005422DE">
        <w:rPr>
          <w:noProof/>
        </w:rPr>
        <w:fldChar w:fldCharType="separate"/>
      </w:r>
      <w:r w:rsidRPr="005422DE">
        <w:rPr>
          <w:noProof/>
        </w:rPr>
        <w:t>19</w:t>
      </w:r>
      <w:r w:rsidRPr="005422DE">
        <w:rPr>
          <w:noProof/>
        </w:rPr>
        <w:fldChar w:fldCharType="end"/>
      </w:r>
    </w:p>
    <w:p w14:paraId="51083777" w14:textId="2A66A0B5"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 xml:space="preserve">Application of the </w:t>
      </w:r>
      <w:r w:rsidRPr="008E4CDA">
        <w:rPr>
          <w:i/>
          <w:noProof/>
        </w:rPr>
        <w:t>Superannuation Benefits (Supervisory Mechanisms) Act 1990</w:t>
      </w:r>
      <w:r w:rsidRPr="005422DE">
        <w:rPr>
          <w:noProof/>
        </w:rPr>
        <w:tab/>
      </w:r>
      <w:r w:rsidRPr="005422DE">
        <w:rPr>
          <w:noProof/>
        </w:rPr>
        <w:fldChar w:fldCharType="begin"/>
      </w:r>
      <w:r w:rsidRPr="005422DE">
        <w:rPr>
          <w:noProof/>
        </w:rPr>
        <w:instrText xml:space="preserve"> PAGEREF _Toc187396026 \h </w:instrText>
      </w:r>
      <w:r w:rsidRPr="005422DE">
        <w:rPr>
          <w:noProof/>
        </w:rPr>
      </w:r>
      <w:r w:rsidRPr="005422DE">
        <w:rPr>
          <w:noProof/>
        </w:rPr>
        <w:fldChar w:fldCharType="separate"/>
      </w:r>
      <w:r w:rsidRPr="005422DE">
        <w:rPr>
          <w:noProof/>
        </w:rPr>
        <w:t>19</w:t>
      </w:r>
      <w:r w:rsidRPr="005422DE">
        <w:rPr>
          <w:noProof/>
        </w:rPr>
        <w:fldChar w:fldCharType="end"/>
      </w:r>
    </w:p>
    <w:p w14:paraId="4344C1F9" w14:textId="4849D9D1" w:rsidR="005422DE" w:rsidRDefault="005422DE">
      <w:pPr>
        <w:pStyle w:val="TOC4"/>
        <w:rPr>
          <w:rFonts w:asciiTheme="minorHAnsi" w:eastAsiaTheme="minorEastAsia" w:hAnsiTheme="minorHAnsi" w:cstheme="minorBidi"/>
          <w:b w:val="0"/>
          <w:noProof/>
          <w:kern w:val="2"/>
          <w:sz w:val="24"/>
          <w:szCs w:val="24"/>
          <w14:ligatures w14:val="standardContextual"/>
        </w:rPr>
      </w:pPr>
      <w:r>
        <w:rPr>
          <w:noProof/>
        </w:rPr>
        <w:t>Subdivision F—Provisions relating to long service leave</w:t>
      </w:r>
      <w:r w:rsidRPr="005422DE">
        <w:rPr>
          <w:b w:val="0"/>
          <w:noProof/>
          <w:sz w:val="18"/>
        </w:rPr>
        <w:tab/>
      </w:r>
      <w:r w:rsidRPr="005422DE">
        <w:rPr>
          <w:b w:val="0"/>
          <w:noProof/>
          <w:sz w:val="18"/>
        </w:rPr>
        <w:fldChar w:fldCharType="begin"/>
      </w:r>
      <w:r w:rsidRPr="005422DE">
        <w:rPr>
          <w:b w:val="0"/>
          <w:noProof/>
          <w:sz w:val="18"/>
        </w:rPr>
        <w:instrText xml:space="preserve"> PAGEREF _Toc187396027 \h </w:instrText>
      </w:r>
      <w:r w:rsidRPr="005422DE">
        <w:rPr>
          <w:b w:val="0"/>
          <w:noProof/>
          <w:sz w:val="18"/>
        </w:rPr>
      </w:r>
      <w:r w:rsidRPr="005422DE">
        <w:rPr>
          <w:b w:val="0"/>
          <w:noProof/>
          <w:sz w:val="18"/>
        </w:rPr>
        <w:fldChar w:fldCharType="separate"/>
      </w:r>
      <w:r w:rsidRPr="005422DE">
        <w:rPr>
          <w:b w:val="0"/>
          <w:noProof/>
          <w:sz w:val="18"/>
        </w:rPr>
        <w:t>19</w:t>
      </w:r>
      <w:r w:rsidRPr="005422DE">
        <w:rPr>
          <w:b w:val="0"/>
          <w:noProof/>
          <w:sz w:val="18"/>
        </w:rPr>
        <w:fldChar w:fldCharType="end"/>
      </w:r>
    </w:p>
    <w:p w14:paraId="3FD23CF5" w14:textId="552A9B36"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Long service leave for employees with less than 10 years service</w:t>
      </w:r>
      <w:r w:rsidRPr="005422DE">
        <w:rPr>
          <w:noProof/>
        </w:rPr>
        <w:tab/>
      </w:r>
      <w:r w:rsidRPr="005422DE">
        <w:rPr>
          <w:noProof/>
        </w:rPr>
        <w:fldChar w:fldCharType="begin"/>
      </w:r>
      <w:r w:rsidRPr="005422DE">
        <w:rPr>
          <w:noProof/>
        </w:rPr>
        <w:instrText xml:space="preserve"> PAGEREF _Toc187396028 \h </w:instrText>
      </w:r>
      <w:r w:rsidRPr="005422DE">
        <w:rPr>
          <w:noProof/>
        </w:rPr>
      </w:r>
      <w:r w:rsidRPr="005422DE">
        <w:rPr>
          <w:noProof/>
        </w:rPr>
        <w:fldChar w:fldCharType="separate"/>
      </w:r>
      <w:r w:rsidRPr="005422DE">
        <w:rPr>
          <w:noProof/>
        </w:rPr>
        <w:t>19</w:t>
      </w:r>
      <w:r w:rsidRPr="005422DE">
        <w:rPr>
          <w:noProof/>
        </w:rPr>
        <w:fldChar w:fldCharType="end"/>
      </w:r>
    </w:p>
    <w:p w14:paraId="7F795220" w14:textId="05B036B0"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Payments in lieu of long service leave for employees with less than 10 years service</w:t>
      </w:r>
      <w:r w:rsidRPr="005422DE">
        <w:rPr>
          <w:noProof/>
        </w:rPr>
        <w:tab/>
      </w:r>
      <w:r w:rsidRPr="005422DE">
        <w:rPr>
          <w:noProof/>
        </w:rPr>
        <w:fldChar w:fldCharType="begin"/>
      </w:r>
      <w:r w:rsidRPr="005422DE">
        <w:rPr>
          <w:noProof/>
        </w:rPr>
        <w:instrText xml:space="preserve"> PAGEREF _Toc187396029 \h </w:instrText>
      </w:r>
      <w:r w:rsidRPr="005422DE">
        <w:rPr>
          <w:noProof/>
        </w:rPr>
      </w:r>
      <w:r w:rsidRPr="005422DE">
        <w:rPr>
          <w:noProof/>
        </w:rPr>
        <w:fldChar w:fldCharType="separate"/>
      </w:r>
      <w:r w:rsidRPr="005422DE">
        <w:rPr>
          <w:noProof/>
        </w:rPr>
        <w:t>21</w:t>
      </w:r>
      <w:r w:rsidRPr="005422DE">
        <w:rPr>
          <w:noProof/>
        </w:rPr>
        <w:fldChar w:fldCharType="end"/>
      </w:r>
    </w:p>
    <w:p w14:paraId="6C508EA2" w14:textId="1EDA5B5D"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Payments on the death of an employee</w:t>
      </w:r>
      <w:r w:rsidRPr="005422DE">
        <w:rPr>
          <w:noProof/>
        </w:rPr>
        <w:tab/>
      </w:r>
      <w:r w:rsidRPr="005422DE">
        <w:rPr>
          <w:noProof/>
        </w:rPr>
        <w:fldChar w:fldCharType="begin"/>
      </w:r>
      <w:r w:rsidRPr="005422DE">
        <w:rPr>
          <w:noProof/>
        </w:rPr>
        <w:instrText xml:space="preserve"> PAGEREF _Toc187396030 \h </w:instrText>
      </w:r>
      <w:r w:rsidRPr="005422DE">
        <w:rPr>
          <w:noProof/>
        </w:rPr>
      </w:r>
      <w:r w:rsidRPr="005422DE">
        <w:rPr>
          <w:noProof/>
        </w:rPr>
        <w:fldChar w:fldCharType="separate"/>
      </w:r>
      <w:r w:rsidRPr="005422DE">
        <w:rPr>
          <w:noProof/>
        </w:rPr>
        <w:t>22</w:t>
      </w:r>
      <w:r w:rsidRPr="005422DE">
        <w:rPr>
          <w:noProof/>
        </w:rPr>
        <w:fldChar w:fldCharType="end"/>
      </w:r>
    </w:p>
    <w:p w14:paraId="697CC42D" w14:textId="3C799BCC"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Employee’s long service leave credit for the purposes of sections 37 and 38</w:t>
      </w:r>
      <w:r w:rsidRPr="005422DE">
        <w:rPr>
          <w:noProof/>
        </w:rPr>
        <w:tab/>
      </w:r>
      <w:r w:rsidRPr="005422DE">
        <w:rPr>
          <w:noProof/>
        </w:rPr>
        <w:fldChar w:fldCharType="begin"/>
      </w:r>
      <w:r w:rsidRPr="005422DE">
        <w:rPr>
          <w:noProof/>
        </w:rPr>
        <w:instrText xml:space="preserve"> PAGEREF _Toc187396031 \h </w:instrText>
      </w:r>
      <w:r w:rsidRPr="005422DE">
        <w:rPr>
          <w:noProof/>
        </w:rPr>
      </w:r>
      <w:r w:rsidRPr="005422DE">
        <w:rPr>
          <w:noProof/>
        </w:rPr>
        <w:fldChar w:fldCharType="separate"/>
      </w:r>
      <w:r w:rsidRPr="005422DE">
        <w:rPr>
          <w:noProof/>
        </w:rPr>
        <w:t>23</w:t>
      </w:r>
      <w:r w:rsidRPr="005422DE">
        <w:rPr>
          <w:noProof/>
        </w:rPr>
        <w:fldChar w:fldCharType="end"/>
      </w:r>
    </w:p>
    <w:p w14:paraId="727EDEC4" w14:textId="50E5CEED"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Employees with at least 10 years service</w:t>
      </w:r>
      <w:r w:rsidRPr="005422DE">
        <w:rPr>
          <w:noProof/>
        </w:rPr>
        <w:tab/>
      </w:r>
      <w:r w:rsidRPr="005422DE">
        <w:rPr>
          <w:noProof/>
        </w:rPr>
        <w:fldChar w:fldCharType="begin"/>
      </w:r>
      <w:r w:rsidRPr="005422DE">
        <w:rPr>
          <w:noProof/>
        </w:rPr>
        <w:instrText xml:space="preserve"> PAGEREF _Toc187396032 \h </w:instrText>
      </w:r>
      <w:r w:rsidRPr="005422DE">
        <w:rPr>
          <w:noProof/>
        </w:rPr>
      </w:r>
      <w:r w:rsidRPr="005422DE">
        <w:rPr>
          <w:noProof/>
        </w:rPr>
        <w:fldChar w:fldCharType="separate"/>
      </w:r>
      <w:r w:rsidRPr="005422DE">
        <w:rPr>
          <w:noProof/>
        </w:rPr>
        <w:t>24</w:t>
      </w:r>
      <w:r w:rsidRPr="005422DE">
        <w:rPr>
          <w:noProof/>
        </w:rPr>
        <w:fldChar w:fldCharType="end"/>
      </w:r>
    </w:p>
    <w:p w14:paraId="0834FF0A" w14:textId="0B45D6A5"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Division not to affect post</w:t>
      </w:r>
      <w:r>
        <w:rPr>
          <w:noProof/>
        </w:rPr>
        <w:noBreakHyphen/>
        <w:t>commencement long service leave rights</w:t>
      </w:r>
      <w:r w:rsidRPr="005422DE">
        <w:rPr>
          <w:noProof/>
        </w:rPr>
        <w:tab/>
      </w:r>
      <w:r w:rsidRPr="005422DE">
        <w:rPr>
          <w:noProof/>
        </w:rPr>
        <w:fldChar w:fldCharType="begin"/>
      </w:r>
      <w:r w:rsidRPr="005422DE">
        <w:rPr>
          <w:noProof/>
        </w:rPr>
        <w:instrText xml:space="preserve"> PAGEREF _Toc187396033 \h </w:instrText>
      </w:r>
      <w:r w:rsidRPr="005422DE">
        <w:rPr>
          <w:noProof/>
        </w:rPr>
      </w:r>
      <w:r w:rsidRPr="005422DE">
        <w:rPr>
          <w:noProof/>
        </w:rPr>
        <w:fldChar w:fldCharType="separate"/>
      </w:r>
      <w:r w:rsidRPr="005422DE">
        <w:rPr>
          <w:noProof/>
        </w:rPr>
        <w:t>24</w:t>
      </w:r>
      <w:r w:rsidRPr="005422DE">
        <w:rPr>
          <w:noProof/>
        </w:rPr>
        <w:fldChar w:fldCharType="end"/>
      </w:r>
    </w:p>
    <w:p w14:paraId="7428E398" w14:textId="7CE59087" w:rsidR="005422DE" w:rsidRDefault="005422DE">
      <w:pPr>
        <w:pStyle w:val="TOC4"/>
        <w:rPr>
          <w:rFonts w:asciiTheme="minorHAnsi" w:eastAsiaTheme="minorEastAsia" w:hAnsiTheme="minorHAnsi" w:cstheme="minorBidi"/>
          <w:b w:val="0"/>
          <w:noProof/>
          <w:kern w:val="2"/>
          <w:sz w:val="24"/>
          <w:szCs w:val="24"/>
          <w14:ligatures w14:val="standardContextual"/>
        </w:rPr>
      </w:pPr>
      <w:r>
        <w:rPr>
          <w:noProof/>
        </w:rPr>
        <w:t>Subdivision G—Staff with mobility rights</w:t>
      </w:r>
      <w:r w:rsidRPr="005422DE">
        <w:rPr>
          <w:b w:val="0"/>
          <w:noProof/>
          <w:sz w:val="18"/>
        </w:rPr>
        <w:tab/>
      </w:r>
      <w:r w:rsidRPr="005422DE">
        <w:rPr>
          <w:b w:val="0"/>
          <w:noProof/>
          <w:sz w:val="18"/>
        </w:rPr>
        <w:fldChar w:fldCharType="begin"/>
      </w:r>
      <w:r w:rsidRPr="005422DE">
        <w:rPr>
          <w:b w:val="0"/>
          <w:noProof/>
          <w:sz w:val="18"/>
        </w:rPr>
        <w:instrText xml:space="preserve"> PAGEREF _Toc187396034 \h </w:instrText>
      </w:r>
      <w:r w:rsidRPr="005422DE">
        <w:rPr>
          <w:b w:val="0"/>
          <w:noProof/>
          <w:sz w:val="18"/>
        </w:rPr>
      </w:r>
      <w:r w:rsidRPr="005422DE">
        <w:rPr>
          <w:b w:val="0"/>
          <w:noProof/>
          <w:sz w:val="18"/>
        </w:rPr>
        <w:fldChar w:fldCharType="separate"/>
      </w:r>
      <w:r w:rsidRPr="005422DE">
        <w:rPr>
          <w:b w:val="0"/>
          <w:noProof/>
          <w:sz w:val="18"/>
        </w:rPr>
        <w:t>24</w:t>
      </w:r>
      <w:r w:rsidRPr="005422DE">
        <w:rPr>
          <w:b w:val="0"/>
          <w:noProof/>
          <w:sz w:val="18"/>
        </w:rPr>
        <w:fldChar w:fldCharType="end"/>
      </w:r>
    </w:p>
    <w:p w14:paraId="5FB02A90" w14:textId="18F2D6D4"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Cessation of mobility rights</w:t>
      </w:r>
      <w:r w:rsidRPr="005422DE">
        <w:rPr>
          <w:noProof/>
        </w:rPr>
        <w:tab/>
      </w:r>
      <w:r w:rsidRPr="005422DE">
        <w:rPr>
          <w:noProof/>
        </w:rPr>
        <w:fldChar w:fldCharType="begin"/>
      </w:r>
      <w:r w:rsidRPr="005422DE">
        <w:rPr>
          <w:noProof/>
        </w:rPr>
        <w:instrText xml:space="preserve"> PAGEREF _Toc187396035 \h </w:instrText>
      </w:r>
      <w:r w:rsidRPr="005422DE">
        <w:rPr>
          <w:noProof/>
        </w:rPr>
      </w:r>
      <w:r w:rsidRPr="005422DE">
        <w:rPr>
          <w:noProof/>
        </w:rPr>
        <w:fldChar w:fldCharType="separate"/>
      </w:r>
      <w:r w:rsidRPr="005422DE">
        <w:rPr>
          <w:noProof/>
        </w:rPr>
        <w:t>24</w:t>
      </w:r>
      <w:r w:rsidRPr="005422DE">
        <w:rPr>
          <w:noProof/>
        </w:rPr>
        <w:fldChar w:fldCharType="end"/>
      </w:r>
    </w:p>
    <w:p w14:paraId="045DC955" w14:textId="43A85C66" w:rsidR="005422DE" w:rsidRDefault="005422DE">
      <w:pPr>
        <w:pStyle w:val="TOC3"/>
        <w:rPr>
          <w:rFonts w:asciiTheme="minorHAnsi" w:eastAsiaTheme="minorEastAsia" w:hAnsiTheme="minorHAnsi" w:cstheme="minorBidi"/>
          <w:b w:val="0"/>
          <w:noProof/>
          <w:kern w:val="2"/>
          <w:sz w:val="24"/>
          <w:szCs w:val="24"/>
          <w14:ligatures w14:val="standardContextual"/>
        </w:rPr>
      </w:pPr>
      <w:r>
        <w:rPr>
          <w:noProof/>
        </w:rPr>
        <w:t>Division 5—Transitional period for export controls</w:t>
      </w:r>
      <w:r w:rsidRPr="005422DE">
        <w:rPr>
          <w:b w:val="0"/>
          <w:noProof/>
          <w:sz w:val="18"/>
        </w:rPr>
        <w:tab/>
      </w:r>
      <w:r w:rsidRPr="005422DE">
        <w:rPr>
          <w:b w:val="0"/>
          <w:noProof/>
          <w:sz w:val="18"/>
        </w:rPr>
        <w:fldChar w:fldCharType="begin"/>
      </w:r>
      <w:r w:rsidRPr="005422DE">
        <w:rPr>
          <w:b w:val="0"/>
          <w:noProof/>
          <w:sz w:val="18"/>
        </w:rPr>
        <w:instrText xml:space="preserve"> PAGEREF _Toc187396036 \h </w:instrText>
      </w:r>
      <w:r w:rsidRPr="005422DE">
        <w:rPr>
          <w:b w:val="0"/>
          <w:noProof/>
          <w:sz w:val="18"/>
        </w:rPr>
      </w:r>
      <w:r w:rsidRPr="005422DE">
        <w:rPr>
          <w:b w:val="0"/>
          <w:noProof/>
          <w:sz w:val="18"/>
        </w:rPr>
        <w:fldChar w:fldCharType="separate"/>
      </w:r>
      <w:r w:rsidRPr="005422DE">
        <w:rPr>
          <w:b w:val="0"/>
          <w:noProof/>
          <w:sz w:val="18"/>
        </w:rPr>
        <w:t>25</w:t>
      </w:r>
      <w:r w:rsidRPr="005422DE">
        <w:rPr>
          <w:b w:val="0"/>
          <w:noProof/>
          <w:sz w:val="18"/>
        </w:rPr>
        <w:fldChar w:fldCharType="end"/>
      </w:r>
    </w:p>
    <w:p w14:paraId="1D016E64" w14:textId="20F540F3"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Simplified outline</w:t>
      </w:r>
      <w:r w:rsidRPr="005422DE">
        <w:rPr>
          <w:noProof/>
        </w:rPr>
        <w:tab/>
      </w:r>
      <w:r w:rsidRPr="005422DE">
        <w:rPr>
          <w:noProof/>
        </w:rPr>
        <w:fldChar w:fldCharType="begin"/>
      </w:r>
      <w:r w:rsidRPr="005422DE">
        <w:rPr>
          <w:noProof/>
        </w:rPr>
        <w:instrText xml:space="preserve"> PAGEREF _Toc187396037 \h </w:instrText>
      </w:r>
      <w:r w:rsidRPr="005422DE">
        <w:rPr>
          <w:noProof/>
        </w:rPr>
      </w:r>
      <w:r w:rsidRPr="005422DE">
        <w:rPr>
          <w:noProof/>
        </w:rPr>
        <w:fldChar w:fldCharType="separate"/>
      </w:r>
      <w:r w:rsidRPr="005422DE">
        <w:rPr>
          <w:noProof/>
        </w:rPr>
        <w:t>25</w:t>
      </w:r>
      <w:r w:rsidRPr="005422DE">
        <w:rPr>
          <w:noProof/>
        </w:rPr>
        <w:fldChar w:fldCharType="end"/>
      </w:r>
    </w:p>
    <w:p w14:paraId="5AF4A1C2" w14:textId="7B2C3818"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Continuation of export controls despite repeal of AHC Act</w:t>
      </w:r>
      <w:r w:rsidRPr="005422DE">
        <w:rPr>
          <w:noProof/>
        </w:rPr>
        <w:tab/>
      </w:r>
      <w:r w:rsidRPr="005422DE">
        <w:rPr>
          <w:noProof/>
        </w:rPr>
        <w:fldChar w:fldCharType="begin"/>
      </w:r>
      <w:r w:rsidRPr="005422DE">
        <w:rPr>
          <w:noProof/>
        </w:rPr>
        <w:instrText xml:space="preserve"> PAGEREF _Toc187396038 \h </w:instrText>
      </w:r>
      <w:r w:rsidRPr="005422DE">
        <w:rPr>
          <w:noProof/>
        </w:rPr>
      </w:r>
      <w:r w:rsidRPr="005422DE">
        <w:rPr>
          <w:noProof/>
        </w:rPr>
        <w:fldChar w:fldCharType="separate"/>
      </w:r>
      <w:r w:rsidRPr="005422DE">
        <w:rPr>
          <w:noProof/>
        </w:rPr>
        <w:t>25</w:t>
      </w:r>
      <w:r w:rsidRPr="005422DE">
        <w:rPr>
          <w:noProof/>
        </w:rPr>
        <w:fldChar w:fldCharType="end"/>
      </w:r>
    </w:p>
    <w:p w14:paraId="75EE687D" w14:textId="0B0DD184"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References to AHC and Product Board</w:t>
      </w:r>
      <w:r w:rsidRPr="005422DE">
        <w:rPr>
          <w:noProof/>
        </w:rPr>
        <w:tab/>
      </w:r>
      <w:r w:rsidRPr="005422DE">
        <w:rPr>
          <w:noProof/>
        </w:rPr>
        <w:fldChar w:fldCharType="begin"/>
      </w:r>
      <w:r w:rsidRPr="005422DE">
        <w:rPr>
          <w:noProof/>
        </w:rPr>
        <w:instrText xml:space="preserve"> PAGEREF _Toc187396039 \h </w:instrText>
      </w:r>
      <w:r w:rsidRPr="005422DE">
        <w:rPr>
          <w:noProof/>
        </w:rPr>
      </w:r>
      <w:r w:rsidRPr="005422DE">
        <w:rPr>
          <w:noProof/>
        </w:rPr>
        <w:fldChar w:fldCharType="separate"/>
      </w:r>
      <w:r w:rsidRPr="005422DE">
        <w:rPr>
          <w:noProof/>
        </w:rPr>
        <w:t>26</w:t>
      </w:r>
      <w:r w:rsidRPr="005422DE">
        <w:rPr>
          <w:noProof/>
        </w:rPr>
        <w:fldChar w:fldCharType="end"/>
      </w:r>
    </w:p>
    <w:p w14:paraId="562B7B85" w14:textId="1B969000"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Phasing out of export controls under Part V of AHC Act</w:t>
      </w:r>
      <w:r w:rsidRPr="005422DE">
        <w:rPr>
          <w:noProof/>
        </w:rPr>
        <w:tab/>
      </w:r>
      <w:r w:rsidRPr="005422DE">
        <w:rPr>
          <w:noProof/>
        </w:rPr>
        <w:fldChar w:fldCharType="begin"/>
      </w:r>
      <w:r w:rsidRPr="005422DE">
        <w:rPr>
          <w:noProof/>
        </w:rPr>
        <w:instrText xml:space="preserve"> PAGEREF _Toc187396040 \h </w:instrText>
      </w:r>
      <w:r w:rsidRPr="005422DE">
        <w:rPr>
          <w:noProof/>
        </w:rPr>
      </w:r>
      <w:r w:rsidRPr="005422DE">
        <w:rPr>
          <w:noProof/>
        </w:rPr>
        <w:fldChar w:fldCharType="separate"/>
      </w:r>
      <w:r w:rsidRPr="005422DE">
        <w:rPr>
          <w:noProof/>
        </w:rPr>
        <w:t>26</w:t>
      </w:r>
      <w:r w:rsidRPr="005422DE">
        <w:rPr>
          <w:noProof/>
        </w:rPr>
        <w:fldChar w:fldCharType="end"/>
      </w:r>
    </w:p>
    <w:p w14:paraId="5D2E7DBF" w14:textId="65899B48" w:rsidR="005422DE" w:rsidRDefault="005422DE">
      <w:pPr>
        <w:pStyle w:val="TOC3"/>
        <w:rPr>
          <w:rFonts w:asciiTheme="minorHAnsi" w:eastAsiaTheme="minorEastAsia" w:hAnsiTheme="minorHAnsi" w:cstheme="minorBidi"/>
          <w:b w:val="0"/>
          <w:noProof/>
          <w:kern w:val="2"/>
          <w:sz w:val="24"/>
          <w:szCs w:val="24"/>
          <w14:ligatures w14:val="standardContextual"/>
        </w:rPr>
      </w:pPr>
      <w:r>
        <w:rPr>
          <w:noProof/>
        </w:rPr>
        <w:t>Division 6—Final annual reports</w:t>
      </w:r>
      <w:r w:rsidRPr="005422DE">
        <w:rPr>
          <w:b w:val="0"/>
          <w:noProof/>
          <w:sz w:val="18"/>
        </w:rPr>
        <w:tab/>
      </w:r>
      <w:r w:rsidRPr="005422DE">
        <w:rPr>
          <w:b w:val="0"/>
          <w:noProof/>
          <w:sz w:val="18"/>
        </w:rPr>
        <w:fldChar w:fldCharType="begin"/>
      </w:r>
      <w:r w:rsidRPr="005422DE">
        <w:rPr>
          <w:b w:val="0"/>
          <w:noProof/>
          <w:sz w:val="18"/>
        </w:rPr>
        <w:instrText xml:space="preserve"> PAGEREF _Toc187396041 \h </w:instrText>
      </w:r>
      <w:r w:rsidRPr="005422DE">
        <w:rPr>
          <w:b w:val="0"/>
          <w:noProof/>
          <w:sz w:val="18"/>
        </w:rPr>
      </w:r>
      <w:r w:rsidRPr="005422DE">
        <w:rPr>
          <w:b w:val="0"/>
          <w:noProof/>
          <w:sz w:val="18"/>
        </w:rPr>
        <w:fldChar w:fldCharType="separate"/>
      </w:r>
      <w:r w:rsidRPr="005422DE">
        <w:rPr>
          <w:b w:val="0"/>
          <w:noProof/>
          <w:sz w:val="18"/>
        </w:rPr>
        <w:t>28</w:t>
      </w:r>
      <w:r w:rsidRPr="005422DE">
        <w:rPr>
          <w:b w:val="0"/>
          <w:noProof/>
          <w:sz w:val="18"/>
        </w:rPr>
        <w:fldChar w:fldCharType="end"/>
      </w:r>
    </w:p>
    <w:p w14:paraId="5B9AFFD2" w14:textId="170560C2"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Simplified outline</w:t>
      </w:r>
      <w:r w:rsidRPr="005422DE">
        <w:rPr>
          <w:noProof/>
        </w:rPr>
        <w:tab/>
      </w:r>
      <w:r w:rsidRPr="005422DE">
        <w:rPr>
          <w:noProof/>
        </w:rPr>
        <w:fldChar w:fldCharType="begin"/>
      </w:r>
      <w:r w:rsidRPr="005422DE">
        <w:rPr>
          <w:noProof/>
        </w:rPr>
        <w:instrText xml:space="preserve"> PAGEREF _Toc187396042 \h </w:instrText>
      </w:r>
      <w:r w:rsidRPr="005422DE">
        <w:rPr>
          <w:noProof/>
        </w:rPr>
      </w:r>
      <w:r w:rsidRPr="005422DE">
        <w:rPr>
          <w:noProof/>
        </w:rPr>
        <w:fldChar w:fldCharType="separate"/>
      </w:r>
      <w:r w:rsidRPr="005422DE">
        <w:rPr>
          <w:noProof/>
        </w:rPr>
        <w:t>28</w:t>
      </w:r>
      <w:r w:rsidRPr="005422DE">
        <w:rPr>
          <w:noProof/>
        </w:rPr>
        <w:fldChar w:fldCharType="end"/>
      </w:r>
    </w:p>
    <w:p w14:paraId="645509A8" w14:textId="5741587C"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Final annual report: Australian Horticultural Corporation</w:t>
      </w:r>
      <w:r w:rsidRPr="005422DE">
        <w:rPr>
          <w:noProof/>
        </w:rPr>
        <w:tab/>
      </w:r>
      <w:r w:rsidRPr="005422DE">
        <w:rPr>
          <w:noProof/>
        </w:rPr>
        <w:fldChar w:fldCharType="begin"/>
      </w:r>
      <w:r w:rsidRPr="005422DE">
        <w:rPr>
          <w:noProof/>
        </w:rPr>
        <w:instrText xml:space="preserve"> PAGEREF _Toc187396043 \h </w:instrText>
      </w:r>
      <w:r w:rsidRPr="005422DE">
        <w:rPr>
          <w:noProof/>
        </w:rPr>
      </w:r>
      <w:r w:rsidRPr="005422DE">
        <w:rPr>
          <w:noProof/>
        </w:rPr>
        <w:fldChar w:fldCharType="separate"/>
      </w:r>
      <w:r w:rsidRPr="005422DE">
        <w:rPr>
          <w:noProof/>
        </w:rPr>
        <w:t>28</w:t>
      </w:r>
      <w:r w:rsidRPr="005422DE">
        <w:rPr>
          <w:noProof/>
        </w:rPr>
        <w:fldChar w:fldCharType="end"/>
      </w:r>
    </w:p>
    <w:p w14:paraId="2D60613A" w14:textId="09D79142"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Final annual report: Australian Dried Fruits Board</w:t>
      </w:r>
      <w:r w:rsidRPr="005422DE">
        <w:rPr>
          <w:noProof/>
        </w:rPr>
        <w:tab/>
      </w:r>
      <w:r w:rsidRPr="005422DE">
        <w:rPr>
          <w:noProof/>
        </w:rPr>
        <w:fldChar w:fldCharType="begin"/>
      </w:r>
      <w:r w:rsidRPr="005422DE">
        <w:rPr>
          <w:noProof/>
        </w:rPr>
        <w:instrText xml:space="preserve"> PAGEREF _Toc187396044 \h </w:instrText>
      </w:r>
      <w:r w:rsidRPr="005422DE">
        <w:rPr>
          <w:noProof/>
        </w:rPr>
      </w:r>
      <w:r w:rsidRPr="005422DE">
        <w:rPr>
          <w:noProof/>
        </w:rPr>
        <w:fldChar w:fldCharType="separate"/>
      </w:r>
      <w:r w:rsidRPr="005422DE">
        <w:rPr>
          <w:noProof/>
        </w:rPr>
        <w:t>29</w:t>
      </w:r>
      <w:r w:rsidRPr="005422DE">
        <w:rPr>
          <w:noProof/>
        </w:rPr>
        <w:fldChar w:fldCharType="end"/>
      </w:r>
    </w:p>
    <w:p w14:paraId="657EB6D3" w14:textId="5DCB5F23"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Final annual report: Horticultural Research and Development Corporation</w:t>
      </w:r>
      <w:r w:rsidRPr="005422DE">
        <w:rPr>
          <w:noProof/>
        </w:rPr>
        <w:tab/>
      </w:r>
      <w:r w:rsidRPr="005422DE">
        <w:rPr>
          <w:noProof/>
        </w:rPr>
        <w:fldChar w:fldCharType="begin"/>
      </w:r>
      <w:r w:rsidRPr="005422DE">
        <w:rPr>
          <w:noProof/>
        </w:rPr>
        <w:instrText xml:space="preserve"> PAGEREF _Toc187396045 \h </w:instrText>
      </w:r>
      <w:r w:rsidRPr="005422DE">
        <w:rPr>
          <w:noProof/>
        </w:rPr>
      </w:r>
      <w:r w:rsidRPr="005422DE">
        <w:rPr>
          <w:noProof/>
        </w:rPr>
        <w:fldChar w:fldCharType="separate"/>
      </w:r>
      <w:r w:rsidRPr="005422DE">
        <w:rPr>
          <w:noProof/>
        </w:rPr>
        <w:t>29</w:t>
      </w:r>
      <w:r w:rsidRPr="005422DE">
        <w:rPr>
          <w:noProof/>
        </w:rPr>
        <w:fldChar w:fldCharType="end"/>
      </w:r>
    </w:p>
    <w:p w14:paraId="4938A4CD" w14:textId="55494974" w:rsidR="005422DE" w:rsidRDefault="005422DE">
      <w:pPr>
        <w:pStyle w:val="TOC3"/>
        <w:rPr>
          <w:rFonts w:asciiTheme="minorHAnsi" w:eastAsiaTheme="minorEastAsia" w:hAnsiTheme="minorHAnsi" w:cstheme="minorBidi"/>
          <w:b w:val="0"/>
          <w:noProof/>
          <w:kern w:val="2"/>
          <w:sz w:val="24"/>
          <w:szCs w:val="24"/>
          <w14:ligatures w14:val="standardContextual"/>
        </w:rPr>
      </w:pPr>
      <w:r>
        <w:rPr>
          <w:noProof/>
        </w:rPr>
        <w:t>Division 7—Miscellaneous</w:t>
      </w:r>
      <w:r w:rsidRPr="005422DE">
        <w:rPr>
          <w:b w:val="0"/>
          <w:noProof/>
          <w:sz w:val="18"/>
        </w:rPr>
        <w:tab/>
      </w:r>
      <w:r w:rsidRPr="005422DE">
        <w:rPr>
          <w:b w:val="0"/>
          <w:noProof/>
          <w:sz w:val="18"/>
        </w:rPr>
        <w:fldChar w:fldCharType="begin"/>
      </w:r>
      <w:r w:rsidRPr="005422DE">
        <w:rPr>
          <w:b w:val="0"/>
          <w:noProof/>
          <w:sz w:val="18"/>
        </w:rPr>
        <w:instrText xml:space="preserve"> PAGEREF _Toc187396046 \h </w:instrText>
      </w:r>
      <w:r w:rsidRPr="005422DE">
        <w:rPr>
          <w:b w:val="0"/>
          <w:noProof/>
          <w:sz w:val="18"/>
        </w:rPr>
      </w:r>
      <w:r w:rsidRPr="005422DE">
        <w:rPr>
          <w:b w:val="0"/>
          <w:noProof/>
          <w:sz w:val="18"/>
        </w:rPr>
        <w:fldChar w:fldCharType="separate"/>
      </w:r>
      <w:r w:rsidRPr="005422DE">
        <w:rPr>
          <w:b w:val="0"/>
          <w:noProof/>
          <w:sz w:val="18"/>
        </w:rPr>
        <w:t>31</w:t>
      </w:r>
      <w:r w:rsidRPr="005422DE">
        <w:rPr>
          <w:b w:val="0"/>
          <w:noProof/>
          <w:sz w:val="18"/>
        </w:rPr>
        <w:fldChar w:fldCharType="end"/>
      </w:r>
    </w:p>
    <w:p w14:paraId="1D1738BF" w14:textId="4E9A8FC0"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52</w:t>
      </w:r>
      <w:r>
        <w:rPr>
          <w:noProof/>
        </w:rPr>
        <w:tab/>
        <w:t>Delegation of Secretary’s powers</w:t>
      </w:r>
      <w:r w:rsidRPr="005422DE">
        <w:rPr>
          <w:noProof/>
        </w:rPr>
        <w:tab/>
      </w:r>
      <w:r w:rsidRPr="005422DE">
        <w:rPr>
          <w:noProof/>
        </w:rPr>
        <w:fldChar w:fldCharType="begin"/>
      </w:r>
      <w:r w:rsidRPr="005422DE">
        <w:rPr>
          <w:noProof/>
        </w:rPr>
        <w:instrText xml:space="preserve"> PAGEREF _Toc187396047 \h </w:instrText>
      </w:r>
      <w:r w:rsidRPr="005422DE">
        <w:rPr>
          <w:noProof/>
        </w:rPr>
      </w:r>
      <w:r w:rsidRPr="005422DE">
        <w:rPr>
          <w:noProof/>
        </w:rPr>
        <w:fldChar w:fldCharType="separate"/>
      </w:r>
      <w:r w:rsidRPr="005422DE">
        <w:rPr>
          <w:noProof/>
        </w:rPr>
        <w:t>31</w:t>
      </w:r>
      <w:r w:rsidRPr="005422DE">
        <w:rPr>
          <w:noProof/>
        </w:rPr>
        <w:fldChar w:fldCharType="end"/>
      </w:r>
    </w:p>
    <w:p w14:paraId="1EE8BCEC" w14:textId="2D19A1E3" w:rsidR="005422DE" w:rsidRDefault="005422DE">
      <w:pPr>
        <w:pStyle w:val="TOC5"/>
        <w:rPr>
          <w:rFonts w:asciiTheme="minorHAnsi" w:eastAsiaTheme="minorEastAsia" w:hAnsiTheme="minorHAnsi" w:cstheme="minorBidi"/>
          <w:noProof/>
          <w:kern w:val="2"/>
          <w:sz w:val="24"/>
          <w:szCs w:val="24"/>
          <w14:ligatures w14:val="standardContextual"/>
        </w:rPr>
      </w:pPr>
      <w:r>
        <w:rPr>
          <w:noProof/>
        </w:rPr>
        <w:lastRenderedPageBreak/>
        <w:t>53</w:t>
      </w:r>
      <w:r>
        <w:rPr>
          <w:noProof/>
        </w:rPr>
        <w:tab/>
        <w:t>Compensation for acquisition of property</w:t>
      </w:r>
      <w:r w:rsidRPr="005422DE">
        <w:rPr>
          <w:noProof/>
        </w:rPr>
        <w:tab/>
      </w:r>
      <w:r w:rsidRPr="005422DE">
        <w:rPr>
          <w:noProof/>
        </w:rPr>
        <w:fldChar w:fldCharType="begin"/>
      </w:r>
      <w:r w:rsidRPr="005422DE">
        <w:rPr>
          <w:noProof/>
        </w:rPr>
        <w:instrText xml:space="preserve"> PAGEREF _Toc187396048 \h </w:instrText>
      </w:r>
      <w:r w:rsidRPr="005422DE">
        <w:rPr>
          <w:noProof/>
        </w:rPr>
      </w:r>
      <w:r w:rsidRPr="005422DE">
        <w:rPr>
          <w:noProof/>
        </w:rPr>
        <w:fldChar w:fldCharType="separate"/>
      </w:r>
      <w:r w:rsidRPr="005422DE">
        <w:rPr>
          <w:noProof/>
        </w:rPr>
        <w:t>31</w:t>
      </w:r>
      <w:r w:rsidRPr="005422DE">
        <w:rPr>
          <w:noProof/>
        </w:rPr>
        <w:fldChar w:fldCharType="end"/>
      </w:r>
    </w:p>
    <w:p w14:paraId="61A472CA" w14:textId="63409A51" w:rsidR="005422DE" w:rsidRDefault="005422DE">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Regulations</w:t>
      </w:r>
      <w:r w:rsidRPr="005422DE">
        <w:rPr>
          <w:noProof/>
        </w:rPr>
        <w:tab/>
      </w:r>
      <w:r w:rsidRPr="005422DE">
        <w:rPr>
          <w:noProof/>
        </w:rPr>
        <w:fldChar w:fldCharType="begin"/>
      </w:r>
      <w:r w:rsidRPr="005422DE">
        <w:rPr>
          <w:noProof/>
        </w:rPr>
        <w:instrText xml:space="preserve"> PAGEREF _Toc187396049 \h </w:instrText>
      </w:r>
      <w:r w:rsidRPr="005422DE">
        <w:rPr>
          <w:noProof/>
        </w:rPr>
      </w:r>
      <w:r w:rsidRPr="005422DE">
        <w:rPr>
          <w:noProof/>
        </w:rPr>
        <w:fldChar w:fldCharType="separate"/>
      </w:r>
      <w:r w:rsidRPr="005422DE">
        <w:rPr>
          <w:noProof/>
        </w:rPr>
        <w:t>31</w:t>
      </w:r>
      <w:r w:rsidRPr="005422DE">
        <w:rPr>
          <w:noProof/>
        </w:rPr>
        <w:fldChar w:fldCharType="end"/>
      </w:r>
    </w:p>
    <w:p w14:paraId="7CD48D0A" w14:textId="75DC46FA" w:rsidR="005422DE" w:rsidRDefault="005422DE" w:rsidP="005422DE">
      <w:pPr>
        <w:pStyle w:val="TOC2"/>
        <w:rPr>
          <w:rFonts w:asciiTheme="minorHAnsi" w:eastAsiaTheme="minorEastAsia" w:hAnsiTheme="minorHAnsi" w:cstheme="minorBidi"/>
          <w:b w:val="0"/>
          <w:noProof/>
          <w:kern w:val="2"/>
          <w:szCs w:val="24"/>
          <w14:ligatures w14:val="standardContextual"/>
        </w:rPr>
      </w:pPr>
      <w:r>
        <w:rPr>
          <w:noProof/>
        </w:rPr>
        <w:t>Endnotes</w:t>
      </w:r>
      <w:r w:rsidRPr="005422DE">
        <w:rPr>
          <w:b w:val="0"/>
          <w:noProof/>
          <w:sz w:val="18"/>
        </w:rPr>
        <w:tab/>
      </w:r>
      <w:r w:rsidRPr="005422DE">
        <w:rPr>
          <w:b w:val="0"/>
          <w:noProof/>
          <w:sz w:val="18"/>
        </w:rPr>
        <w:fldChar w:fldCharType="begin"/>
      </w:r>
      <w:r w:rsidRPr="005422DE">
        <w:rPr>
          <w:b w:val="0"/>
          <w:noProof/>
          <w:sz w:val="18"/>
        </w:rPr>
        <w:instrText xml:space="preserve"> PAGEREF _Toc187396050 \h </w:instrText>
      </w:r>
      <w:r w:rsidRPr="005422DE">
        <w:rPr>
          <w:b w:val="0"/>
          <w:noProof/>
          <w:sz w:val="18"/>
        </w:rPr>
      </w:r>
      <w:r w:rsidRPr="005422DE">
        <w:rPr>
          <w:b w:val="0"/>
          <w:noProof/>
          <w:sz w:val="18"/>
        </w:rPr>
        <w:fldChar w:fldCharType="separate"/>
      </w:r>
      <w:r w:rsidRPr="005422DE">
        <w:rPr>
          <w:b w:val="0"/>
          <w:noProof/>
          <w:sz w:val="18"/>
        </w:rPr>
        <w:t>33</w:t>
      </w:r>
      <w:r w:rsidRPr="005422DE">
        <w:rPr>
          <w:b w:val="0"/>
          <w:noProof/>
          <w:sz w:val="18"/>
        </w:rPr>
        <w:fldChar w:fldCharType="end"/>
      </w:r>
    </w:p>
    <w:p w14:paraId="0133BACA" w14:textId="01D8978C" w:rsidR="005422DE" w:rsidRDefault="005422DE">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5422DE">
        <w:rPr>
          <w:b w:val="0"/>
          <w:noProof/>
          <w:sz w:val="18"/>
        </w:rPr>
        <w:tab/>
      </w:r>
      <w:r w:rsidRPr="005422DE">
        <w:rPr>
          <w:b w:val="0"/>
          <w:noProof/>
          <w:sz w:val="18"/>
        </w:rPr>
        <w:fldChar w:fldCharType="begin"/>
      </w:r>
      <w:r w:rsidRPr="005422DE">
        <w:rPr>
          <w:b w:val="0"/>
          <w:noProof/>
          <w:sz w:val="18"/>
        </w:rPr>
        <w:instrText xml:space="preserve"> PAGEREF _Toc187396051 \h </w:instrText>
      </w:r>
      <w:r w:rsidRPr="005422DE">
        <w:rPr>
          <w:b w:val="0"/>
          <w:noProof/>
          <w:sz w:val="18"/>
        </w:rPr>
      </w:r>
      <w:r w:rsidRPr="005422DE">
        <w:rPr>
          <w:b w:val="0"/>
          <w:noProof/>
          <w:sz w:val="18"/>
        </w:rPr>
        <w:fldChar w:fldCharType="separate"/>
      </w:r>
      <w:r w:rsidRPr="005422DE">
        <w:rPr>
          <w:b w:val="0"/>
          <w:noProof/>
          <w:sz w:val="18"/>
        </w:rPr>
        <w:t>33</w:t>
      </w:r>
      <w:r w:rsidRPr="005422DE">
        <w:rPr>
          <w:b w:val="0"/>
          <w:noProof/>
          <w:sz w:val="18"/>
        </w:rPr>
        <w:fldChar w:fldCharType="end"/>
      </w:r>
    </w:p>
    <w:p w14:paraId="38917821" w14:textId="5F7440EA" w:rsidR="005422DE" w:rsidRDefault="005422DE">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5422DE">
        <w:rPr>
          <w:b w:val="0"/>
          <w:noProof/>
          <w:sz w:val="18"/>
        </w:rPr>
        <w:tab/>
      </w:r>
      <w:r w:rsidRPr="005422DE">
        <w:rPr>
          <w:b w:val="0"/>
          <w:noProof/>
          <w:sz w:val="18"/>
        </w:rPr>
        <w:fldChar w:fldCharType="begin"/>
      </w:r>
      <w:r w:rsidRPr="005422DE">
        <w:rPr>
          <w:b w:val="0"/>
          <w:noProof/>
          <w:sz w:val="18"/>
        </w:rPr>
        <w:instrText xml:space="preserve"> PAGEREF _Toc187396052 \h </w:instrText>
      </w:r>
      <w:r w:rsidRPr="005422DE">
        <w:rPr>
          <w:b w:val="0"/>
          <w:noProof/>
          <w:sz w:val="18"/>
        </w:rPr>
      </w:r>
      <w:r w:rsidRPr="005422DE">
        <w:rPr>
          <w:b w:val="0"/>
          <w:noProof/>
          <w:sz w:val="18"/>
        </w:rPr>
        <w:fldChar w:fldCharType="separate"/>
      </w:r>
      <w:r w:rsidRPr="005422DE">
        <w:rPr>
          <w:b w:val="0"/>
          <w:noProof/>
          <w:sz w:val="18"/>
        </w:rPr>
        <w:t>35</w:t>
      </w:r>
      <w:r w:rsidRPr="005422DE">
        <w:rPr>
          <w:b w:val="0"/>
          <w:noProof/>
          <w:sz w:val="18"/>
        </w:rPr>
        <w:fldChar w:fldCharType="end"/>
      </w:r>
    </w:p>
    <w:p w14:paraId="3FBA4BED" w14:textId="1F7B925E" w:rsidR="005422DE" w:rsidRDefault="005422DE">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5422DE">
        <w:rPr>
          <w:b w:val="0"/>
          <w:noProof/>
          <w:sz w:val="18"/>
        </w:rPr>
        <w:tab/>
      </w:r>
      <w:r w:rsidRPr="005422DE">
        <w:rPr>
          <w:b w:val="0"/>
          <w:noProof/>
          <w:sz w:val="18"/>
        </w:rPr>
        <w:fldChar w:fldCharType="begin"/>
      </w:r>
      <w:r w:rsidRPr="005422DE">
        <w:rPr>
          <w:b w:val="0"/>
          <w:noProof/>
          <w:sz w:val="18"/>
        </w:rPr>
        <w:instrText xml:space="preserve"> PAGEREF _Toc187396053 \h </w:instrText>
      </w:r>
      <w:r w:rsidRPr="005422DE">
        <w:rPr>
          <w:b w:val="0"/>
          <w:noProof/>
          <w:sz w:val="18"/>
        </w:rPr>
      </w:r>
      <w:r w:rsidRPr="005422DE">
        <w:rPr>
          <w:b w:val="0"/>
          <w:noProof/>
          <w:sz w:val="18"/>
        </w:rPr>
        <w:fldChar w:fldCharType="separate"/>
      </w:r>
      <w:r w:rsidRPr="005422DE">
        <w:rPr>
          <w:b w:val="0"/>
          <w:noProof/>
          <w:sz w:val="18"/>
        </w:rPr>
        <w:t>36</w:t>
      </w:r>
      <w:r w:rsidRPr="005422DE">
        <w:rPr>
          <w:b w:val="0"/>
          <w:noProof/>
          <w:sz w:val="18"/>
        </w:rPr>
        <w:fldChar w:fldCharType="end"/>
      </w:r>
    </w:p>
    <w:p w14:paraId="68FFA267" w14:textId="56FE74EB" w:rsidR="005422DE" w:rsidRDefault="005422DE">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5422DE">
        <w:rPr>
          <w:b w:val="0"/>
          <w:noProof/>
          <w:sz w:val="18"/>
        </w:rPr>
        <w:tab/>
      </w:r>
      <w:r w:rsidRPr="005422DE">
        <w:rPr>
          <w:b w:val="0"/>
          <w:noProof/>
          <w:sz w:val="18"/>
        </w:rPr>
        <w:fldChar w:fldCharType="begin"/>
      </w:r>
      <w:r w:rsidRPr="005422DE">
        <w:rPr>
          <w:b w:val="0"/>
          <w:noProof/>
          <w:sz w:val="18"/>
        </w:rPr>
        <w:instrText xml:space="preserve"> PAGEREF _Toc187396054 \h </w:instrText>
      </w:r>
      <w:r w:rsidRPr="005422DE">
        <w:rPr>
          <w:b w:val="0"/>
          <w:noProof/>
          <w:sz w:val="18"/>
        </w:rPr>
      </w:r>
      <w:r w:rsidRPr="005422DE">
        <w:rPr>
          <w:b w:val="0"/>
          <w:noProof/>
          <w:sz w:val="18"/>
        </w:rPr>
        <w:fldChar w:fldCharType="separate"/>
      </w:r>
      <w:r w:rsidRPr="005422DE">
        <w:rPr>
          <w:b w:val="0"/>
          <w:noProof/>
          <w:sz w:val="18"/>
        </w:rPr>
        <w:t>38</w:t>
      </w:r>
      <w:r w:rsidRPr="005422DE">
        <w:rPr>
          <w:b w:val="0"/>
          <w:noProof/>
          <w:sz w:val="18"/>
        </w:rPr>
        <w:fldChar w:fldCharType="end"/>
      </w:r>
    </w:p>
    <w:p w14:paraId="171C1874" w14:textId="32064B6B" w:rsidR="0036425D" w:rsidRDefault="002D5A93" w:rsidP="0036425D">
      <w:pPr>
        <w:sectPr w:rsidR="0036425D" w:rsidSect="00BC32B7">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97620F">
        <w:fldChar w:fldCharType="end"/>
      </w:r>
    </w:p>
    <w:p w14:paraId="2BE2D0EB" w14:textId="77777777" w:rsidR="00AA749C" w:rsidRPr="0097620F" w:rsidRDefault="00AA749C" w:rsidP="0097620F">
      <w:pPr>
        <w:pStyle w:val="LongT"/>
      </w:pPr>
      <w:r w:rsidRPr="0097620F">
        <w:lastRenderedPageBreak/>
        <w:t xml:space="preserve">An Act to deal with matters consequential on the enactment of the </w:t>
      </w:r>
      <w:r w:rsidRPr="0097620F">
        <w:rPr>
          <w:i/>
        </w:rPr>
        <w:t>Horticulture Marketing and Research and Development Services Act 2000</w:t>
      </w:r>
      <w:r w:rsidRPr="0097620F">
        <w:t>, and for related purposes</w:t>
      </w:r>
    </w:p>
    <w:p w14:paraId="37758962" w14:textId="77777777" w:rsidR="00AA749C" w:rsidRPr="0097620F" w:rsidRDefault="00AA749C" w:rsidP="00AA749C">
      <w:pPr>
        <w:pStyle w:val="ActHead2"/>
      </w:pPr>
      <w:bookmarkStart w:id="0" w:name="_Toc187395985"/>
      <w:r w:rsidRPr="001F5C7F">
        <w:rPr>
          <w:rStyle w:val="CharPartNo"/>
        </w:rPr>
        <w:t>Part</w:t>
      </w:r>
      <w:r w:rsidR="0097620F" w:rsidRPr="001F5C7F">
        <w:rPr>
          <w:rStyle w:val="CharPartNo"/>
        </w:rPr>
        <w:t> </w:t>
      </w:r>
      <w:r w:rsidRPr="001F5C7F">
        <w:rPr>
          <w:rStyle w:val="CharPartNo"/>
        </w:rPr>
        <w:t>1</w:t>
      </w:r>
      <w:r w:rsidRPr="0097620F">
        <w:t>—</w:t>
      </w:r>
      <w:r w:rsidRPr="001F5C7F">
        <w:rPr>
          <w:rStyle w:val="CharPartText"/>
        </w:rPr>
        <w:t>Preliminary</w:t>
      </w:r>
      <w:bookmarkEnd w:id="0"/>
    </w:p>
    <w:p w14:paraId="33244F6A" w14:textId="77777777" w:rsidR="00AA749C" w:rsidRPr="0097620F" w:rsidRDefault="00BD2B41" w:rsidP="00AA749C">
      <w:pPr>
        <w:pStyle w:val="Header"/>
      </w:pPr>
      <w:r w:rsidRPr="001F5C7F">
        <w:rPr>
          <w:rStyle w:val="CharDivNo"/>
        </w:rPr>
        <w:t xml:space="preserve"> </w:t>
      </w:r>
      <w:r w:rsidRPr="001F5C7F">
        <w:rPr>
          <w:rStyle w:val="CharDivText"/>
        </w:rPr>
        <w:t xml:space="preserve"> </w:t>
      </w:r>
    </w:p>
    <w:p w14:paraId="1307750B" w14:textId="77777777" w:rsidR="00AA749C" w:rsidRPr="0097620F" w:rsidRDefault="00AA749C" w:rsidP="00AA749C">
      <w:pPr>
        <w:pStyle w:val="ActHead5"/>
      </w:pPr>
      <w:bookmarkStart w:id="1" w:name="_Toc187395986"/>
      <w:r w:rsidRPr="001F5C7F">
        <w:rPr>
          <w:rStyle w:val="CharSectno"/>
        </w:rPr>
        <w:t>1</w:t>
      </w:r>
      <w:r w:rsidRPr="0097620F">
        <w:t xml:space="preserve">  Short title</w:t>
      </w:r>
      <w:bookmarkEnd w:id="1"/>
    </w:p>
    <w:p w14:paraId="2021F12D" w14:textId="77777777" w:rsidR="00AA749C" w:rsidRPr="0097620F" w:rsidRDefault="00AA749C" w:rsidP="00AA749C">
      <w:pPr>
        <w:pStyle w:val="subsection"/>
      </w:pPr>
      <w:r w:rsidRPr="0097620F">
        <w:tab/>
      </w:r>
      <w:r w:rsidRPr="0097620F">
        <w:tab/>
        <w:t xml:space="preserve">This Act may be cited as the </w:t>
      </w:r>
      <w:r w:rsidRPr="0097620F">
        <w:rPr>
          <w:i/>
        </w:rPr>
        <w:t>Horticulture Marketing and Research and Development Services (Repeals and Consequential Provisions) Act 2000</w:t>
      </w:r>
      <w:r w:rsidRPr="0097620F">
        <w:t>.</w:t>
      </w:r>
    </w:p>
    <w:p w14:paraId="512E1E71" w14:textId="77777777" w:rsidR="00AA749C" w:rsidRPr="0097620F" w:rsidRDefault="00AA749C" w:rsidP="00AA749C">
      <w:pPr>
        <w:pStyle w:val="ActHead5"/>
      </w:pPr>
      <w:bookmarkStart w:id="2" w:name="_Toc187395987"/>
      <w:r w:rsidRPr="001F5C7F">
        <w:rPr>
          <w:rStyle w:val="CharSectno"/>
        </w:rPr>
        <w:t>2</w:t>
      </w:r>
      <w:r w:rsidRPr="0097620F">
        <w:t xml:space="preserve">  Commencement</w:t>
      </w:r>
      <w:bookmarkEnd w:id="2"/>
    </w:p>
    <w:p w14:paraId="7152BFBF" w14:textId="77777777" w:rsidR="00AA749C" w:rsidRPr="0097620F" w:rsidRDefault="00AA749C" w:rsidP="00AA749C">
      <w:pPr>
        <w:pStyle w:val="subsection"/>
        <w:rPr>
          <w:i/>
        </w:rPr>
      </w:pPr>
      <w:r w:rsidRPr="0097620F">
        <w:tab/>
        <w:t>(1)</w:t>
      </w:r>
      <w:r w:rsidRPr="0097620F">
        <w:tab/>
        <w:t>Subject to this section, this Act commences at the same time as Part</w:t>
      </w:r>
      <w:r w:rsidR="0097620F">
        <w:t> </w:t>
      </w:r>
      <w:r w:rsidRPr="0097620F">
        <w:t xml:space="preserve">2 of the </w:t>
      </w:r>
      <w:r w:rsidRPr="0097620F">
        <w:rPr>
          <w:i/>
        </w:rPr>
        <w:t>Horticulture Marketing and Research and Development Services Act 2000.</w:t>
      </w:r>
    </w:p>
    <w:p w14:paraId="0E92F568" w14:textId="77777777" w:rsidR="00AA749C" w:rsidRPr="0097620F" w:rsidRDefault="00AA749C" w:rsidP="00AA749C">
      <w:pPr>
        <w:pStyle w:val="subsection"/>
      </w:pPr>
      <w:r w:rsidRPr="0097620F">
        <w:tab/>
        <w:t>(2)</w:t>
      </w:r>
      <w:r w:rsidRPr="0097620F">
        <w:tab/>
        <w:t>Schedules</w:t>
      </w:r>
      <w:r w:rsidR="0097620F">
        <w:t> </w:t>
      </w:r>
      <w:r w:rsidRPr="0097620F">
        <w:t>1 (repeals) and 2 (consequential amendments) commence on the transfer day, immediately after the transfer of assets, liabilities and staff under Part</w:t>
      </w:r>
      <w:r w:rsidR="0097620F">
        <w:t> </w:t>
      </w:r>
      <w:r w:rsidRPr="0097620F">
        <w:t>2.</w:t>
      </w:r>
    </w:p>
    <w:p w14:paraId="36DD435D" w14:textId="77777777" w:rsidR="00AA749C" w:rsidRPr="0097620F" w:rsidRDefault="00AA749C" w:rsidP="00AA749C">
      <w:pPr>
        <w:pStyle w:val="notetext"/>
      </w:pPr>
      <w:r w:rsidRPr="0097620F">
        <w:t>Note:</w:t>
      </w:r>
      <w:r w:rsidRPr="0097620F">
        <w:tab/>
        <w:t>See sections</w:t>
      </w:r>
      <w:r w:rsidR="0097620F">
        <w:t> </w:t>
      </w:r>
      <w:r w:rsidRPr="0097620F">
        <w:t>12 and 13 for the transfer day, and the time at which the transfer occurs.</w:t>
      </w:r>
    </w:p>
    <w:p w14:paraId="616E238B" w14:textId="11C1CC54" w:rsidR="00AA749C" w:rsidRPr="0097620F" w:rsidRDefault="00AA749C" w:rsidP="00AA749C">
      <w:pPr>
        <w:pStyle w:val="subsection"/>
      </w:pPr>
      <w:r w:rsidRPr="0097620F">
        <w:tab/>
        <w:t>(3)</w:t>
      </w:r>
      <w:r w:rsidRPr="0097620F">
        <w:tab/>
      </w:r>
      <w:r w:rsidR="001F5C7F">
        <w:t>Schedule 3</w:t>
      </w:r>
      <w:r w:rsidRPr="0097620F">
        <w:t xml:space="preserve"> (references to Administrative Appeals Tribunal) commences at the later of:</w:t>
      </w:r>
    </w:p>
    <w:p w14:paraId="595686C0" w14:textId="77777777" w:rsidR="00AA749C" w:rsidRPr="0097620F" w:rsidRDefault="00AA749C" w:rsidP="00AA749C">
      <w:pPr>
        <w:pStyle w:val="paragraph"/>
      </w:pPr>
      <w:r w:rsidRPr="0097620F">
        <w:tab/>
        <w:t>(a)</w:t>
      </w:r>
      <w:r w:rsidRPr="0097620F">
        <w:tab/>
        <w:t>the time when Parts</w:t>
      </w:r>
      <w:r w:rsidR="0097620F">
        <w:t> </w:t>
      </w:r>
      <w:r w:rsidRPr="0097620F">
        <w:t>4 to 10 of the Act that establishes the Administrative Review Tribunal commence; and</w:t>
      </w:r>
    </w:p>
    <w:p w14:paraId="677C6C3C" w14:textId="77777777" w:rsidR="00AA749C" w:rsidRPr="0097620F" w:rsidRDefault="00AA749C" w:rsidP="00AA749C">
      <w:pPr>
        <w:pStyle w:val="paragraph"/>
      </w:pPr>
      <w:r w:rsidRPr="0097620F">
        <w:tab/>
        <w:t>(b)</w:t>
      </w:r>
      <w:r w:rsidRPr="0097620F">
        <w:tab/>
        <w:t xml:space="preserve">the time immediately after the </w:t>
      </w:r>
      <w:r w:rsidRPr="0097620F">
        <w:rPr>
          <w:i/>
        </w:rPr>
        <w:t>Horticulture Marketing and Research and Development Services Act 2000</w:t>
      </w:r>
      <w:r w:rsidRPr="0097620F">
        <w:t xml:space="preserve"> receives the Royal Assent.</w:t>
      </w:r>
    </w:p>
    <w:p w14:paraId="2B5116A2" w14:textId="77777777" w:rsidR="00AA749C" w:rsidRPr="0097620F" w:rsidRDefault="00AA749C" w:rsidP="00AA749C">
      <w:pPr>
        <w:pStyle w:val="notetext"/>
      </w:pPr>
      <w:r w:rsidRPr="0097620F">
        <w:lastRenderedPageBreak/>
        <w:t>Note:</w:t>
      </w:r>
      <w:r w:rsidRPr="0097620F">
        <w:tab/>
        <w:t xml:space="preserve">The short title of the Act that establishes the Administrative Review Tribunal is either the </w:t>
      </w:r>
      <w:r w:rsidRPr="0097620F">
        <w:rPr>
          <w:i/>
        </w:rPr>
        <w:t>Administrative Review Tribunal Act 2000</w:t>
      </w:r>
      <w:r w:rsidRPr="0097620F">
        <w:t xml:space="preserve"> or the </w:t>
      </w:r>
      <w:r w:rsidRPr="0097620F">
        <w:rPr>
          <w:i/>
        </w:rPr>
        <w:t>Administrative Review Tribunal Act 2001</w:t>
      </w:r>
      <w:r w:rsidRPr="0097620F">
        <w:t>.</w:t>
      </w:r>
    </w:p>
    <w:p w14:paraId="60DE20B6" w14:textId="2E63CD40" w:rsidR="00AA749C" w:rsidRPr="0097620F" w:rsidRDefault="00AA749C" w:rsidP="00C14936">
      <w:pPr>
        <w:pStyle w:val="subsection"/>
        <w:keepNext/>
      </w:pPr>
      <w:r w:rsidRPr="0097620F">
        <w:tab/>
        <w:t>(4)</w:t>
      </w:r>
      <w:r w:rsidRPr="0097620F">
        <w:tab/>
      </w:r>
      <w:r w:rsidR="001F5C7F">
        <w:t>Schedule 4</w:t>
      </w:r>
      <w:r w:rsidRPr="0097620F">
        <w:t xml:space="preserve"> (operation of the Privacy Act) commences at the later of:</w:t>
      </w:r>
    </w:p>
    <w:p w14:paraId="4499DA7B" w14:textId="14AD4A51" w:rsidR="00AA749C" w:rsidRPr="0097620F" w:rsidRDefault="00AA749C" w:rsidP="00AA749C">
      <w:pPr>
        <w:pStyle w:val="paragraph"/>
      </w:pPr>
      <w:r w:rsidRPr="0097620F">
        <w:tab/>
        <w:t>(a)</w:t>
      </w:r>
      <w:r w:rsidRPr="0097620F">
        <w:tab/>
        <w:t xml:space="preserve">the time when </w:t>
      </w:r>
      <w:r w:rsidR="001F5C7F">
        <w:t>Schedule 1</w:t>
      </w:r>
      <w:r w:rsidRPr="0097620F">
        <w:t xml:space="preserve"> to the </w:t>
      </w:r>
      <w:r w:rsidRPr="0097620F">
        <w:rPr>
          <w:i/>
        </w:rPr>
        <w:t>Privacy Amendment (Private Sector) Act 2000</w:t>
      </w:r>
      <w:r w:rsidRPr="0097620F">
        <w:t xml:space="preserve"> commences; and</w:t>
      </w:r>
    </w:p>
    <w:p w14:paraId="5D5F7DE5" w14:textId="77777777" w:rsidR="00AA749C" w:rsidRPr="0097620F" w:rsidRDefault="00AA749C" w:rsidP="00AA749C">
      <w:pPr>
        <w:pStyle w:val="paragraph"/>
      </w:pPr>
      <w:r w:rsidRPr="0097620F">
        <w:tab/>
        <w:t>(b)</w:t>
      </w:r>
      <w:r w:rsidRPr="0097620F">
        <w:tab/>
        <w:t xml:space="preserve">the time immediately after the </w:t>
      </w:r>
      <w:r w:rsidRPr="0097620F">
        <w:rPr>
          <w:i/>
        </w:rPr>
        <w:t>Horticulture Marketing and Research and Development Services Act 2000</w:t>
      </w:r>
      <w:r w:rsidRPr="0097620F">
        <w:t xml:space="preserve"> receives the Royal Assent.</w:t>
      </w:r>
    </w:p>
    <w:p w14:paraId="336D9288" w14:textId="77777777" w:rsidR="00AA749C" w:rsidRPr="0097620F" w:rsidRDefault="00AA749C" w:rsidP="00AA749C">
      <w:pPr>
        <w:pStyle w:val="ActHead5"/>
      </w:pPr>
      <w:bookmarkStart w:id="3" w:name="_Toc187395988"/>
      <w:r w:rsidRPr="001F5C7F">
        <w:rPr>
          <w:rStyle w:val="CharSectno"/>
        </w:rPr>
        <w:t>3</w:t>
      </w:r>
      <w:r w:rsidRPr="0097620F">
        <w:t xml:space="preserve">  Simplified outline</w:t>
      </w:r>
      <w:bookmarkEnd w:id="3"/>
    </w:p>
    <w:p w14:paraId="0D9B4B2B" w14:textId="77777777" w:rsidR="00AA749C" w:rsidRPr="0097620F" w:rsidRDefault="00AA749C" w:rsidP="00AA749C">
      <w:pPr>
        <w:pStyle w:val="subsection"/>
      </w:pPr>
      <w:r w:rsidRPr="0097620F">
        <w:tab/>
      </w:r>
      <w:r w:rsidRPr="0097620F">
        <w:tab/>
        <w:t>The following is a simplified outline of this Act:</w:t>
      </w:r>
    </w:p>
    <w:p w14:paraId="199F6958" w14:textId="77777777" w:rsidR="00AA749C" w:rsidRPr="0097620F" w:rsidRDefault="00AA749C" w:rsidP="00AA749C">
      <w:pPr>
        <w:pStyle w:val="BoxText"/>
      </w:pPr>
      <w:r w:rsidRPr="0097620F">
        <w:t xml:space="preserve">This Act deals with the transition from the Australian Horticultural Corporation, Horticultural Research and Development Corporation and the Australian Dried Fruits Board to new bodies. The new bodies are those declared under the </w:t>
      </w:r>
      <w:r w:rsidRPr="0097620F">
        <w:rPr>
          <w:i/>
        </w:rPr>
        <w:t>Horticulture Marketing and Research and Development Services Act 2000</w:t>
      </w:r>
      <w:r w:rsidRPr="0097620F">
        <w:t>.</w:t>
      </w:r>
    </w:p>
    <w:p w14:paraId="13991BB4" w14:textId="303EAE91" w:rsidR="00AA749C" w:rsidRPr="0097620F" w:rsidRDefault="00AA749C" w:rsidP="00AA749C">
      <w:pPr>
        <w:pStyle w:val="BoxText"/>
      </w:pPr>
      <w:r w:rsidRPr="0097620F">
        <w:t xml:space="preserve">The Minister must determine a </w:t>
      </w:r>
      <w:r w:rsidRPr="0097620F">
        <w:rPr>
          <w:b/>
          <w:i/>
        </w:rPr>
        <w:t>transfer day</w:t>
      </w:r>
      <w:r w:rsidRPr="0097620F">
        <w:t xml:space="preserve"> (see </w:t>
      </w:r>
      <w:r w:rsidR="001F5C7F">
        <w:t>section 1</w:t>
      </w:r>
      <w:r w:rsidRPr="0097620F">
        <w:t>2).</w:t>
      </w:r>
    </w:p>
    <w:p w14:paraId="73C88DD9" w14:textId="77777777" w:rsidR="00AA749C" w:rsidRPr="0097620F" w:rsidRDefault="00AA749C" w:rsidP="00AA749C">
      <w:pPr>
        <w:pStyle w:val="BoxText"/>
      </w:pPr>
      <w:r w:rsidRPr="0097620F">
        <w:t>On the transfer day assets, liabilities and staff of the Corporations and the Board are transferred to the new industry services body (see Divisions</w:t>
      </w:r>
      <w:r w:rsidR="0097620F">
        <w:t> </w:t>
      </w:r>
      <w:r w:rsidRPr="0097620F">
        <w:t>2, 3 and 4 of Part</w:t>
      </w:r>
      <w:r w:rsidR="0097620F">
        <w:t> </w:t>
      </w:r>
      <w:r w:rsidRPr="0097620F">
        <w:t>2).</w:t>
      </w:r>
    </w:p>
    <w:p w14:paraId="6FF6A648" w14:textId="77777777" w:rsidR="00AA749C" w:rsidRPr="0097620F" w:rsidRDefault="00AA749C" w:rsidP="00AA749C">
      <w:pPr>
        <w:pStyle w:val="BoxText"/>
      </w:pPr>
      <w:r w:rsidRPr="0097620F">
        <w:t xml:space="preserve">The system of export controls in place under the </w:t>
      </w:r>
      <w:r w:rsidRPr="0097620F">
        <w:rPr>
          <w:i/>
        </w:rPr>
        <w:t>Australian Horticultural Corporation Act 1987</w:t>
      </w:r>
      <w:r w:rsidRPr="0097620F">
        <w:t xml:space="preserve"> is kept in place for a maximum period of 2 years after the transfer day. Export controls on particular products can be phased out during the 2 year period, as controls on those products are brought in under the </w:t>
      </w:r>
      <w:r w:rsidRPr="0097620F">
        <w:rPr>
          <w:i/>
        </w:rPr>
        <w:t>Horticulture Marketing and Research and Development Services Act 2000</w:t>
      </w:r>
      <w:r w:rsidRPr="0097620F">
        <w:t xml:space="preserve"> (see Division</w:t>
      </w:r>
      <w:r w:rsidR="0097620F">
        <w:t> </w:t>
      </w:r>
      <w:r w:rsidRPr="0097620F">
        <w:t>5 of Part</w:t>
      </w:r>
      <w:r w:rsidR="0097620F">
        <w:t> </w:t>
      </w:r>
      <w:r w:rsidRPr="0097620F">
        <w:t>2 of this Act).</w:t>
      </w:r>
    </w:p>
    <w:p w14:paraId="6455FA16" w14:textId="77777777" w:rsidR="00016648" w:rsidRPr="00575417" w:rsidRDefault="00016648" w:rsidP="00016648">
      <w:pPr>
        <w:pStyle w:val="BoxText"/>
      </w:pPr>
      <w:r w:rsidRPr="00575417">
        <w:lastRenderedPageBreak/>
        <w:t xml:space="preserve">The </w:t>
      </w:r>
      <w:r w:rsidRPr="00575417">
        <w:rPr>
          <w:i/>
        </w:rPr>
        <w:t>Australian Horticultural Corporation Act 1987</w:t>
      </w:r>
      <w:r w:rsidRPr="00575417">
        <w:t xml:space="preserve"> and the </w:t>
      </w:r>
      <w:r w:rsidRPr="00575417">
        <w:rPr>
          <w:i/>
        </w:rPr>
        <w:t>Horticultural Research and Development Corporation Act 1987</w:t>
      </w:r>
      <w:r w:rsidRPr="00575417">
        <w:t xml:space="preserve"> are repealed once the assets, liabilities and staff of the bodies established by those Acts have been transferred to the new industry services body.</w:t>
      </w:r>
    </w:p>
    <w:p w14:paraId="5168076A" w14:textId="77777777" w:rsidR="00AA749C" w:rsidRPr="0097620F" w:rsidRDefault="00AA749C" w:rsidP="00B639B4">
      <w:pPr>
        <w:pStyle w:val="ActHead5"/>
      </w:pPr>
      <w:bookmarkStart w:id="4" w:name="_Toc187395989"/>
      <w:r w:rsidRPr="001F5C7F">
        <w:rPr>
          <w:rStyle w:val="CharSectno"/>
        </w:rPr>
        <w:t>4</w:t>
      </w:r>
      <w:r w:rsidRPr="0097620F">
        <w:t xml:space="preserve">  Definitions</w:t>
      </w:r>
      <w:bookmarkEnd w:id="4"/>
    </w:p>
    <w:p w14:paraId="1EF15D27" w14:textId="77777777" w:rsidR="00AA749C" w:rsidRPr="0097620F" w:rsidRDefault="00AA749C" w:rsidP="00B639B4">
      <w:pPr>
        <w:pStyle w:val="subsection"/>
        <w:keepNext/>
        <w:keepLines/>
      </w:pPr>
      <w:r w:rsidRPr="0097620F">
        <w:tab/>
        <w:t>(1)</w:t>
      </w:r>
      <w:r w:rsidRPr="0097620F">
        <w:tab/>
        <w:t>In this Act, unless the contrary intention appears:</w:t>
      </w:r>
    </w:p>
    <w:p w14:paraId="2C8F6D5F" w14:textId="0F529E4A" w:rsidR="00AA749C" w:rsidRPr="0097620F" w:rsidRDefault="00AA749C" w:rsidP="00AA749C">
      <w:pPr>
        <w:pStyle w:val="Definition"/>
      </w:pPr>
      <w:r w:rsidRPr="0097620F">
        <w:rPr>
          <w:b/>
          <w:i/>
        </w:rPr>
        <w:t>ADF Trust Amount</w:t>
      </w:r>
      <w:r w:rsidRPr="0097620F">
        <w:t xml:space="preserve"> has the meaning given by </w:t>
      </w:r>
      <w:r w:rsidR="001F5C7F">
        <w:t>section 1</w:t>
      </w:r>
      <w:r w:rsidRPr="0097620F">
        <w:t>7.</w:t>
      </w:r>
    </w:p>
    <w:p w14:paraId="1563A4F0" w14:textId="77777777" w:rsidR="00AA749C" w:rsidRPr="0097620F" w:rsidRDefault="00AA749C" w:rsidP="00AA749C">
      <w:pPr>
        <w:pStyle w:val="Definition"/>
      </w:pPr>
      <w:r w:rsidRPr="0097620F">
        <w:rPr>
          <w:b/>
          <w:i/>
        </w:rPr>
        <w:t>APS employee</w:t>
      </w:r>
      <w:r w:rsidRPr="0097620F">
        <w:t xml:space="preserve"> has the same meaning as in the </w:t>
      </w:r>
      <w:r w:rsidRPr="0097620F">
        <w:rPr>
          <w:i/>
        </w:rPr>
        <w:t>Public Service Act 1999</w:t>
      </w:r>
      <w:r w:rsidRPr="0097620F">
        <w:t>.</w:t>
      </w:r>
    </w:p>
    <w:p w14:paraId="2ABB5358" w14:textId="77777777" w:rsidR="00AA749C" w:rsidRPr="0097620F" w:rsidRDefault="00AA749C" w:rsidP="00AA749C">
      <w:pPr>
        <w:pStyle w:val="Definition"/>
      </w:pPr>
      <w:r w:rsidRPr="0097620F">
        <w:rPr>
          <w:b/>
          <w:i/>
        </w:rPr>
        <w:t>assets</w:t>
      </w:r>
      <w:r w:rsidRPr="0097620F">
        <w:t xml:space="preserve"> means any legal or equitable estate or interest of the authority in real or personal property (whether actual, contingent or prospective) and includes all rights, powers, privileges and immunities (whether actual, contingent or prospective).</w:t>
      </w:r>
    </w:p>
    <w:p w14:paraId="6F792DBC" w14:textId="77777777" w:rsidR="00AA749C" w:rsidRPr="0097620F" w:rsidRDefault="00AA749C" w:rsidP="00AA749C">
      <w:pPr>
        <w:pStyle w:val="Definition"/>
      </w:pPr>
      <w:r w:rsidRPr="0097620F">
        <w:rPr>
          <w:b/>
          <w:i/>
        </w:rPr>
        <w:t>assets official</w:t>
      </w:r>
      <w:r w:rsidRPr="0097620F">
        <w:t xml:space="preserve"> means a person or authority who, under a law, has responsibility for keeping a register in relation to assets of the kind concerned.</w:t>
      </w:r>
    </w:p>
    <w:p w14:paraId="16DC6C2D" w14:textId="77777777" w:rsidR="00AA749C" w:rsidRPr="0097620F" w:rsidRDefault="00AA749C" w:rsidP="00AA749C">
      <w:pPr>
        <w:pStyle w:val="Definition"/>
      </w:pPr>
      <w:r w:rsidRPr="0097620F">
        <w:rPr>
          <w:b/>
          <w:i/>
        </w:rPr>
        <w:t>combined service period</w:t>
      </w:r>
      <w:r w:rsidRPr="0097620F">
        <w:t>, in relation to an employee, means the total of:</w:t>
      </w:r>
    </w:p>
    <w:p w14:paraId="212EBCF6" w14:textId="77777777" w:rsidR="00AA749C" w:rsidRPr="0097620F" w:rsidRDefault="00AA749C" w:rsidP="00AA749C">
      <w:pPr>
        <w:pStyle w:val="paragraph"/>
      </w:pPr>
      <w:r w:rsidRPr="0097620F">
        <w:tab/>
        <w:t>(a)</w:t>
      </w:r>
      <w:r w:rsidRPr="0097620F">
        <w:tab/>
        <w:t>the period that is, immediately before the transfer day, the employee’s period of service for the purposes of the Long Service Leave Act; and</w:t>
      </w:r>
    </w:p>
    <w:p w14:paraId="1913EF34" w14:textId="77777777" w:rsidR="00AA749C" w:rsidRPr="0097620F" w:rsidRDefault="00AA749C" w:rsidP="00AA749C">
      <w:pPr>
        <w:pStyle w:val="paragraph"/>
      </w:pPr>
      <w:r w:rsidRPr="0097620F">
        <w:tab/>
        <w:t>(b)</w:t>
      </w:r>
      <w:r w:rsidRPr="0097620F">
        <w:tab/>
        <w:t>the period, during which the employee continues to be an employee of the industry services body.</w:t>
      </w:r>
    </w:p>
    <w:p w14:paraId="2CCC5C75" w14:textId="77777777" w:rsidR="00AA749C" w:rsidRPr="0097620F" w:rsidRDefault="00AA749C" w:rsidP="00AA749C">
      <w:pPr>
        <w:pStyle w:val="Definition"/>
      </w:pPr>
      <w:r w:rsidRPr="0097620F">
        <w:rPr>
          <w:b/>
          <w:i/>
        </w:rPr>
        <w:t>DFRDB Act</w:t>
      </w:r>
      <w:r w:rsidRPr="0097620F">
        <w:t xml:space="preserve"> means the </w:t>
      </w:r>
      <w:r w:rsidRPr="0097620F">
        <w:rPr>
          <w:i/>
        </w:rPr>
        <w:t>Defence Force Retirement and Death Benefits Act 1973</w:t>
      </w:r>
      <w:r w:rsidRPr="0097620F">
        <w:t>.</w:t>
      </w:r>
    </w:p>
    <w:p w14:paraId="3703C1AE" w14:textId="61FD1994" w:rsidR="00AA749C" w:rsidRPr="0097620F" w:rsidRDefault="00AA749C" w:rsidP="00AA749C">
      <w:pPr>
        <w:pStyle w:val="Definition"/>
      </w:pPr>
      <w:r w:rsidRPr="0097620F">
        <w:rPr>
          <w:b/>
          <w:i/>
        </w:rPr>
        <w:t>Dried Fruits Trust</w:t>
      </w:r>
      <w:r w:rsidRPr="0097620F">
        <w:t xml:space="preserve"> has the meaning given by </w:t>
      </w:r>
      <w:r w:rsidR="001F5C7F">
        <w:t>section 1</w:t>
      </w:r>
      <w:r w:rsidRPr="0097620F">
        <w:t>7.</w:t>
      </w:r>
    </w:p>
    <w:p w14:paraId="262A0D80" w14:textId="77777777" w:rsidR="00AA749C" w:rsidRPr="0097620F" w:rsidRDefault="00AA749C" w:rsidP="00AA749C">
      <w:pPr>
        <w:pStyle w:val="Definition"/>
      </w:pPr>
      <w:r w:rsidRPr="0097620F">
        <w:rPr>
          <w:b/>
          <w:i/>
        </w:rPr>
        <w:t>employee</w:t>
      </w:r>
      <w:r w:rsidRPr="0097620F">
        <w:t xml:space="preserve">, in relation to a statutory authority, means a person who was, immediately before the transfer day, an officer or an </w:t>
      </w:r>
      <w:r w:rsidRPr="0097620F">
        <w:lastRenderedPageBreak/>
        <w:t>employee of the authority, and includes the Chief Executive Officer, Managing Director or General Manager of the authority.</w:t>
      </w:r>
    </w:p>
    <w:p w14:paraId="3654A072" w14:textId="77777777" w:rsidR="00AA749C" w:rsidRPr="0097620F" w:rsidRDefault="00AA749C" w:rsidP="00AA749C">
      <w:pPr>
        <w:pStyle w:val="Definition"/>
      </w:pPr>
      <w:r w:rsidRPr="0097620F">
        <w:rPr>
          <w:b/>
          <w:i/>
        </w:rPr>
        <w:t xml:space="preserve">industry export control body </w:t>
      </w:r>
      <w:r w:rsidRPr="0097620F">
        <w:t xml:space="preserve">means the body for the time being declared to be the industry export control body under the </w:t>
      </w:r>
      <w:r w:rsidRPr="0097620F">
        <w:rPr>
          <w:i/>
        </w:rPr>
        <w:t>Horticulture Marketing and Research and Development Services Act 2000</w:t>
      </w:r>
      <w:r w:rsidRPr="0097620F">
        <w:t>.</w:t>
      </w:r>
    </w:p>
    <w:p w14:paraId="143F9A2A" w14:textId="175FAF39" w:rsidR="00B14704" w:rsidRPr="0097620F" w:rsidRDefault="00B14704" w:rsidP="00AA749C">
      <w:pPr>
        <w:pStyle w:val="Definition"/>
      </w:pPr>
      <w:r>
        <w:rPr>
          <w:b/>
          <w:bCs/>
          <w:i/>
          <w:iCs/>
          <w:color w:val="000000"/>
          <w:szCs w:val="22"/>
        </w:rPr>
        <w:t>industry services body</w:t>
      </w:r>
      <w:r>
        <w:rPr>
          <w:color w:val="000000"/>
          <w:szCs w:val="22"/>
        </w:rPr>
        <w:t xml:space="preserve"> means the body that was the industry services body under the </w:t>
      </w:r>
      <w:r>
        <w:rPr>
          <w:i/>
          <w:iCs/>
          <w:color w:val="000000"/>
          <w:szCs w:val="22"/>
        </w:rPr>
        <w:t>Horticulture Marketing and Research and Development Services Act 2000</w:t>
      </w:r>
      <w:r>
        <w:rPr>
          <w:color w:val="000000"/>
          <w:szCs w:val="22"/>
        </w:rPr>
        <w:t xml:space="preserve"> on </w:t>
      </w:r>
      <w:r w:rsidR="001F5C7F">
        <w:rPr>
          <w:color w:val="000000"/>
          <w:szCs w:val="22"/>
        </w:rPr>
        <w:t>31 December</w:t>
      </w:r>
      <w:r>
        <w:rPr>
          <w:color w:val="000000"/>
          <w:szCs w:val="22"/>
        </w:rPr>
        <w:t xml:space="preserve"> 2024.</w:t>
      </w:r>
    </w:p>
    <w:p w14:paraId="6946FF2E" w14:textId="77777777" w:rsidR="00AA749C" w:rsidRPr="0097620F" w:rsidRDefault="00AA749C" w:rsidP="00AA749C">
      <w:pPr>
        <w:pStyle w:val="Definition"/>
      </w:pPr>
      <w:r w:rsidRPr="0097620F">
        <w:rPr>
          <w:b/>
          <w:i/>
        </w:rPr>
        <w:t>law</w:t>
      </w:r>
      <w:r w:rsidRPr="0097620F">
        <w:t xml:space="preserve"> means:</w:t>
      </w:r>
    </w:p>
    <w:p w14:paraId="63B87148" w14:textId="77777777" w:rsidR="00AA749C" w:rsidRPr="0097620F" w:rsidRDefault="00AA749C" w:rsidP="00AA749C">
      <w:pPr>
        <w:pStyle w:val="paragraph"/>
      </w:pPr>
      <w:r w:rsidRPr="0097620F">
        <w:tab/>
        <w:t>(a)</w:t>
      </w:r>
      <w:r w:rsidRPr="0097620F">
        <w:tab/>
        <w:t>a law of the Commonwealth or of a State or Territory; or</w:t>
      </w:r>
    </w:p>
    <w:p w14:paraId="35DED4BD" w14:textId="77777777" w:rsidR="00AA749C" w:rsidRPr="0097620F" w:rsidRDefault="00AA749C" w:rsidP="00AA749C">
      <w:pPr>
        <w:pStyle w:val="paragraph"/>
      </w:pPr>
      <w:r w:rsidRPr="0097620F">
        <w:tab/>
        <w:t>(b)</w:t>
      </w:r>
      <w:r w:rsidRPr="0097620F">
        <w:tab/>
        <w:t>regulations or any other instrument (other than an award, determination or industrial agreement) made under such a law.</w:t>
      </w:r>
    </w:p>
    <w:p w14:paraId="40941A9F" w14:textId="77777777" w:rsidR="00AA749C" w:rsidRPr="0097620F" w:rsidRDefault="00AA749C" w:rsidP="00AA749C">
      <w:pPr>
        <w:pStyle w:val="Definition"/>
      </w:pPr>
      <w:r w:rsidRPr="0097620F">
        <w:rPr>
          <w:b/>
          <w:i/>
        </w:rPr>
        <w:t>liabilities</w:t>
      </w:r>
      <w:r w:rsidRPr="0097620F">
        <w:t xml:space="preserve"> means all liabilities, duties and obligations, whether actual, contingent or prospective.</w:t>
      </w:r>
    </w:p>
    <w:p w14:paraId="0CCE15F0" w14:textId="77777777" w:rsidR="00AA749C" w:rsidRPr="0097620F" w:rsidRDefault="00AA749C" w:rsidP="00AA749C">
      <w:pPr>
        <w:pStyle w:val="Definition"/>
      </w:pPr>
      <w:r w:rsidRPr="0097620F">
        <w:rPr>
          <w:b/>
          <w:i/>
        </w:rPr>
        <w:t>Long Service Leave Act</w:t>
      </w:r>
      <w:r w:rsidRPr="0097620F">
        <w:t xml:space="preserve"> means the </w:t>
      </w:r>
      <w:r w:rsidRPr="0097620F">
        <w:rPr>
          <w:i/>
        </w:rPr>
        <w:t>Long Service Leave (Commonwealth Employees) Act 1976</w:t>
      </w:r>
      <w:r w:rsidRPr="0097620F">
        <w:t>, as in force immediately before the transfer day.</w:t>
      </w:r>
    </w:p>
    <w:p w14:paraId="592C594D" w14:textId="77777777" w:rsidR="00AA749C" w:rsidRPr="0097620F" w:rsidRDefault="00AA749C" w:rsidP="00AA749C">
      <w:pPr>
        <w:pStyle w:val="Definition"/>
      </w:pPr>
      <w:r w:rsidRPr="0097620F">
        <w:rPr>
          <w:b/>
          <w:i/>
        </w:rPr>
        <w:t>Maternity Leave Act</w:t>
      </w:r>
      <w:r w:rsidRPr="0097620F">
        <w:t xml:space="preserve"> means the </w:t>
      </w:r>
      <w:r w:rsidRPr="0097620F">
        <w:rPr>
          <w:i/>
        </w:rPr>
        <w:t>Maternity Leave (Commonwealth Employees) Act 1973</w:t>
      </w:r>
      <w:r w:rsidRPr="0097620F">
        <w:t>, as in force immediately before the transfer day.</w:t>
      </w:r>
    </w:p>
    <w:p w14:paraId="156AB2E5" w14:textId="287CDEE4" w:rsidR="00AA749C" w:rsidRPr="0097620F" w:rsidRDefault="00AA749C" w:rsidP="00AA749C">
      <w:pPr>
        <w:pStyle w:val="Definition"/>
      </w:pPr>
      <w:r w:rsidRPr="0097620F">
        <w:rPr>
          <w:b/>
          <w:i/>
        </w:rPr>
        <w:t>post</w:t>
      </w:r>
      <w:r w:rsidR="001F5C7F">
        <w:rPr>
          <w:b/>
          <w:i/>
        </w:rPr>
        <w:noBreakHyphen/>
      </w:r>
      <w:r w:rsidRPr="0097620F">
        <w:rPr>
          <w:b/>
          <w:i/>
        </w:rPr>
        <w:t>commencement long service leave rights</w:t>
      </w:r>
      <w:r w:rsidRPr="0097620F">
        <w:t>, in relation to an employee, means any long service leave rights the employee acquires on or after the transfer day under an award, determination, industrial agreement or law (other than this Act).</w:t>
      </w:r>
    </w:p>
    <w:p w14:paraId="395DBF74" w14:textId="77777777" w:rsidR="00AA749C" w:rsidRPr="0097620F" w:rsidRDefault="00AA749C" w:rsidP="00AA749C">
      <w:pPr>
        <w:pStyle w:val="Definition"/>
        <w:rPr>
          <w:i/>
        </w:rPr>
      </w:pPr>
      <w:r w:rsidRPr="0097620F">
        <w:rPr>
          <w:b/>
          <w:i/>
        </w:rPr>
        <w:t>previous employer</w:t>
      </w:r>
      <w:r w:rsidRPr="0097620F">
        <w:t>,</w:t>
      </w:r>
      <w:r w:rsidRPr="0097620F">
        <w:rPr>
          <w:b/>
        </w:rPr>
        <w:t xml:space="preserve"> </w:t>
      </w:r>
      <w:r w:rsidRPr="0097620F">
        <w:t>in relation to a transferred employee, means the statutory authority that employed the employee immediately before the transfer day.</w:t>
      </w:r>
    </w:p>
    <w:p w14:paraId="5C868AD3" w14:textId="77777777" w:rsidR="00AA749C" w:rsidRPr="0097620F" w:rsidRDefault="00AA749C" w:rsidP="00AA749C">
      <w:pPr>
        <w:pStyle w:val="Definition"/>
      </w:pPr>
      <w:r w:rsidRPr="0097620F">
        <w:rPr>
          <w:b/>
          <w:i/>
        </w:rPr>
        <w:lastRenderedPageBreak/>
        <w:t>SRC Act</w:t>
      </w:r>
      <w:r w:rsidRPr="0097620F">
        <w:t xml:space="preserve"> means the </w:t>
      </w:r>
      <w:r w:rsidRPr="0097620F">
        <w:rPr>
          <w:i/>
        </w:rPr>
        <w:t>Safety, Rehabilitation and Compensation Act 1988</w:t>
      </w:r>
      <w:r w:rsidRPr="0097620F">
        <w:t>, as in force immediately before the transfer day.</w:t>
      </w:r>
    </w:p>
    <w:p w14:paraId="308897A5" w14:textId="77777777" w:rsidR="00AA749C" w:rsidRPr="0097620F" w:rsidRDefault="00AA749C" w:rsidP="00AA749C">
      <w:pPr>
        <w:pStyle w:val="Definition"/>
      </w:pPr>
      <w:r w:rsidRPr="0097620F">
        <w:rPr>
          <w:b/>
          <w:i/>
        </w:rPr>
        <w:t>statutory authority</w:t>
      </w:r>
      <w:r w:rsidRPr="0097620F">
        <w:t xml:space="preserve"> means:</w:t>
      </w:r>
    </w:p>
    <w:p w14:paraId="032E6A5D" w14:textId="77777777" w:rsidR="00AA749C" w:rsidRPr="0097620F" w:rsidRDefault="00AA749C" w:rsidP="00AA749C">
      <w:pPr>
        <w:pStyle w:val="paragraph"/>
      </w:pPr>
      <w:r w:rsidRPr="0097620F">
        <w:tab/>
        <w:t>(a)</w:t>
      </w:r>
      <w:r w:rsidRPr="0097620F">
        <w:tab/>
        <w:t>the Australian Horticultural Corporation; or</w:t>
      </w:r>
    </w:p>
    <w:p w14:paraId="26B327F6" w14:textId="77777777" w:rsidR="00AA749C" w:rsidRPr="0097620F" w:rsidRDefault="00AA749C" w:rsidP="00AA749C">
      <w:pPr>
        <w:pStyle w:val="paragraph"/>
      </w:pPr>
      <w:r w:rsidRPr="0097620F">
        <w:tab/>
        <w:t>(b)</w:t>
      </w:r>
      <w:r w:rsidRPr="0097620F">
        <w:tab/>
        <w:t>the Horticultural Research and Development Corporation; or</w:t>
      </w:r>
    </w:p>
    <w:p w14:paraId="4210C85C" w14:textId="77777777" w:rsidR="00AA749C" w:rsidRPr="0097620F" w:rsidRDefault="00AA749C" w:rsidP="00AA749C">
      <w:pPr>
        <w:pStyle w:val="paragraph"/>
      </w:pPr>
      <w:r w:rsidRPr="0097620F">
        <w:tab/>
        <w:t>(c)</w:t>
      </w:r>
      <w:r w:rsidRPr="0097620F">
        <w:tab/>
        <w:t>the Australian Dried Fruits Board.</w:t>
      </w:r>
    </w:p>
    <w:p w14:paraId="18E3408D" w14:textId="1C37B66E" w:rsidR="00AA749C" w:rsidRPr="0097620F" w:rsidRDefault="00AA749C" w:rsidP="00AA749C">
      <w:pPr>
        <w:pStyle w:val="Definition"/>
      </w:pPr>
      <w:r w:rsidRPr="0097620F">
        <w:rPr>
          <w:b/>
          <w:i/>
        </w:rPr>
        <w:t>transfer day</w:t>
      </w:r>
      <w:r w:rsidRPr="0097620F">
        <w:t xml:space="preserve"> means the day specified by the Minister as the transfer day in a determination under </w:t>
      </w:r>
      <w:r w:rsidR="001F5C7F">
        <w:t>section 1</w:t>
      </w:r>
      <w:r w:rsidRPr="0097620F">
        <w:t>2.</w:t>
      </w:r>
    </w:p>
    <w:p w14:paraId="61300D81" w14:textId="77777777" w:rsidR="00AA749C" w:rsidRPr="0097620F" w:rsidRDefault="00AA749C" w:rsidP="00AA749C">
      <w:pPr>
        <w:pStyle w:val="Definition"/>
      </w:pPr>
      <w:r w:rsidRPr="0097620F">
        <w:rPr>
          <w:b/>
          <w:i/>
        </w:rPr>
        <w:t>transferred employee</w:t>
      </w:r>
      <w:r w:rsidRPr="0097620F">
        <w:t xml:space="preserve"> means a person whose employment is transferred under section</w:t>
      </w:r>
      <w:r w:rsidR="0097620F">
        <w:t> </w:t>
      </w:r>
      <w:r w:rsidRPr="0097620F">
        <w:t>24.</w:t>
      </w:r>
    </w:p>
    <w:p w14:paraId="0B82F51E" w14:textId="77777777" w:rsidR="00AA749C" w:rsidRPr="0097620F" w:rsidRDefault="00AA749C" w:rsidP="00AA749C">
      <w:pPr>
        <w:pStyle w:val="Definition"/>
      </w:pPr>
      <w:r w:rsidRPr="0097620F">
        <w:rPr>
          <w:b/>
          <w:i/>
        </w:rPr>
        <w:t>transitional period</w:t>
      </w:r>
      <w:r w:rsidRPr="0097620F">
        <w:t xml:space="preserve"> means the period of 24 months beginning on the transfer day.</w:t>
      </w:r>
    </w:p>
    <w:p w14:paraId="3A023EEA" w14:textId="77777777" w:rsidR="00AA749C" w:rsidRPr="0097620F" w:rsidRDefault="00AA749C" w:rsidP="00AA749C">
      <w:pPr>
        <w:pStyle w:val="subsection"/>
      </w:pPr>
      <w:r w:rsidRPr="0097620F">
        <w:tab/>
        <w:t>(2)</w:t>
      </w:r>
      <w:r w:rsidRPr="0097620F">
        <w:tab/>
        <w:t xml:space="preserve">Expressions used in this Act that are defined in the </w:t>
      </w:r>
      <w:r w:rsidRPr="0097620F">
        <w:rPr>
          <w:i/>
        </w:rPr>
        <w:t>Horticulture Marketing and Research and Development Services Act 2000</w:t>
      </w:r>
      <w:r w:rsidRPr="0097620F">
        <w:t xml:space="preserve"> have the same meanings as they have in that Act.</w:t>
      </w:r>
    </w:p>
    <w:p w14:paraId="033467A2" w14:textId="77777777" w:rsidR="00AA749C" w:rsidRPr="0097620F" w:rsidRDefault="00AA749C" w:rsidP="00AA749C">
      <w:pPr>
        <w:pStyle w:val="subsection"/>
      </w:pPr>
      <w:r w:rsidRPr="0097620F">
        <w:tab/>
        <w:t>(3)</w:t>
      </w:r>
      <w:r w:rsidRPr="0097620F">
        <w:tab/>
        <w:t>Expressions used in Subdivision F of Division</w:t>
      </w:r>
      <w:r w:rsidR="0097620F">
        <w:t> </w:t>
      </w:r>
      <w:r w:rsidRPr="0097620F">
        <w:t>4 of Part</w:t>
      </w:r>
      <w:r w:rsidR="0097620F">
        <w:t> </w:t>
      </w:r>
      <w:r w:rsidRPr="0097620F">
        <w:t>2 that are defined in the Long Service Leave Act have the same meanings as they have in that Act.</w:t>
      </w:r>
    </w:p>
    <w:p w14:paraId="0C78766A" w14:textId="77777777" w:rsidR="00AA749C" w:rsidRPr="0097620F" w:rsidRDefault="00AA749C" w:rsidP="00AA749C">
      <w:pPr>
        <w:pStyle w:val="ActHead5"/>
      </w:pPr>
      <w:bookmarkStart w:id="5" w:name="_Toc187395990"/>
      <w:r w:rsidRPr="001F5C7F">
        <w:rPr>
          <w:rStyle w:val="CharSectno"/>
        </w:rPr>
        <w:t>5</w:t>
      </w:r>
      <w:r w:rsidRPr="0097620F">
        <w:t xml:space="preserve">  Crown to be bound</w:t>
      </w:r>
      <w:bookmarkEnd w:id="5"/>
    </w:p>
    <w:p w14:paraId="04637BB5" w14:textId="77777777" w:rsidR="00AA749C" w:rsidRPr="0097620F" w:rsidRDefault="00AA749C" w:rsidP="00AA749C">
      <w:pPr>
        <w:pStyle w:val="subsection"/>
      </w:pPr>
      <w:r w:rsidRPr="0097620F">
        <w:tab/>
      </w:r>
      <w:r w:rsidRPr="0097620F">
        <w:tab/>
        <w:t>This Act binds the Crown in each of its capacities.</w:t>
      </w:r>
    </w:p>
    <w:p w14:paraId="778D85E4" w14:textId="0DB8625B" w:rsidR="00AA749C" w:rsidRPr="0097620F" w:rsidRDefault="00AA749C" w:rsidP="00AA749C">
      <w:pPr>
        <w:pStyle w:val="ActHead5"/>
      </w:pPr>
      <w:bookmarkStart w:id="6" w:name="_Toc187395991"/>
      <w:r w:rsidRPr="001F5C7F">
        <w:rPr>
          <w:rStyle w:val="CharSectno"/>
        </w:rPr>
        <w:t>6</w:t>
      </w:r>
      <w:r w:rsidRPr="0097620F">
        <w:t xml:space="preserve">  Extra</w:t>
      </w:r>
      <w:r w:rsidR="001F5C7F">
        <w:noBreakHyphen/>
      </w:r>
      <w:r w:rsidRPr="0097620F">
        <w:t>territorial operation</w:t>
      </w:r>
      <w:bookmarkEnd w:id="6"/>
    </w:p>
    <w:p w14:paraId="0B5660CA" w14:textId="77777777" w:rsidR="00AA749C" w:rsidRPr="0097620F" w:rsidRDefault="00AA749C" w:rsidP="00AA749C">
      <w:pPr>
        <w:pStyle w:val="subsection"/>
      </w:pPr>
      <w:r w:rsidRPr="0097620F">
        <w:tab/>
      </w:r>
      <w:r w:rsidRPr="0097620F">
        <w:tab/>
        <w:t>This Act applies both within and outside Australia.</w:t>
      </w:r>
    </w:p>
    <w:p w14:paraId="0BCBD39E" w14:textId="77777777" w:rsidR="00AA749C" w:rsidRPr="0097620F" w:rsidRDefault="00AA749C" w:rsidP="0097620F">
      <w:pPr>
        <w:pStyle w:val="ActHead2"/>
        <w:pageBreakBefore/>
      </w:pPr>
      <w:bookmarkStart w:id="7" w:name="_Toc187395992"/>
      <w:r w:rsidRPr="001F5C7F">
        <w:rPr>
          <w:rStyle w:val="CharPartNo"/>
        </w:rPr>
        <w:lastRenderedPageBreak/>
        <w:t>Part</w:t>
      </w:r>
      <w:r w:rsidR="0097620F" w:rsidRPr="001F5C7F">
        <w:rPr>
          <w:rStyle w:val="CharPartNo"/>
        </w:rPr>
        <w:t> </w:t>
      </w:r>
      <w:r w:rsidRPr="001F5C7F">
        <w:rPr>
          <w:rStyle w:val="CharPartNo"/>
        </w:rPr>
        <w:t>2</w:t>
      </w:r>
      <w:r w:rsidRPr="0097620F">
        <w:t>—</w:t>
      </w:r>
      <w:r w:rsidRPr="001F5C7F">
        <w:rPr>
          <w:rStyle w:val="CharPartText"/>
        </w:rPr>
        <w:t>Transitional provisions</w:t>
      </w:r>
      <w:bookmarkEnd w:id="7"/>
    </w:p>
    <w:p w14:paraId="411E56B2" w14:textId="77777777" w:rsidR="00AA749C" w:rsidRPr="0097620F" w:rsidRDefault="00AA749C" w:rsidP="005B7CA8">
      <w:pPr>
        <w:pStyle w:val="ActHead3"/>
      </w:pPr>
      <w:bookmarkStart w:id="8" w:name="_Toc187395993"/>
      <w:r w:rsidRPr="001F5C7F">
        <w:rPr>
          <w:rStyle w:val="CharDivNo"/>
        </w:rPr>
        <w:t>Division</w:t>
      </w:r>
      <w:r w:rsidR="0097620F" w:rsidRPr="001F5C7F">
        <w:rPr>
          <w:rStyle w:val="CharDivNo"/>
        </w:rPr>
        <w:t> </w:t>
      </w:r>
      <w:r w:rsidRPr="001F5C7F">
        <w:rPr>
          <w:rStyle w:val="CharDivNo"/>
        </w:rPr>
        <w:t>2</w:t>
      </w:r>
      <w:r w:rsidRPr="0097620F">
        <w:t>—</w:t>
      </w:r>
      <w:r w:rsidRPr="001F5C7F">
        <w:rPr>
          <w:rStyle w:val="CharDivText"/>
        </w:rPr>
        <w:t>Transfer day</w:t>
      </w:r>
      <w:bookmarkEnd w:id="8"/>
    </w:p>
    <w:p w14:paraId="43F0C567" w14:textId="77777777" w:rsidR="00AA749C" w:rsidRPr="0097620F" w:rsidRDefault="00AA749C" w:rsidP="00AA749C">
      <w:pPr>
        <w:pStyle w:val="ActHead5"/>
      </w:pPr>
      <w:bookmarkStart w:id="9" w:name="_Toc187395994"/>
      <w:r w:rsidRPr="001F5C7F">
        <w:rPr>
          <w:rStyle w:val="CharSectno"/>
        </w:rPr>
        <w:t>11</w:t>
      </w:r>
      <w:r w:rsidRPr="0097620F">
        <w:t xml:space="preserve">  Simplified outline</w:t>
      </w:r>
      <w:bookmarkEnd w:id="9"/>
    </w:p>
    <w:p w14:paraId="06D1D8FD" w14:textId="77777777" w:rsidR="00AA749C" w:rsidRPr="0097620F" w:rsidRDefault="00AA749C" w:rsidP="00AA749C">
      <w:pPr>
        <w:pStyle w:val="subsection"/>
      </w:pPr>
      <w:r w:rsidRPr="0097620F">
        <w:tab/>
      </w:r>
      <w:r w:rsidRPr="0097620F">
        <w:tab/>
        <w:t>The following is a simplified outline of this Division:</w:t>
      </w:r>
    </w:p>
    <w:p w14:paraId="3B7E09D9" w14:textId="77777777" w:rsidR="00AA749C" w:rsidRPr="0097620F" w:rsidRDefault="00AA749C" w:rsidP="00AA749C">
      <w:pPr>
        <w:pStyle w:val="BoxText"/>
      </w:pPr>
      <w:r w:rsidRPr="0097620F">
        <w:t>This Division provides for the Minister to determine the transfer day.</w:t>
      </w:r>
    </w:p>
    <w:p w14:paraId="6D4C9C8D" w14:textId="77777777" w:rsidR="00AA749C" w:rsidRPr="0097620F" w:rsidRDefault="00AA749C" w:rsidP="00AA749C">
      <w:pPr>
        <w:pStyle w:val="ActHead5"/>
      </w:pPr>
      <w:bookmarkStart w:id="10" w:name="_Toc187395995"/>
      <w:r w:rsidRPr="001F5C7F">
        <w:rPr>
          <w:rStyle w:val="CharSectno"/>
        </w:rPr>
        <w:t>12</w:t>
      </w:r>
      <w:r w:rsidRPr="0097620F">
        <w:t xml:space="preserve">  Minister must determine transfer day</w:t>
      </w:r>
      <w:bookmarkEnd w:id="10"/>
    </w:p>
    <w:p w14:paraId="2F1EBB72" w14:textId="77777777" w:rsidR="00AA749C" w:rsidRPr="0097620F" w:rsidRDefault="00AA749C" w:rsidP="00AA749C">
      <w:pPr>
        <w:pStyle w:val="subsection"/>
      </w:pPr>
      <w:r w:rsidRPr="0097620F">
        <w:tab/>
        <w:t>(1)</w:t>
      </w:r>
      <w:r w:rsidRPr="0097620F">
        <w:tab/>
        <w:t xml:space="preserve">The Minister must determine, in writing, that a specified day is the </w:t>
      </w:r>
      <w:r w:rsidRPr="0097620F">
        <w:rPr>
          <w:b/>
          <w:i/>
        </w:rPr>
        <w:t>transfer day</w:t>
      </w:r>
      <w:r w:rsidRPr="0097620F">
        <w:t xml:space="preserve"> for the purposes of this Act.</w:t>
      </w:r>
    </w:p>
    <w:p w14:paraId="4909BF62" w14:textId="77777777" w:rsidR="00AA749C" w:rsidRPr="0097620F" w:rsidRDefault="00AA749C" w:rsidP="00AA749C">
      <w:pPr>
        <w:pStyle w:val="subsection"/>
      </w:pPr>
      <w:r w:rsidRPr="0097620F">
        <w:tab/>
        <w:t>(2)</w:t>
      </w:r>
      <w:r w:rsidRPr="0097620F">
        <w:tab/>
        <w:t>The day:</w:t>
      </w:r>
    </w:p>
    <w:p w14:paraId="15FFEA92" w14:textId="77777777" w:rsidR="00AA749C" w:rsidRPr="0097620F" w:rsidRDefault="00AA749C" w:rsidP="00AA749C">
      <w:pPr>
        <w:pStyle w:val="paragraph"/>
      </w:pPr>
      <w:r w:rsidRPr="0097620F">
        <w:tab/>
        <w:t>(a)</w:t>
      </w:r>
      <w:r w:rsidRPr="0097620F">
        <w:tab/>
        <w:t>must not be a day before both of the following declarations have taken effect under section</w:t>
      </w:r>
      <w:r w:rsidR="0097620F">
        <w:t> </w:t>
      </w:r>
      <w:r w:rsidRPr="0097620F">
        <w:t xml:space="preserve">9 of the </w:t>
      </w:r>
      <w:r w:rsidRPr="0097620F">
        <w:rPr>
          <w:i/>
        </w:rPr>
        <w:t>Horticulture Marketing and Research and Development Services Act 2000</w:t>
      </w:r>
      <w:r w:rsidRPr="0097620F">
        <w:t>:</w:t>
      </w:r>
    </w:p>
    <w:p w14:paraId="15D69FF5" w14:textId="77777777" w:rsidR="00AA749C" w:rsidRPr="0097620F" w:rsidRDefault="00AA749C" w:rsidP="00AA749C">
      <w:pPr>
        <w:pStyle w:val="paragraphsub"/>
      </w:pPr>
      <w:r w:rsidRPr="0097620F">
        <w:tab/>
        <w:t>(i)</w:t>
      </w:r>
      <w:r w:rsidRPr="0097620F">
        <w:tab/>
        <w:t>the first declaration of the industry services body;</w:t>
      </w:r>
    </w:p>
    <w:p w14:paraId="65C34754" w14:textId="77777777" w:rsidR="00AA749C" w:rsidRPr="0097620F" w:rsidRDefault="00AA749C" w:rsidP="00AA749C">
      <w:pPr>
        <w:pStyle w:val="paragraphsub"/>
      </w:pPr>
      <w:r w:rsidRPr="0097620F">
        <w:tab/>
        <w:t>(ii)</w:t>
      </w:r>
      <w:r w:rsidRPr="0097620F">
        <w:tab/>
        <w:t>the first declaration of the industry export control body; and</w:t>
      </w:r>
    </w:p>
    <w:p w14:paraId="0F944CBE" w14:textId="77777777" w:rsidR="00AA749C" w:rsidRPr="0097620F" w:rsidRDefault="00AA749C" w:rsidP="00AA749C">
      <w:pPr>
        <w:pStyle w:val="paragraph"/>
      </w:pPr>
      <w:r w:rsidRPr="0097620F">
        <w:tab/>
        <w:t>(b)</w:t>
      </w:r>
      <w:r w:rsidRPr="0097620F">
        <w:tab/>
        <w:t>must be a day within the period of 6 months after the commencement of this section.</w:t>
      </w:r>
    </w:p>
    <w:p w14:paraId="4750C5BA" w14:textId="77777777" w:rsidR="00AA749C" w:rsidRPr="0097620F" w:rsidRDefault="00AA749C" w:rsidP="00AA749C">
      <w:pPr>
        <w:pStyle w:val="subsection"/>
      </w:pPr>
      <w:r w:rsidRPr="0097620F">
        <w:tab/>
        <w:t>(3)</w:t>
      </w:r>
      <w:r w:rsidRPr="0097620F">
        <w:tab/>
        <w:t>The determination has effect accordingly.</w:t>
      </w:r>
    </w:p>
    <w:p w14:paraId="00BE4CF6" w14:textId="77777777" w:rsidR="00AA749C" w:rsidRPr="0097620F" w:rsidRDefault="00AA749C" w:rsidP="00AA749C">
      <w:pPr>
        <w:pStyle w:val="subsection"/>
      </w:pPr>
      <w:r w:rsidRPr="0097620F">
        <w:tab/>
        <w:t>(4)</w:t>
      </w:r>
      <w:r w:rsidRPr="0097620F">
        <w:tab/>
        <w:t xml:space="preserve">A copy of the determination is to be published in the </w:t>
      </w:r>
      <w:r w:rsidRPr="0097620F">
        <w:rPr>
          <w:i/>
        </w:rPr>
        <w:t>Gazette</w:t>
      </w:r>
      <w:r w:rsidRPr="0097620F">
        <w:t xml:space="preserve"> within 14 days after the determination is made.</w:t>
      </w:r>
    </w:p>
    <w:p w14:paraId="1F9B2B6C" w14:textId="77777777" w:rsidR="00AA749C" w:rsidRPr="0097620F" w:rsidRDefault="00AA749C" w:rsidP="00AA749C">
      <w:pPr>
        <w:pStyle w:val="subsection"/>
      </w:pPr>
      <w:r w:rsidRPr="0097620F">
        <w:tab/>
        <w:t>(5)</w:t>
      </w:r>
      <w:r w:rsidRPr="0097620F">
        <w:tab/>
        <w:t xml:space="preserve">The determination can be varied or revoked by the Minister in the same manner in which it was made, but it cannot be varied or </w:t>
      </w:r>
      <w:r w:rsidRPr="0097620F">
        <w:lastRenderedPageBreak/>
        <w:t>revoked on or after the day specified in the determination as the transfer day.</w:t>
      </w:r>
    </w:p>
    <w:p w14:paraId="1EDD8E9A" w14:textId="77777777" w:rsidR="00AA749C" w:rsidRPr="0097620F" w:rsidRDefault="00AA749C" w:rsidP="00AA749C">
      <w:pPr>
        <w:pStyle w:val="subsection"/>
      </w:pPr>
      <w:r w:rsidRPr="0097620F">
        <w:tab/>
        <w:t>(6)</w:t>
      </w:r>
      <w:r w:rsidRPr="0097620F">
        <w:tab/>
        <w:t xml:space="preserve">The determination is not invalid merely because it has not been published as required under </w:t>
      </w:r>
      <w:r w:rsidR="0097620F">
        <w:t>subsection (</w:t>
      </w:r>
      <w:r w:rsidRPr="0097620F">
        <w:t>4).</w:t>
      </w:r>
    </w:p>
    <w:p w14:paraId="34B46A0C" w14:textId="77777777" w:rsidR="00AA749C" w:rsidRPr="0097620F" w:rsidRDefault="00AA749C" w:rsidP="00AA749C">
      <w:pPr>
        <w:pStyle w:val="ActHead5"/>
      </w:pPr>
      <w:bookmarkStart w:id="11" w:name="_Toc187395996"/>
      <w:r w:rsidRPr="001F5C7F">
        <w:rPr>
          <w:rStyle w:val="CharSectno"/>
        </w:rPr>
        <w:t>13</w:t>
      </w:r>
      <w:r w:rsidRPr="0097620F">
        <w:t xml:space="preserve">  Time of transfers</w:t>
      </w:r>
      <w:bookmarkEnd w:id="11"/>
    </w:p>
    <w:p w14:paraId="0855241E" w14:textId="008E8E63" w:rsidR="00AA749C" w:rsidRPr="0097620F" w:rsidRDefault="00AA749C" w:rsidP="00AA749C">
      <w:pPr>
        <w:pStyle w:val="subsection"/>
      </w:pPr>
      <w:r w:rsidRPr="0097620F">
        <w:tab/>
      </w:r>
      <w:r w:rsidRPr="0097620F">
        <w:tab/>
        <w:t xml:space="preserve">Any transfer occurring under this </w:t>
      </w:r>
      <w:r w:rsidR="001F5C7F">
        <w:t>Part i</w:t>
      </w:r>
      <w:r w:rsidRPr="0097620F">
        <w:t>s taken to occur immediately after the end of the day before the transfer day.</w:t>
      </w:r>
    </w:p>
    <w:p w14:paraId="4557553F" w14:textId="77777777" w:rsidR="00AA749C" w:rsidRPr="0097620F" w:rsidRDefault="00AA749C" w:rsidP="0097620F">
      <w:pPr>
        <w:pStyle w:val="ActHead3"/>
        <w:pageBreakBefore/>
      </w:pPr>
      <w:bookmarkStart w:id="12" w:name="_Toc187395997"/>
      <w:r w:rsidRPr="001F5C7F">
        <w:rPr>
          <w:rStyle w:val="CharDivNo"/>
        </w:rPr>
        <w:lastRenderedPageBreak/>
        <w:t>Division</w:t>
      </w:r>
      <w:r w:rsidR="0097620F" w:rsidRPr="001F5C7F">
        <w:rPr>
          <w:rStyle w:val="CharDivNo"/>
        </w:rPr>
        <w:t> </w:t>
      </w:r>
      <w:r w:rsidRPr="001F5C7F">
        <w:rPr>
          <w:rStyle w:val="CharDivNo"/>
        </w:rPr>
        <w:t>3</w:t>
      </w:r>
      <w:r w:rsidRPr="0097620F">
        <w:t>—</w:t>
      </w:r>
      <w:r w:rsidRPr="001F5C7F">
        <w:rPr>
          <w:rStyle w:val="CharDivText"/>
        </w:rPr>
        <w:t>Transfer of assets and liabilities etc.</w:t>
      </w:r>
      <w:bookmarkEnd w:id="12"/>
    </w:p>
    <w:p w14:paraId="426E38E0" w14:textId="77777777" w:rsidR="00AA749C" w:rsidRPr="0097620F" w:rsidRDefault="00AA749C" w:rsidP="00AA749C">
      <w:pPr>
        <w:pStyle w:val="ActHead5"/>
      </w:pPr>
      <w:bookmarkStart w:id="13" w:name="_Toc187395998"/>
      <w:r w:rsidRPr="001F5C7F">
        <w:rPr>
          <w:rStyle w:val="CharSectno"/>
        </w:rPr>
        <w:t>14</w:t>
      </w:r>
      <w:r w:rsidRPr="0097620F">
        <w:t xml:space="preserve">  Simplified outline</w:t>
      </w:r>
      <w:bookmarkEnd w:id="13"/>
    </w:p>
    <w:p w14:paraId="1988C996" w14:textId="77777777" w:rsidR="00AA749C" w:rsidRPr="0097620F" w:rsidRDefault="00AA749C" w:rsidP="00AA749C">
      <w:pPr>
        <w:pStyle w:val="subsection"/>
      </w:pPr>
      <w:r w:rsidRPr="0097620F">
        <w:tab/>
      </w:r>
      <w:r w:rsidRPr="0097620F">
        <w:tab/>
        <w:t>The following is a simplified outline of this Division:</w:t>
      </w:r>
    </w:p>
    <w:p w14:paraId="2FAA3BA9" w14:textId="77777777" w:rsidR="00AA749C" w:rsidRPr="0097620F" w:rsidRDefault="00AA749C" w:rsidP="00AA749C">
      <w:pPr>
        <w:pStyle w:val="BoxText"/>
      </w:pPr>
      <w:r w:rsidRPr="0097620F">
        <w:t>On the transfer day, the assets and liabilities of the 3 statutory authorities vest in the new industry services body.</w:t>
      </w:r>
    </w:p>
    <w:p w14:paraId="30BF96C4" w14:textId="60D2A50F" w:rsidR="00AA749C" w:rsidRPr="0097620F" w:rsidRDefault="00AA749C" w:rsidP="00AA749C">
      <w:pPr>
        <w:pStyle w:val="BoxText"/>
      </w:pPr>
      <w:r w:rsidRPr="0097620F">
        <w:t xml:space="preserve">Special provision is made for the transfer of certain money of the Australian Dried Fruits Board (see </w:t>
      </w:r>
      <w:r w:rsidR="001F5C7F">
        <w:t>section 1</w:t>
      </w:r>
      <w:r w:rsidRPr="0097620F">
        <w:t>7).</w:t>
      </w:r>
    </w:p>
    <w:p w14:paraId="4107A4E9" w14:textId="548C6761" w:rsidR="00AA749C" w:rsidRPr="0097620F" w:rsidRDefault="00AA749C" w:rsidP="00AA749C">
      <w:pPr>
        <w:pStyle w:val="BoxText"/>
      </w:pPr>
      <w:r w:rsidRPr="0097620F">
        <w:t xml:space="preserve">Transfers are not subject to taxation (see </w:t>
      </w:r>
      <w:r w:rsidR="001F5C7F">
        <w:t>section 1</w:t>
      </w:r>
      <w:r w:rsidRPr="0097620F">
        <w:t>9).</w:t>
      </w:r>
    </w:p>
    <w:p w14:paraId="5D4E51F7" w14:textId="77777777" w:rsidR="00AA749C" w:rsidRPr="0097620F" w:rsidRDefault="00AA749C" w:rsidP="00AA749C">
      <w:pPr>
        <w:pStyle w:val="BoxText"/>
      </w:pPr>
      <w:r w:rsidRPr="0097620F">
        <w:t>Other transitional matters (such as the transfer of records, outstanding money and legal proceedings) are also dealt with.</w:t>
      </w:r>
    </w:p>
    <w:p w14:paraId="20AB49F9" w14:textId="77777777" w:rsidR="00AA749C" w:rsidRPr="0097620F" w:rsidRDefault="00AA749C" w:rsidP="00AA749C">
      <w:pPr>
        <w:pStyle w:val="ActHead5"/>
      </w:pPr>
      <w:bookmarkStart w:id="14" w:name="_Toc187395999"/>
      <w:r w:rsidRPr="001F5C7F">
        <w:rPr>
          <w:rStyle w:val="CharSectno"/>
        </w:rPr>
        <w:t>15</w:t>
      </w:r>
      <w:r w:rsidRPr="0097620F">
        <w:t xml:space="preserve">  Transfers subject to conditions</w:t>
      </w:r>
      <w:bookmarkEnd w:id="14"/>
    </w:p>
    <w:p w14:paraId="664195BE" w14:textId="77777777" w:rsidR="00AA749C" w:rsidRPr="0097620F" w:rsidRDefault="00AA749C" w:rsidP="00AA749C">
      <w:pPr>
        <w:pStyle w:val="subsection"/>
      </w:pPr>
      <w:r w:rsidRPr="0097620F">
        <w:tab/>
      </w:r>
      <w:r w:rsidRPr="0097620F">
        <w:tab/>
        <w:t>The deed of agreement may contain conditions relating to an asset or liability, or a class of assets or liabilities, transferred to the industry services body under this Act.</w:t>
      </w:r>
    </w:p>
    <w:p w14:paraId="7D1A9461" w14:textId="77777777" w:rsidR="00AA749C" w:rsidRPr="0097620F" w:rsidRDefault="00AA749C" w:rsidP="00AA749C">
      <w:pPr>
        <w:pStyle w:val="notetext"/>
      </w:pPr>
      <w:r w:rsidRPr="0097620F">
        <w:t>Note:</w:t>
      </w:r>
      <w:r w:rsidRPr="0097620F">
        <w:tab/>
        <w:t xml:space="preserve">The </w:t>
      </w:r>
      <w:r w:rsidRPr="0097620F">
        <w:rPr>
          <w:i/>
        </w:rPr>
        <w:t>Horticulture Marketing and Research and Development Services Act 2000</w:t>
      </w:r>
      <w:r w:rsidRPr="0097620F">
        <w:t xml:space="preserve"> and the of deed of agreement provide for the consequences of a breach of the deed by the industry services body (see sections</w:t>
      </w:r>
      <w:r w:rsidR="0097620F">
        <w:t> </w:t>
      </w:r>
      <w:r w:rsidRPr="0097620F">
        <w:t>10, 16 and 27 of that Act, and the provisions of the deed).</w:t>
      </w:r>
    </w:p>
    <w:p w14:paraId="7FBB3ED3" w14:textId="77777777" w:rsidR="00AA749C" w:rsidRPr="0097620F" w:rsidRDefault="00AA749C" w:rsidP="00AA749C">
      <w:pPr>
        <w:pStyle w:val="ActHead5"/>
      </w:pPr>
      <w:bookmarkStart w:id="15" w:name="_Toc187396000"/>
      <w:r w:rsidRPr="001F5C7F">
        <w:rPr>
          <w:rStyle w:val="CharSectno"/>
        </w:rPr>
        <w:t>16</w:t>
      </w:r>
      <w:r w:rsidRPr="0097620F">
        <w:t xml:space="preserve">  Transfer of assets and liabilities</w:t>
      </w:r>
      <w:bookmarkEnd w:id="15"/>
    </w:p>
    <w:p w14:paraId="4D6632F1" w14:textId="77777777" w:rsidR="00AA749C" w:rsidRPr="0097620F" w:rsidRDefault="00AA749C" w:rsidP="00AA749C">
      <w:pPr>
        <w:pStyle w:val="subsection"/>
      </w:pPr>
      <w:r w:rsidRPr="0097620F">
        <w:tab/>
        <w:t>(1)</w:t>
      </w:r>
      <w:r w:rsidRPr="0097620F">
        <w:tab/>
        <w:t>This section applies to:</w:t>
      </w:r>
    </w:p>
    <w:p w14:paraId="64BD1EFD" w14:textId="77777777" w:rsidR="00AA749C" w:rsidRPr="0097620F" w:rsidRDefault="00AA749C" w:rsidP="00AA749C">
      <w:pPr>
        <w:pStyle w:val="paragraph"/>
      </w:pPr>
      <w:r w:rsidRPr="0097620F">
        <w:tab/>
        <w:t>(a)</w:t>
      </w:r>
      <w:r w:rsidRPr="0097620F">
        <w:tab/>
        <w:t>the assets of a statutory authority (other than the ADF Trust Amount); and</w:t>
      </w:r>
    </w:p>
    <w:p w14:paraId="465ACF23" w14:textId="77777777" w:rsidR="00AA749C" w:rsidRPr="0097620F" w:rsidRDefault="00AA749C" w:rsidP="00AA749C">
      <w:pPr>
        <w:pStyle w:val="paragraph"/>
      </w:pPr>
      <w:r w:rsidRPr="0097620F">
        <w:tab/>
        <w:t>(b)</w:t>
      </w:r>
      <w:r w:rsidRPr="0097620F">
        <w:tab/>
        <w:t>the liabilities of a statutory authority (other than a liability referred to in section</w:t>
      </w:r>
      <w:r w:rsidR="0097620F">
        <w:t> </w:t>
      </w:r>
      <w:r w:rsidRPr="0097620F">
        <w:t>28).</w:t>
      </w:r>
    </w:p>
    <w:p w14:paraId="24C95BE4" w14:textId="66A97632" w:rsidR="00AA749C" w:rsidRPr="0097620F" w:rsidRDefault="00AA749C" w:rsidP="00AA749C">
      <w:pPr>
        <w:pStyle w:val="notetext"/>
      </w:pPr>
      <w:r w:rsidRPr="0097620F">
        <w:t>Note:</w:t>
      </w:r>
      <w:r w:rsidRPr="0097620F">
        <w:tab/>
        <w:t xml:space="preserve">The transfer of the ADF Trust Amount is dealt with in </w:t>
      </w:r>
      <w:r w:rsidR="001F5C7F">
        <w:t>section 1</w:t>
      </w:r>
      <w:r w:rsidRPr="0097620F">
        <w:t>7.</w:t>
      </w:r>
    </w:p>
    <w:p w14:paraId="5BD6FC10" w14:textId="77777777" w:rsidR="00AA749C" w:rsidRPr="0097620F" w:rsidRDefault="00AA749C" w:rsidP="00AA749C">
      <w:pPr>
        <w:pStyle w:val="subsection"/>
      </w:pPr>
      <w:r w:rsidRPr="0097620F">
        <w:lastRenderedPageBreak/>
        <w:tab/>
        <w:t>(3)</w:t>
      </w:r>
      <w:r w:rsidRPr="0097620F">
        <w:tab/>
        <w:t>On the transfer day:</w:t>
      </w:r>
    </w:p>
    <w:p w14:paraId="6190E187" w14:textId="77777777" w:rsidR="00AA749C" w:rsidRPr="0097620F" w:rsidRDefault="00AA749C" w:rsidP="00AA749C">
      <w:pPr>
        <w:pStyle w:val="paragraph"/>
      </w:pPr>
      <w:r w:rsidRPr="0097620F">
        <w:tab/>
        <w:t>(a)</w:t>
      </w:r>
      <w:r w:rsidRPr="0097620F">
        <w:tab/>
        <w:t>the assets and liabilities cease to be assets and liabilities of the authority and become assets and liabilities of the industry services body without any conveyance, transfer or assignment; and</w:t>
      </w:r>
    </w:p>
    <w:p w14:paraId="0E28F194" w14:textId="77777777" w:rsidR="00AA749C" w:rsidRPr="0097620F" w:rsidRDefault="00AA749C" w:rsidP="00AA749C">
      <w:pPr>
        <w:pStyle w:val="paragraph"/>
      </w:pPr>
      <w:r w:rsidRPr="0097620F">
        <w:tab/>
        <w:t>(b)</w:t>
      </w:r>
      <w:r w:rsidRPr="0097620F">
        <w:tab/>
        <w:t>the industry services body becomes the statutory authority’s successor in law in relation to the assets and liabilities immediately after they become assets and liabilities of the industry services body.</w:t>
      </w:r>
    </w:p>
    <w:p w14:paraId="53C88611" w14:textId="77777777" w:rsidR="00AA749C" w:rsidRPr="0097620F" w:rsidRDefault="00AA749C" w:rsidP="00AA749C">
      <w:pPr>
        <w:pStyle w:val="notetext"/>
      </w:pPr>
      <w:r w:rsidRPr="0097620F">
        <w:t>Note:</w:t>
      </w:r>
      <w:r w:rsidRPr="0097620F">
        <w:tab/>
        <w:t>See also sections</w:t>
      </w:r>
      <w:r w:rsidR="0097620F">
        <w:t> </w:t>
      </w:r>
      <w:r w:rsidRPr="0097620F">
        <w:t>18 and 21.</w:t>
      </w:r>
    </w:p>
    <w:p w14:paraId="4ECC2912" w14:textId="77777777" w:rsidR="00AA749C" w:rsidRPr="0097620F" w:rsidRDefault="00AA749C" w:rsidP="00AA749C">
      <w:pPr>
        <w:pStyle w:val="ActHead5"/>
      </w:pPr>
      <w:bookmarkStart w:id="16" w:name="_Toc187396001"/>
      <w:r w:rsidRPr="001F5C7F">
        <w:rPr>
          <w:rStyle w:val="CharSectno"/>
        </w:rPr>
        <w:t>17</w:t>
      </w:r>
      <w:r w:rsidRPr="0097620F">
        <w:t xml:space="preserve">  ADF Trust Amount</w:t>
      </w:r>
      <w:bookmarkEnd w:id="16"/>
    </w:p>
    <w:p w14:paraId="09506ACA" w14:textId="77777777" w:rsidR="00AA749C" w:rsidRPr="0097620F" w:rsidRDefault="00AA749C" w:rsidP="00AA749C">
      <w:pPr>
        <w:pStyle w:val="subsection"/>
      </w:pPr>
      <w:r w:rsidRPr="0097620F">
        <w:tab/>
        <w:t>(1)</w:t>
      </w:r>
      <w:r w:rsidRPr="0097620F">
        <w:tab/>
        <w:t>The Minister may determine, in writing, that:</w:t>
      </w:r>
    </w:p>
    <w:p w14:paraId="6D1D734A" w14:textId="77777777" w:rsidR="00AA749C" w:rsidRPr="0097620F" w:rsidRDefault="00AA749C" w:rsidP="00AA749C">
      <w:pPr>
        <w:pStyle w:val="paragraph"/>
      </w:pPr>
      <w:r w:rsidRPr="0097620F">
        <w:tab/>
        <w:t>(a)</w:t>
      </w:r>
      <w:r w:rsidRPr="0097620F">
        <w:tab/>
        <w:t xml:space="preserve">a particular amount of money of the Australian Dried Fruits Board is the </w:t>
      </w:r>
      <w:r w:rsidRPr="0097620F">
        <w:rPr>
          <w:b/>
          <w:i/>
        </w:rPr>
        <w:t>ADF Trust Amount</w:t>
      </w:r>
      <w:r w:rsidRPr="0097620F">
        <w:t xml:space="preserve"> for the purposes of this section; and</w:t>
      </w:r>
    </w:p>
    <w:p w14:paraId="1DDCC8A8" w14:textId="77777777" w:rsidR="00AA749C" w:rsidRPr="0097620F" w:rsidRDefault="00AA749C" w:rsidP="00AA749C">
      <w:pPr>
        <w:pStyle w:val="paragraph"/>
      </w:pPr>
      <w:r w:rsidRPr="0097620F">
        <w:tab/>
        <w:t>(b)</w:t>
      </w:r>
      <w:r w:rsidRPr="0097620F">
        <w:tab/>
        <w:t xml:space="preserve">a particular trust is the </w:t>
      </w:r>
      <w:r w:rsidRPr="0097620F">
        <w:rPr>
          <w:b/>
          <w:i/>
        </w:rPr>
        <w:t>Dried Fruits Trust</w:t>
      </w:r>
      <w:r w:rsidRPr="0097620F">
        <w:t xml:space="preserve"> for the purposes of this section.</w:t>
      </w:r>
    </w:p>
    <w:p w14:paraId="3A0AA8BA" w14:textId="77777777" w:rsidR="00AA749C" w:rsidRPr="0097620F" w:rsidRDefault="00AA749C" w:rsidP="00AA749C">
      <w:pPr>
        <w:pStyle w:val="subsection"/>
      </w:pPr>
      <w:r w:rsidRPr="0097620F">
        <w:tab/>
        <w:t>(2)</w:t>
      </w:r>
      <w:r w:rsidRPr="0097620F">
        <w:tab/>
        <w:t xml:space="preserve">If the Minister has made a determination under </w:t>
      </w:r>
      <w:r w:rsidR="0097620F">
        <w:t>subsection (</w:t>
      </w:r>
      <w:r w:rsidRPr="0097620F">
        <w:t>1) before the transfer day, the ADF Trust Amount vests in the trustees on the transfer day and is held on trust by the trustees for the purposes of the Dried Fruits Trust.</w:t>
      </w:r>
    </w:p>
    <w:p w14:paraId="45F7BD4A" w14:textId="77777777" w:rsidR="00AA749C" w:rsidRPr="0097620F" w:rsidRDefault="00AA749C" w:rsidP="00AA749C">
      <w:pPr>
        <w:pStyle w:val="subsection"/>
      </w:pPr>
      <w:r w:rsidRPr="0097620F">
        <w:tab/>
        <w:t>(3)</w:t>
      </w:r>
      <w:r w:rsidRPr="0097620F">
        <w:tab/>
        <w:t xml:space="preserve">If the ADF Trust Amount is transferred under </w:t>
      </w:r>
      <w:r w:rsidR="0097620F">
        <w:t>subsection (</w:t>
      </w:r>
      <w:r w:rsidRPr="0097620F">
        <w:t>2), it vests in the trustees without any conveyance, transfer or assignment.</w:t>
      </w:r>
    </w:p>
    <w:p w14:paraId="4C2591EE" w14:textId="77777777" w:rsidR="00AA749C" w:rsidRPr="0097620F" w:rsidRDefault="00AA749C" w:rsidP="00AA749C">
      <w:pPr>
        <w:pStyle w:val="subsection"/>
      </w:pPr>
      <w:r w:rsidRPr="0097620F">
        <w:tab/>
        <w:t>(4)</w:t>
      </w:r>
      <w:r w:rsidRPr="0097620F">
        <w:tab/>
        <w:t xml:space="preserve">A copy of the determination is to be published in the </w:t>
      </w:r>
      <w:r w:rsidRPr="0097620F">
        <w:rPr>
          <w:i/>
        </w:rPr>
        <w:t>Gazette</w:t>
      </w:r>
      <w:r w:rsidRPr="0097620F">
        <w:t xml:space="preserve"> within 14 days after the determination is made.</w:t>
      </w:r>
    </w:p>
    <w:p w14:paraId="585C2D54" w14:textId="77777777" w:rsidR="00AA749C" w:rsidRPr="0097620F" w:rsidRDefault="00AA749C" w:rsidP="00AA749C">
      <w:pPr>
        <w:pStyle w:val="subsection"/>
      </w:pPr>
      <w:r w:rsidRPr="0097620F">
        <w:tab/>
        <w:t>(5)</w:t>
      </w:r>
      <w:r w:rsidRPr="0097620F">
        <w:tab/>
        <w:t xml:space="preserve">The determination is not invalid merely because it has not been published as required under </w:t>
      </w:r>
      <w:r w:rsidR="0097620F">
        <w:t>subsection (</w:t>
      </w:r>
      <w:r w:rsidRPr="0097620F">
        <w:t>4).</w:t>
      </w:r>
    </w:p>
    <w:p w14:paraId="6343CF7F" w14:textId="77777777" w:rsidR="00AA749C" w:rsidRPr="0097620F" w:rsidRDefault="00AA749C" w:rsidP="00AA749C">
      <w:pPr>
        <w:pStyle w:val="ActHead5"/>
      </w:pPr>
      <w:bookmarkStart w:id="17" w:name="_Toc187396002"/>
      <w:r w:rsidRPr="001F5C7F">
        <w:rPr>
          <w:rStyle w:val="CharSectno"/>
        </w:rPr>
        <w:lastRenderedPageBreak/>
        <w:t>18</w:t>
      </w:r>
      <w:r w:rsidRPr="0097620F">
        <w:t xml:space="preserve">  Transfer of pending proceedings</w:t>
      </w:r>
      <w:bookmarkEnd w:id="17"/>
    </w:p>
    <w:p w14:paraId="3B7C2F20" w14:textId="77777777" w:rsidR="00AA749C" w:rsidRPr="0097620F" w:rsidRDefault="00AA749C" w:rsidP="00AA749C">
      <w:pPr>
        <w:pStyle w:val="subsection"/>
      </w:pPr>
      <w:r w:rsidRPr="0097620F">
        <w:tab/>
        <w:t>(1)</w:t>
      </w:r>
      <w:r w:rsidRPr="0097620F">
        <w:tab/>
        <w:t xml:space="preserve">This section applies if, as a result of a transfer under this Act, a person (the </w:t>
      </w:r>
      <w:r w:rsidRPr="0097620F">
        <w:rPr>
          <w:b/>
          <w:i/>
        </w:rPr>
        <w:t>successor</w:t>
      </w:r>
      <w:r w:rsidRPr="0097620F">
        <w:t xml:space="preserve">) becomes the successor in law of another person (the </w:t>
      </w:r>
      <w:r w:rsidRPr="0097620F">
        <w:rPr>
          <w:b/>
          <w:i/>
        </w:rPr>
        <w:t>original person</w:t>
      </w:r>
      <w:r w:rsidRPr="0097620F">
        <w:t>) at a particular time in relation to a particular asset, liability, right, benefit or obligation.</w:t>
      </w:r>
    </w:p>
    <w:p w14:paraId="2628BF5C" w14:textId="77777777" w:rsidR="00AA749C" w:rsidRPr="0097620F" w:rsidRDefault="00AA749C" w:rsidP="00AA749C">
      <w:pPr>
        <w:pStyle w:val="subsection"/>
      </w:pPr>
      <w:r w:rsidRPr="0097620F">
        <w:tab/>
        <w:t>(2)</w:t>
      </w:r>
      <w:r w:rsidRPr="0097620F">
        <w:tab/>
        <w:t>If any proceedings to which the original person was a party:</w:t>
      </w:r>
    </w:p>
    <w:p w14:paraId="0441F302" w14:textId="77777777" w:rsidR="00AA749C" w:rsidRPr="0097620F" w:rsidRDefault="00AA749C" w:rsidP="00AA749C">
      <w:pPr>
        <w:pStyle w:val="paragraph"/>
      </w:pPr>
      <w:r w:rsidRPr="0097620F">
        <w:tab/>
        <w:t>(a)</w:t>
      </w:r>
      <w:r w:rsidRPr="0097620F">
        <w:tab/>
        <w:t>were pending in any court or tribunal immediately before that time; and</w:t>
      </w:r>
    </w:p>
    <w:p w14:paraId="71144B3F" w14:textId="77777777" w:rsidR="00AA749C" w:rsidRPr="0097620F" w:rsidRDefault="00AA749C" w:rsidP="00AA749C">
      <w:pPr>
        <w:pStyle w:val="paragraph"/>
      </w:pPr>
      <w:r w:rsidRPr="0097620F">
        <w:tab/>
        <w:t>(b)</w:t>
      </w:r>
      <w:r w:rsidRPr="0097620F">
        <w:tab/>
        <w:t>related, in whole or in part, to the asset, liability, right, benefit or obligation, as the case may be;</w:t>
      </w:r>
    </w:p>
    <w:p w14:paraId="3297A094" w14:textId="77777777" w:rsidR="00AA749C" w:rsidRPr="0097620F" w:rsidRDefault="00AA749C" w:rsidP="00AA749C">
      <w:pPr>
        <w:pStyle w:val="subsection2"/>
      </w:pPr>
      <w:r w:rsidRPr="0097620F">
        <w:t>the successor is, by force of this subsection, substituted for the original person as a party to the proceedings to the extent to which the proceedings relate to the asset, liability, right, benefit or obligation, as the case requires.</w:t>
      </w:r>
    </w:p>
    <w:p w14:paraId="7DF82ECB" w14:textId="77777777" w:rsidR="00AA749C" w:rsidRPr="0097620F" w:rsidRDefault="00AA749C" w:rsidP="00AA749C">
      <w:pPr>
        <w:pStyle w:val="ActHead5"/>
      </w:pPr>
      <w:bookmarkStart w:id="18" w:name="_Toc187396003"/>
      <w:r w:rsidRPr="001F5C7F">
        <w:rPr>
          <w:rStyle w:val="CharSectno"/>
        </w:rPr>
        <w:t>19</w:t>
      </w:r>
      <w:r w:rsidRPr="0097620F">
        <w:t xml:space="preserve">  Exemption from taxation</w:t>
      </w:r>
      <w:bookmarkEnd w:id="18"/>
    </w:p>
    <w:p w14:paraId="35282A91" w14:textId="77777777" w:rsidR="00AA749C" w:rsidRPr="0097620F" w:rsidRDefault="00AA749C" w:rsidP="00AA749C">
      <w:pPr>
        <w:pStyle w:val="subsection"/>
      </w:pPr>
      <w:r w:rsidRPr="0097620F">
        <w:tab/>
      </w:r>
      <w:r w:rsidRPr="0097620F">
        <w:tab/>
        <w:t>Stamp duty or other tax is not payable under a law of a State or Territory in respect of:</w:t>
      </w:r>
    </w:p>
    <w:p w14:paraId="60F5CA3A" w14:textId="77777777" w:rsidR="00AA749C" w:rsidRPr="0097620F" w:rsidRDefault="00AA749C" w:rsidP="00AA749C">
      <w:pPr>
        <w:pStyle w:val="paragraph"/>
      </w:pPr>
      <w:r w:rsidRPr="0097620F">
        <w:tab/>
        <w:t>(a)</w:t>
      </w:r>
      <w:r w:rsidRPr="0097620F">
        <w:tab/>
        <w:t>a transfer of an asset or liability of a statutory authority under this Act; or</w:t>
      </w:r>
    </w:p>
    <w:p w14:paraId="505BECD5" w14:textId="77777777" w:rsidR="00AA749C" w:rsidRPr="0097620F" w:rsidRDefault="00AA749C" w:rsidP="00AA749C">
      <w:pPr>
        <w:pStyle w:val="paragraph"/>
      </w:pPr>
      <w:r w:rsidRPr="0097620F">
        <w:tab/>
        <w:t>(b)</w:t>
      </w:r>
      <w:r w:rsidRPr="0097620F">
        <w:tab/>
        <w:t>anything done (including a transaction entered into or an instrument or document made, executed, lodged or given) because of, or for a purpose connected with or arising out of, such a transfer.</w:t>
      </w:r>
    </w:p>
    <w:p w14:paraId="71999871" w14:textId="77777777" w:rsidR="00AA749C" w:rsidRPr="0097620F" w:rsidRDefault="00AA749C" w:rsidP="00AA749C">
      <w:pPr>
        <w:pStyle w:val="ActHead5"/>
      </w:pPr>
      <w:bookmarkStart w:id="19" w:name="_Toc187396004"/>
      <w:r w:rsidRPr="001F5C7F">
        <w:rPr>
          <w:rStyle w:val="CharSectno"/>
        </w:rPr>
        <w:t>19A</w:t>
      </w:r>
      <w:r w:rsidRPr="0097620F">
        <w:t xml:space="preserve">  Operation of GST Law</w:t>
      </w:r>
      <w:bookmarkEnd w:id="19"/>
    </w:p>
    <w:p w14:paraId="2C7A2AED" w14:textId="3B7DEA11" w:rsidR="00AA749C" w:rsidRPr="0097620F" w:rsidRDefault="00AA749C" w:rsidP="00AA749C">
      <w:pPr>
        <w:pStyle w:val="subsection"/>
      </w:pPr>
      <w:r w:rsidRPr="0097620F">
        <w:tab/>
        <w:t>(1)</w:t>
      </w:r>
      <w:r w:rsidRPr="0097620F">
        <w:tab/>
        <w:t xml:space="preserve">For the purposes of the GST Law, a transfer to a person or body under </w:t>
      </w:r>
      <w:r w:rsidR="001F5C7F">
        <w:t>section 1</w:t>
      </w:r>
      <w:r w:rsidRPr="0097620F">
        <w:t>6 or 17 of this Act is taken to be consideration provided by the Commonwealth to that person or body for:</w:t>
      </w:r>
    </w:p>
    <w:p w14:paraId="65CD93F2" w14:textId="7754968F" w:rsidR="00AA749C" w:rsidRPr="0097620F" w:rsidRDefault="00AA749C" w:rsidP="00AA749C">
      <w:pPr>
        <w:pStyle w:val="paragraph"/>
      </w:pPr>
      <w:r w:rsidRPr="0097620F">
        <w:tab/>
        <w:t>(a)</w:t>
      </w:r>
      <w:r w:rsidRPr="0097620F">
        <w:tab/>
        <w:t xml:space="preserve">in the case of a transfer under </w:t>
      </w:r>
      <w:r w:rsidR="001F5C7F">
        <w:t>section 1</w:t>
      </w:r>
      <w:r w:rsidRPr="0097620F">
        <w:t>6—entering into obligations under the deed of agreement by the industry services body; and</w:t>
      </w:r>
    </w:p>
    <w:p w14:paraId="1AB1A08E" w14:textId="1DBD8C33" w:rsidR="00AA749C" w:rsidRPr="0097620F" w:rsidRDefault="00AA749C" w:rsidP="00AA749C">
      <w:pPr>
        <w:pStyle w:val="paragraph"/>
      </w:pPr>
      <w:r w:rsidRPr="0097620F">
        <w:lastRenderedPageBreak/>
        <w:tab/>
        <w:t>(b)</w:t>
      </w:r>
      <w:r w:rsidRPr="0097620F">
        <w:tab/>
        <w:t xml:space="preserve">in the case of a transfer under </w:t>
      </w:r>
      <w:r w:rsidR="001F5C7F">
        <w:t>section 1</w:t>
      </w:r>
      <w:r w:rsidRPr="0097620F">
        <w:t>7—entering into obligations under the deed of trust establishing the Dried Fruits Trust by the trustees of that Trust.</w:t>
      </w:r>
    </w:p>
    <w:p w14:paraId="2B6921CF" w14:textId="77777777" w:rsidR="00AA749C" w:rsidRPr="0097620F" w:rsidRDefault="00AA749C" w:rsidP="00AA749C">
      <w:pPr>
        <w:pStyle w:val="subsection"/>
      </w:pPr>
      <w:r w:rsidRPr="0097620F">
        <w:tab/>
        <w:t>(2)</w:t>
      </w:r>
      <w:r w:rsidRPr="0097620F">
        <w:tab/>
        <w:t xml:space="preserve">Expressions used in this section have the same meanings as they have in the </w:t>
      </w:r>
      <w:r w:rsidRPr="0097620F">
        <w:rPr>
          <w:i/>
        </w:rPr>
        <w:t>A New Tax System (Goods and Services Tax) Act 1999</w:t>
      </w:r>
      <w:r w:rsidRPr="0097620F">
        <w:t>.</w:t>
      </w:r>
    </w:p>
    <w:p w14:paraId="7B42BAD7" w14:textId="77777777" w:rsidR="00AA749C" w:rsidRPr="0097620F" w:rsidRDefault="00AA749C" w:rsidP="00AA749C">
      <w:pPr>
        <w:pStyle w:val="ActHead5"/>
      </w:pPr>
      <w:bookmarkStart w:id="20" w:name="_Toc187396005"/>
      <w:r w:rsidRPr="001F5C7F">
        <w:rPr>
          <w:rStyle w:val="CharSectno"/>
        </w:rPr>
        <w:t>20</w:t>
      </w:r>
      <w:r w:rsidRPr="0097620F">
        <w:t xml:space="preserve">  References in certain instruments</w:t>
      </w:r>
      <w:bookmarkEnd w:id="20"/>
    </w:p>
    <w:p w14:paraId="4A06D699" w14:textId="77777777" w:rsidR="00AA749C" w:rsidRPr="0097620F" w:rsidRDefault="00AA749C" w:rsidP="00AA749C">
      <w:pPr>
        <w:pStyle w:val="subsection"/>
      </w:pPr>
      <w:r w:rsidRPr="0097620F">
        <w:tab/>
        <w:t>(1)</w:t>
      </w:r>
      <w:r w:rsidRPr="0097620F">
        <w:tab/>
        <w:t xml:space="preserve">An instrument to which </w:t>
      </w:r>
      <w:r w:rsidR="0097620F">
        <w:t>subsection (</w:t>
      </w:r>
      <w:r w:rsidRPr="0097620F">
        <w:t>2) applies continues to have effect on and after the transfer day as if a reference in the instrument to the statutory authority were a reference to the industry services body.</w:t>
      </w:r>
    </w:p>
    <w:p w14:paraId="0363753E" w14:textId="77777777" w:rsidR="00AA749C" w:rsidRPr="0097620F" w:rsidRDefault="00AA749C" w:rsidP="00BA1449">
      <w:pPr>
        <w:pStyle w:val="subsection"/>
        <w:keepNext/>
      </w:pPr>
      <w:r w:rsidRPr="0097620F">
        <w:tab/>
        <w:t>(2)</w:t>
      </w:r>
      <w:r w:rsidRPr="0097620F">
        <w:tab/>
        <w:t>This subsection applies to an instrument if it is:</w:t>
      </w:r>
    </w:p>
    <w:p w14:paraId="19956DD8" w14:textId="77777777" w:rsidR="00AA749C" w:rsidRPr="0097620F" w:rsidRDefault="00AA749C" w:rsidP="00AA749C">
      <w:pPr>
        <w:pStyle w:val="paragraph"/>
      </w:pPr>
      <w:r w:rsidRPr="0097620F">
        <w:tab/>
        <w:t>(a)</w:t>
      </w:r>
      <w:r w:rsidRPr="0097620F">
        <w:tab/>
        <w:t>in operation immediately before the transfer day; and</w:t>
      </w:r>
    </w:p>
    <w:p w14:paraId="14A3B24A" w14:textId="77777777" w:rsidR="00AA749C" w:rsidRPr="0097620F" w:rsidRDefault="00AA749C" w:rsidP="00AA749C">
      <w:pPr>
        <w:pStyle w:val="paragraph"/>
      </w:pPr>
      <w:r w:rsidRPr="0097620F">
        <w:tab/>
        <w:t>(b)</w:t>
      </w:r>
      <w:r w:rsidRPr="0097620F">
        <w:tab/>
        <w:t>is an instrument:</w:t>
      </w:r>
    </w:p>
    <w:p w14:paraId="66FB8AE9" w14:textId="77777777" w:rsidR="00AA749C" w:rsidRPr="0097620F" w:rsidRDefault="00AA749C" w:rsidP="00AA749C">
      <w:pPr>
        <w:pStyle w:val="paragraphsub"/>
      </w:pPr>
      <w:r w:rsidRPr="0097620F">
        <w:tab/>
        <w:t>(i)</w:t>
      </w:r>
      <w:r w:rsidRPr="0097620F">
        <w:tab/>
        <w:t>to which a statutory authority is a party; or</w:t>
      </w:r>
    </w:p>
    <w:p w14:paraId="5B0CF82A" w14:textId="77777777" w:rsidR="00AA749C" w:rsidRPr="0097620F" w:rsidRDefault="00AA749C" w:rsidP="00AA749C">
      <w:pPr>
        <w:pStyle w:val="paragraphsub"/>
      </w:pPr>
      <w:r w:rsidRPr="0097620F">
        <w:tab/>
        <w:t>(ii)</w:t>
      </w:r>
      <w:r w:rsidRPr="0097620F">
        <w:tab/>
        <w:t>which was given to, or in favour of, a statutory authority; or</w:t>
      </w:r>
    </w:p>
    <w:p w14:paraId="1B995633" w14:textId="77777777" w:rsidR="00AA749C" w:rsidRPr="0097620F" w:rsidRDefault="00AA749C" w:rsidP="00AA749C">
      <w:pPr>
        <w:pStyle w:val="paragraphsub"/>
      </w:pPr>
      <w:r w:rsidRPr="0097620F">
        <w:tab/>
        <w:t>(iii)</w:t>
      </w:r>
      <w:r w:rsidRPr="0097620F">
        <w:tab/>
        <w:t>in which a reference is made to a statutory authority; or</w:t>
      </w:r>
    </w:p>
    <w:p w14:paraId="648CAE6E" w14:textId="77777777" w:rsidR="00AA749C" w:rsidRPr="0097620F" w:rsidRDefault="00AA749C" w:rsidP="00AA749C">
      <w:pPr>
        <w:pStyle w:val="paragraphsub"/>
      </w:pPr>
      <w:r w:rsidRPr="0097620F">
        <w:tab/>
        <w:t>(iv)</w:t>
      </w:r>
      <w:r w:rsidRPr="0097620F">
        <w:tab/>
        <w:t>under which any right or liability accrues or may accrue to a statutory authority.</w:t>
      </w:r>
    </w:p>
    <w:p w14:paraId="040C8BE1" w14:textId="77777777" w:rsidR="00AA749C" w:rsidRPr="0097620F" w:rsidRDefault="00AA749C" w:rsidP="00AA749C">
      <w:pPr>
        <w:pStyle w:val="ActHead5"/>
      </w:pPr>
      <w:bookmarkStart w:id="21" w:name="_Toc187396006"/>
      <w:r w:rsidRPr="001F5C7F">
        <w:rPr>
          <w:rStyle w:val="CharSectno"/>
        </w:rPr>
        <w:t>21</w:t>
      </w:r>
      <w:r w:rsidRPr="0097620F">
        <w:t xml:space="preserve">  Certificates in relation to assets</w:t>
      </w:r>
      <w:bookmarkEnd w:id="21"/>
    </w:p>
    <w:p w14:paraId="705EE903" w14:textId="77777777" w:rsidR="00AA749C" w:rsidRPr="0097620F" w:rsidRDefault="00AA749C" w:rsidP="00AA749C">
      <w:pPr>
        <w:pStyle w:val="subsection"/>
      </w:pPr>
      <w:r w:rsidRPr="0097620F">
        <w:tab/>
        <w:t>(1)</w:t>
      </w:r>
      <w:r w:rsidRPr="0097620F">
        <w:tab/>
        <w:t>This section applies if:</w:t>
      </w:r>
    </w:p>
    <w:p w14:paraId="041E13BA" w14:textId="77777777" w:rsidR="00AA749C" w:rsidRPr="0097620F" w:rsidRDefault="00AA749C" w:rsidP="00AA749C">
      <w:pPr>
        <w:pStyle w:val="paragraph"/>
      </w:pPr>
      <w:r w:rsidRPr="0097620F">
        <w:tab/>
        <w:t>(a)</w:t>
      </w:r>
      <w:r w:rsidRPr="0097620F">
        <w:tab/>
        <w:t>an asset (other than money) becomes an asset of the industry services body under this Division; and</w:t>
      </w:r>
    </w:p>
    <w:p w14:paraId="10E76EF6" w14:textId="77777777" w:rsidR="00AA749C" w:rsidRPr="0097620F" w:rsidRDefault="00AA749C" w:rsidP="00AA749C">
      <w:pPr>
        <w:pStyle w:val="paragraph"/>
      </w:pPr>
      <w:r w:rsidRPr="0097620F">
        <w:tab/>
        <w:t>(b)</w:t>
      </w:r>
      <w:r w:rsidRPr="0097620F">
        <w:tab/>
        <w:t>there is lodged with an assets official a certificate that:</w:t>
      </w:r>
    </w:p>
    <w:p w14:paraId="1998832D" w14:textId="77777777" w:rsidR="00AA749C" w:rsidRPr="0097620F" w:rsidRDefault="00AA749C" w:rsidP="00AA749C">
      <w:pPr>
        <w:pStyle w:val="paragraphsub"/>
      </w:pPr>
      <w:r w:rsidRPr="0097620F">
        <w:tab/>
        <w:t>(i)</w:t>
      </w:r>
      <w:r w:rsidRPr="0097620F">
        <w:tab/>
        <w:t>is signed by the Secretary; and</w:t>
      </w:r>
    </w:p>
    <w:p w14:paraId="0AED047B" w14:textId="77777777" w:rsidR="00AA749C" w:rsidRPr="0097620F" w:rsidRDefault="00AA749C" w:rsidP="00AA749C">
      <w:pPr>
        <w:pStyle w:val="paragraphsub"/>
      </w:pPr>
      <w:r w:rsidRPr="0097620F">
        <w:tab/>
        <w:t>(ii)</w:t>
      </w:r>
      <w:r w:rsidRPr="0097620F">
        <w:tab/>
        <w:t>identifies the asset; and</w:t>
      </w:r>
    </w:p>
    <w:p w14:paraId="41D19FD3" w14:textId="77777777" w:rsidR="00AA749C" w:rsidRPr="0097620F" w:rsidRDefault="00AA749C" w:rsidP="00AA749C">
      <w:pPr>
        <w:pStyle w:val="paragraphsub"/>
      </w:pPr>
      <w:r w:rsidRPr="0097620F">
        <w:tab/>
        <w:t>(iii)</w:t>
      </w:r>
      <w:r w:rsidRPr="0097620F">
        <w:tab/>
        <w:t>states that the asset has become an asset of the body under this Division.</w:t>
      </w:r>
    </w:p>
    <w:p w14:paraId="21ED43E3" w14:textId="77777777" w:rsidR="00AA749C" w:rsidRPr="0097620F" w:rsidRDefault="00AA749C" w:rsidP="00AA749C">
      <w:pPr>
        <w:pStyle w:val="notetext"/>
      </w:pPr>
      <w:r w:rsidRPr="0097620F">
        <w:t>Note:</w:t>
      </w:r>
      <w:r w:rsidRPr="0097620F">
        <w:tab/>
        <w:t xml:space="preserve">For the meaning of </w:t>
      </w:r>
      <w:r w:rsidRPr="0097620F">
        <w:rPr>
          <w:b/>
          <w:i/>
        </w:rPr>
        <w:t>assets official</w:t>
      </w:r>
      <w:r w:rsidRPr="0097620F">
        <w:t>, see section</w:t>
      </w:r>
      <w:r w:rsidR="0097620F">
        <w:t> </w:t>
      </w:r>
      <w:r w:rsidRPr="0097620F">
        <w:t>4.</w:t>
      </w:r>
    </w:p>
    <w:p w14:paraId="265213F6" w14:textId="77777777" w:rsidR="00AA749C" w:rsidRPr="0097620F" w:rsidRDefault="00AA749C" w:rsidP="00AA749C">
      <w:pPr>
        <w:pStyle w:val="subsection"/>
      </w:pPr>
      <w:r w:rsidRPr="0097620F">
        <w:lastRenderedPageBreak/>
        <w:tab/>
        <w:t>(2)</w:t>
      </w:r>
      <w:r w:rsidRPr="0097620F">
        <w:tab/>
        <w:t>The assets official may:</w:t>
      </w:r>
    </w:p>
    <w:p w14:paraId="35D49C8F" w14:textId="77777777" w:rsidR="00AA749C" w:rsidRPr="0097620F" w:rsidRDefault="00AA749C" w:rsidP="00AA749C">
      <w:pPr>
        <w:pStyle w:val="paragraph"/>
      </w:pPr>
      <w:r w:rsidRPr="0097620F">
        <w:tab/>
        <w:t>(a)</w:t>
      </w:r>
      <w:r w:rsidRPr="0097620F">
        <w:tab/>
        <w:t>deal with, and give effect to, the certificate as if it were a proper and appropriate instrument for transactions in relation to assets of that kind; and</w:t>
      </w:r>
    </w:p>
    <w:p w14:paraId="3886EBC6" w14:textId="77777777" w:rsidR="00AA749C" w:rsidRPr="0097620F" w:rsidRDefault="00AA749C" w:rsidP="00AA749C">
      <w:pPr>
        <w:pStyle w:val="paragraph"/>
      </w:pPr>
      <w:r w:rsidRPr="0097620F">
        <w:tab/>
        <w:t>(b)</w:t>
      </w:r>
      <w:r w:rsidRPr="0097620F">
        <w:tab/>
        <w:t>make such entries in the register as are necessary, having regard to the effect of this Division.</w:t>
      </w:r>
    </w:p>
    <w:p w14:paraId="2B0FCBE5" w14:textId="77777777" w:rsidR="00AA749C" w:rsidRPr="0097620F" w:rsidRDefault="00AA749C" w:rsidP="00AA749C">
      <w:pPr>
        <w:pStyle w:val="subsection"/>
      </w:pPr>
      <w:r w:rsidRPr="0097620F">
        <w:tab/>
        <w:t>(3)</w:t>
      </w:r>
      <w:r w:rsidRPr="0097620F">
        <w:tab/>
        <w:t xml:space="preserve">A document that appears to be a certificate under </w:t>
      </w:r>
      <w:r w:rsidR="0097620F">
        <w:t>subsection (</w:t>
      </w:r>
      <w:r w:rsidRPr="0097620F">
        <w:t>1) is taken to be such a certificate, and to have been properly given, unless the contrary is established.</w:t>
      </w:r>
    </w:p>
    <w:p w14:paraId="180DD62D" w14:textId="77777777" w:rsidR="00AA749C" w:rsidRPr="0097620F" w:rsidRDefault="00AA749C" w:rsidP="0097620F">
      <w:pPr>
        <w:pStyle w:val="ActHead3"/>
        <w:pageBreakBefore/>
      </w:pPr>
      <w:bookmarkStart w:id="22" w:name="_Toc187396007"/>
      <w:r w:rsidRPr="001F5C7F">
        <w:rPr>
          <w:rStyle w:val="CharDivNo"/>
        </w:rPr>
        <w:lastRenderedPageBreak/>
        <w:t>Division</w:t>
      </w:r>
      <w:r w:rsidR="0097620F" w:rsidRPr="001F5C7F">
        <w:rPr>
          <w:rStyle w:val="CharDivNo"/>
        </w:rPr>
        <w:t> </w:t>
      </w:r>
      <w:r w:rsidRPr="001F5C7F">
        <w:rPr>
          <w:rStyle w:val="CharDivNo"/>
        </w:rPr>
        <w:t>4</w:t>
      </w:r>
      <w:r w:rsidRPr="0097620F">
        <w:t>—</w:t>
      </w:r>
      <w:r w:rsidRPr="001F5C7F">
        <w:rPr>
          <w:rStyle w:val="CharDivText"/>
        </w:rPr>
        <w:t>Transfer of staff</w:t>
      </w:r>
      <w:bookmarkEnd w:id="22"/>
    </w:p>
    <w:p w14:paraId="65DE48D9" w14:textId="77777777" w:rsidR="00AA749C" w:rsidRPr="0097620F" w:rsidRDefault="00AA749C" w:rsidP="00AA749C">
      <w:pPr>
        <w:pStyle w:val="ActHead4"/>
      </w:pPr>
      <w:bookmarkStart w:id="23" w:name="_Toc187396008"/>
      <w:r w:rsidRPr="001F5C7F">
        <w:rPr>
          <w:rStyle w:val="CharSubdNo"/>
        </w:rPr>
        <w:t>Subdivision A</w:t>
      </w:r>
      <w:r w:rsidRPr="0097620F">
        <w:t>—</w:t>
      </w:r>
      <w:r w:rsidRPr="001F5C7F">
        <w:rPr>
          <w:rStyle w:val="CharSubdText"/>
        </w:rPr>
        <w:t>Preliminary</w:t>
      </w:r>
      <w:bookmarkEnd w:id="23"/>
    </w:p>
    <w:p w14:paraId="1B9D9822" w14:textId="77777777" w:rsidR="00AA749C" w:rsidRPr="0097620F" w:rsidRDefault="00AA749C" w:rsidP="00AA749C">
      <w:pPr>
        <w:pStyle w:val="ActHead5"/>
      </w:pPr>
      <w:bookmarkStart w:id="24" w:name="_Toc187396009"/>
      <w:r w:rsidRPr="001F5C7F">
        <w:rPr>
          <w:rStyle w:val="CharSectno"/>
        </w:rPr>
        <w:t>23</w:t>
      </w:r>
      <w:r w:rsidRPr="0097620F">
        <w:t xml:space="preserve">  Simplified outline</w:t>
      </w:r>
      <w:bookmarkEnd w:id="24"/>
    </w:p>
    <w:p w14:paraId="07E20807" w14:textId="77777777" w:rsidR="00AA749C" w:rsidRPr="0097620F" w:rsidRDefault="00AA749C" w:rsidP="00AA749C">
      <w:pPr>
        <w:pStyle w:val="subsection"/>
      </w:pPr>
      <w:r w:rsidRPr="0097620F">
        <w:tab/>
      </w:r>
      <w:r w:rsidRPr="0097620F">
        <w:tab/>
        <w:t>The following is a simplified outline of this Division:</w:t>
      </w:r>
    </w:p>
    <w:p w14:paraId="055AA673" w14:textId="77777777" w:rsidR="00AA749C" w:rsidRPr="0097620F" w:rsidRDefault="00AA749C" w:rsidP="00AA749C">
      <w:pPr>
        <w:pStyle w:val="BoxText"/>
      </w:pPr>
      <w:r w:rsidRPr="0097620F">
        <w:t>On the transfer day, the staff of the 3 statutory authorities are transferred to the new industry services body on the same terms and conditions, and with the same accrued entitlements, that they had before the transfer (see section</w:t>
      </w:r>
      <w:r w:rsidR="0097620F">
        <w:t> </w:t>
      </w:r>
      <w:r w:rsidRPr="0097620F">
        <w:t>25).</w:t>
      </w:r>
    </w:p>
    <w:p w14:paraId="01B03C35" w14:textId="77777777" w:rsidR="00AA749C" w:rsidRPr="0097620F" w:rsidRDefault="00AA749C" w:rsidP="00AA749C">
      <w:pPr>
        <w:pStyle w:val="BoxText"/>
      </w:pPr>
      <w:r w:rsidRPr="0097620F">
        <w:t>The terms and conditions on which the staff are transferred can be varied after the transfer (see section</w:t>
      </w:r>
      <w:r w:rsidR="0097620F">
        <w:t> </w:t>
      </w:r>
      <w:r w:rsidRPr="0097620F">
        <w:t>26).</w:t>
      </w:r>
    </w:p>
    <w:p w14:paraId="61027A18" w14:textId="77777777" w:rsidR="00AA749C" w:rsidRPr="0097620F" w:rsidRDefault="00AA749C" w:rsidP="00AA749C">
      <w:pPr>
        <w:pStyle w:val="BoxText"/>
      </w:pPr>
      <w:r w:rsidRPr="0097620F">
        <w:t>Other provisions deal with the application of certain Commonwealth Acts (such as superannuation Acts and the Maternity Leave Act).</w:t>
      </w:r>
    </w:p>
    <w:p w14:paraId="3712D771" w14:textId="77777777" w:rsidR="00AA749C" w:rsidRPr="0097620F" w:rsidRDefault="00AA749C" w:rsidP="00AA749C">
      <w:pPr>
        <w:pStyle w:val="ActHead5"/>
      </w:pPr>
      <w:bookmarkStart w:id="25" w:name="_Toc187396010"/>
      <w:r w:rsidRPr="001F5C7F">
        <w:rPr>
          <w:rStyle w:val="CharSectno"/>
        </w:rPr>
        <w:t>24</w:t>
      </w:r>
      <w:r w:rsidRPr="0097620F">
        <w:t xml:space="preserve">  Transfer of staff</w:t>
      </w:r>
      <w:bookmarkEnd w:id="25"/>
    </w:p>
    <w:p w14:paraId="68DFEA08" w14:textId="77777777" w:rsidR="00AA749C" w:rsidRPr="0097620F" w:rsidRDefault="00AA749C" w:rsidP="00AA749C">
      <w:pPr>
        <w:pStyle w:val="subsection"/>
      </w:pPr>
      <w:r w:rsidRPr="0097620F">
        <w:tab/>
      </w:r>
      <w:r w:rsidRPr="0097620F">
        <w:tab/>
        <w:t>On the transfer day, each employee of a statutory authority ceases to be employed by the statutory authority and is taken to have been engaged as an employee of the industry services body immediately after that cessation.</w:t>
      </w:r>
    </w:p>
    <w:p w14:paraId="712228E4" w14:textId="77777777" w:rsidR="00AA749C" w:rsidRPr="0097620F" w:rsidRDefault="00AA749C" w:rsidP="00AA749C">
      <w:pPr>
        <w:pStyle w:val="ActHead5"/>
      </w:pPr>
      <w:bookmarkStart w:id="26" w:name="_Toc187396011"/>
      <w:r w:rsidRPr="001F5C7F">
        <w:rPr>
          <w:rStyle w:val="CharSectno"/>
        </w:rPr>
        <w:t>25</w:t>
      </w:r>
      <w:r w:rsidRPr="0097620F">
        <w:t xml:space="preserve">  Terms and conditions of transferred employees</w:t>
      </w:r>
      <w:bookmarkEnd w:id="26"/>
    </w:p>
    <w:p w14:paraId="4687B9EC" w14:textId="77777777" w:rsidR="00AA749C" w:rsidRPr="0097620F" w:rsidRDefault="00AA749C" w:rsidP="00AA749C">
      <w:pPr>
        <w:pStyle w:val="subsection"/>
      </w:pPr>
      <w:r w:rsidRPr="0097620F">
        <w:tab/>
        <w:t>(1)</w:t>
      </w:r>
      <w:r w:rsidRPr="0097620F">
        <w:tab/>
        <w:t>A transferred employee is taken:</w:t>
      </w:r>
    </w:p>
    <w:p w14:paraId="5FF47FC1" w14:textId="77777777" w:rsidR="00AA749C" w:rsidRPr="0097620F" w:rsidRDefault="00AA749C" w:rsidP="00AA749C">
      <w:pPr>
        <w:pStyle w:val="paragraph"/>
      </w:pPr>
      <w:r w:rsidRPr="0097620F">
        <w:tab/>
        <w:t>(a)</w:t>
      </w:r>
      <w:r w:rsidRPr="0097620F">
        <w:tab/>
        <w:t>to have been engaged by the industry services body on the same terms and conditions as those that applied to the person, immediately before the transfer day, as an employee of the previous employer; and</w:t>
      </w:r>
    </w:p>
    <w:p w14:paraId="41D5F3F8" w14:textId="77777777" w:rsidR="00AA749C" w:rsidRPr="0097620F" w:rsidRDefault="00AA749C" w:rsidP="00AA749C">
      <w:pPr>
        <w:pStyle w:val="paragraph"/>
      </w:pPr>
      <w:r w:rsidRPr="0097620F">
        <w:lastRenderedPageBreak/>
        <w:tab/>
        <w:t>(b)</w:t>
      </w:r>
      <w:r w:rsidRPr="0097620F">
        <w:tab/>
        <w:t>to have accrued an entitlement to benefits, in connection with that engagement by the industry services body, that is equivalent to the entitlement that the person had accrued, as an employee of the previous employer, immediately before the employee’s transfer time.</w:t>
      </w:r>
    </w:p>
    <w:p w14:paraId="47FD374D" w14:textId="77777777" w:rsidR="00AA749C" w:rsidRPr="0097620F" w:rsidRDefault="00AA749C" w:rsidP="00AA749C">
      <w:pPr>
        <w:pStyle w:val="notetext"/>
      </w:pPr>
      <w:r w:rsidRPr="0097620F">
        <w:t>Note:</w:t>
      </w:r>
      <w:r w:rsidRPr="0097620F">
        <w:tab/>
        <w:t xml:space="preserve">For </w:t>
      </w:r>
      <w:r w:rsidRPr="0097620F">
        <w:rPr>
          <w:b/>
          <w:i/>
        </w:rPr>
        <w:t>previous employer</w:t>
      </w:r>
      <w:r w:rsidRPr="0097620F">
        <w:t>, see section</w:t>
      </w:r>
      <w:r w:rsidR="0097620F">
        <w:t> </w:t>
      </w:r>
      <w:r w:rsidRPr="0097620F">
        <w:t>4.</w:t>
      </w:r>
    </w:p>
    <w:p w14:paraId="583F6661" w14:textId="77777777" w:rsidR="00AA749C" w:rsidRPr="0097620F" w:rsidRDefault="00AA749C" w:rsidP="00AA749C">
      <w:pPr>
        <w:pStyle w:val="subsection"/>
      </w:pPr>
      <w:r w:rsidRPr="0097620F">
        <w:rPr>
          <w:b/>
        </w:rPr>
        <w:tab/>
      </w:r>
      <w:r w:rsidRPr="0097620F">
        <w:t>(2)</w:t>
      </w:r>
      <w:r w:rsidRPr="0097620F">
        <w:rPr>
          <w:b/>
        </w:rPr>
        <w:tab/>
      </w:r>
      <w:r w:rsidRPr="0097620F">
        <w:t>The service of a transferred employee as an employee of the industry services body is taken, for all purposes, to have been continuous with the service of the employee, immediately before the transfer day, as an employee of the previous employer.</w:t>
      </w:r>
    </w:p>
    <w:p w14:paraId="1347762D" w14:textId="77777777" w:rsidR="00AA749C" w:rsidRPr="0097620F" w:rsidRDefault="00AA749C" w:rsidP="00AA749C">
      <w:pPr>
        <w:pStyle w:val="subsection"/>
      </w:pPr>
      <w:r w:rsidRPr="0097620F">
        <w:rPr>
          <w:b/>
        </w:rPr>
        <w:tab/>
      </w:r>
      <w:r w:rsidRPr="0097620F">
        <w:t>(3)</w:t>
      </w:r>
      <w:r w:rsidRPr="0097620F">
        <w:rPr>
          <w:b/>
        </w:rPr>
        <w:tab/>
      </w:r>
      <w:r w:rsidRPr="0097620F">
        <w:t>A transferred employee is not entitled to receive any payment or other benefit merely because he or she stopped being an employee of the previous employer as a result of this Division.</w:t>
      </w:r>
    </w:p>
    <w:p w14:paraId="378D5525" w14:textId="77777777" w:rsidR="00AA749C" w:rsidRPr="0097620F" w:rsidRDefault="00AA749C" w:rsidP="00AA749C">
      <w:pPr>
        <w:pStyle w:val="subsection"/>
      </w:pPr>
      <w:r w:rsidRPr="0097620F">
        <w:tab/>
        <w:t>(4)</w:t>
      </w:r>
      <w:r w:rsidRPr="0097620F">
        <w:tab/>
        <w:t>This section:</w:t>
      </w:r>
    </w:p>
    <w:p w14:paraId="44083A24" w14:textId="77777777" w:rsidR="00AA749C" w:rsidRPr="0097620F" w:rsidRDefault="00AA749C" w:rsidP="00AA749C">
      <w:pPr>
        <w:pStyle w:val="paragraph"/>
      </w:pPr>
      <w:r w:rsidRPr="0097620F">
        <w:tab/>
        <w:t>(a)</w:t>
      </w:r>
      <w:r w:rsidRPr="0097620F">
        <w:tab/>
        <w:t>has effect subject to this Division; and</w:t>
      </w:r>
    </w:p>
    <w:p w14:paraId="0AAB5EC8" w14:textId="77777777" w:rsidR="003A4435" w:rsidRPr="0097620F" w:rsidRDefault="00AA749C" w:rsidP="003A4435">
      <w:pPr>
        <w:pStyle w:val="paragraph"/>
        <w:rPr>
          <w:rFonts w:eastAsia="MS Mincho"/>
        </w:rPr>
      </w:pPr>
      <w:r w:rsidRPr="0097620F">
        <w:tab/>
        <w:t>(b)</w:t>
      </w:r>
      <w:r w:rsidRPr="0097620F">
        <w:tab/>
        <w:t>is not to be taken to be a law of the Commonwealth for the purposes of paragraph</w:t>
      </w:r>
      <w:r w:rsidR="0097620F">
        <w:t> </w:t>
      </w:r>
      <w:r w:rsidRPr="0097620F">
        <w:t xml:space="preserve">170XA(2)(b) of the </w:t>
      </w:r>
      <w:r w:rsidRPr="0097620F">
        <w:rPr>
          <w:i/>
        </w:rPr>
        <w:t>Workplace Relations Act 1996</w:t>
      </w:r>
      <w:r w:rsidR="003A4435" w:rsidRPr="0097620F">
        <w:rPr>
          <w:rFonts w:eastAsia="MS Mincho"/>
        </w:rPr>
        <w:t>, as in force immediately before the reform commencement within the meaning given by that Act</w:t>
      </w:r>
      <w:r w:rsidR="005D5384" w:rsidRPr="0097620F">
        <w:rPr>
          <w:rFonts w:eastAsia="MS Mincho"/>
        </w:rPr>
        <w:t>.</w:t>
      </w:r>
    </w:p>
    <w:p w14:paraId="6B5FE11E" w14:textId="77777777" w:rsidR="00AA749C" w:rsidRPr="0097620F" w:rsidRDefault="00AA749C" w:rsidP="00AA749C">
      <w:pPr>
        <w:pStyle w:val="ActHead5"/>
      </w:pPr>
      <w:bookmarkStart w:id="27" w:name="_Toc187396012"/>
      <w:r w:rsidRPr="001F5C7F">
        <w:rPr>
          <w:rStyle w:val="CharSectno"/>
        </w:rPr>
        <w:t>26</w:t>
      </w:r>
      <w:r w:rsidRPr="0097620F">
        <w:t xml:space="preserve">  Variation of terms and conditions of employment</w:t>
      </w:r>
      <w:bookmarkEnd w:id="27"/>
    </w:p>
    <w:p w14:paraId="584C1A28" w14:textId="77777777" w:rsidR="00AA749C" w:rsidRPr="0097620F" w:rsidRDefault="00AA749C" w:rsidP="00AA749C">
      <w:pPr>
        <w:pStyle w:val="subsection"/>
      </w:pPr>
      <w:r w:rsidRPr="0097620F">
        <w:tab/>
        <w:t>(1)</w:t>
      </w:r>
      <w:r w:rsidRPr="0097620F">
        <w:tab/>
        <w:t>This Division does not prevent the terms and conditions of a transferred employee’s employment after the transfer day from being varied:</w:t>
      </w:r>
    </w:p>
    <w:p w14:paraId="7A945DD9" w14:textId="77777777" w:rsidR="00AA749C" w:rsidRPr="0097620F" w:rsidRDefault="00AA749C" w:rsidP="00AA749C">
      <w:pPr>
        <w:pStyle w:val="paragraph"/>
      </w:pPr>
      <w:r w:rsidRPr="0097620F">
        <w:tab/>
        <w:t>(a)</w:t>
      </w:r>
      <w:r w:rsidRPr="0097620F">
        <w:tab/>
        <w:t>in accordance with those terms and conditions; or</w:t>
      </w:r>
    </w:p>
    <w:p w14:paraId="28E14E90" w14:textId="77777777" w:rsidR="00AA749C" w:rsidRPr="0097620F" w:rsidRDefault="00AA749C" w:rsidP="00AA749C">
      <w:pPr>
        <w:pStyle w:val="paragraph"/>
      </w:pPr>
      <w:r w:rsidRPr="0097620F">
        <w:tab/>
        <w:t>(b)</w:t>
      </w:r>
      <w:r w:rsidRPr="0097620F">
        <w:tab/>
        <w:t>by or under a law, award, determination or agreement.</w:t>
      </w:r>
    </w:p>
    <w:p w14:paraId="668FA02F" w14:textId="77777777" w:rsidR="00AA749C" w:rsidRPr="0097620F" w:rsidRDefault="00AA749C" w:rsidP="00AA749C">
      <w:pPr>
        <w:pStyle w:val="subsection"/>
      </w:pPr>
      <w:r w:rsidRPr="0097620F">
        <w:rPr>
          <w:b/>
        </w:rPr>
        <w:tab/>
      </w:r>
      <w:r w:rsidRPr="0097620F">
        <w:t>(2)</w:t>
      </w:r>
      <w:r w:rsidRPr="0097620F">
        <w:rPr>
          <w:b/>
        </w:rPr>
        <w:tab/>
      </w:r>
      <w:r w:rsidRPr="0097620F">
        <w:t>In this section:</w:t>
      </w:r>
    </w:p>
    <w:p w14:paraId="2F011BEB" w14:textId="77777777" w:rsidR="00AA749C" w:rsidRPr="0097620F" w:rsidRDefault="00AA749C" w:rsidP="00AA749C">
      <w:pPr>
        <w:pStyle w:val="Definition"/>
      </w:pPr>
      <w:r w:rsidRPr="0097620F">
        <w:rPr>
          <w:b/>
          <w:i/>
        </w:rPr>
        <w:t>vary</w:t>
      </w:r>
      <w:r w:rsidRPr="0097620F">
        <w:t>, in relation to terms and conditions, includes:</w:t>
      </w:r>
    </w:p>
    <w:p w14:paraId="5898CEFA" w14:textId="77777777" w:rsidR="00AA749C" w:rsidRPr="0097620F" w:rsidRDefault="00AA749C" w:rsidP="00AA749C">
      <w:pPr>
        <w:pStyle w:val="paragraph"/>
      </w:pPr>
      <w:r w:rsidRPr="0097620F">
        <w:tab/>
        <w:t>(a)</w:t>
      </w:r>
      <w:r w:rsidRPr="0097620F">
        <w:tab/>
        <w:t>omitting any of those terms and conditions; or</w:t>
      </w:r>
    </w:p>
    <w:p w14:paraId="79492708" w14:textId="77777777" w:rsidR="00AA749C" w:rsidRPr="0097620F" w:rsidRDefault="00AA749C" w:rsidP="00AA749C">
      <w:pPr>
        <w:pStyle w:val="paragraph"/>
      </w:pPr>
      <w:r w:rsidRPr="0097620F">
        <w:tab/>
        <w:t>(b)</w:t>
      </w:r>
      <w:r w:rsidRPr="0097620F">
        <w:tab/>
        <w:t>adding to those terms and conditions; or</w:t>
      </w:r>
    </w:p>
    <w:p w14:paraId="066B526C" w14:textId="77777777" w:rsidR="00AA749C" w:rsidRPr="0097620F" w:rsidRDefault="00AA749C" w:rsidP="00AA749C">
      <w:pPr>
        <w:pStyle w:val="paragraph"/>
      </w:pPr>
      <w:r w:rsidRPr="0097620F">
        <w:lastRenderedPageBreak/>
        <w:tab/>
        <w:t>(c)</w:t>
      </w:r>
      <w:r w:rsidRPr="0097620F">
        <w:tab/>
        <w:t>substituting new terms or conditions for any of those terms and conditions.</w:t>
      </w:r>
    </w:p>
    <w:p w14:paraId="5E45BE18" w14:textId="77777777" w:rsidR="00AA749C" w:rsidRPr="0097620F" w:rsidRDefault="00AA749C" w:rsidP="00AA749C">
      <w:pPr>
        <w:pStyle w:val="ActHead4"/>
      </w:pPr>
      <w:bookmarkStart w:id="28" w:name="_Toc187396013"/>
      <w:r w:rsidRPr="001F5C7F">
        <w:rPr>
          <w:rStyle w:val="CharSubdNo"/>
        </w:rPr>
        <w:t>Subdivision B</w:t>
      </w:r>
      <w:r w:rsidRPr="0097620F">
        <w:t>—</w:t>
      </w:r>
      <w:r w:rsidRPr="001F5C7F">
        <w:rPr>
          <w:rStyle w:val="CharSubdText"/>
        </w:rPr>
        <w:t>Application of the Safety, Rehabilitation and Compensation Act</w:t>
      </w:r>
      <w:bookmarkEnd w:id="28"/>
    </w:p>
    <w:p w14:paraId="349A75C9" w14:textId="77777777" w:rsidR="00AA749C" w:rsidRPr="0097620F" w:rsidRDefault="00AA749C" w:rsidP="00AA749C">
      <w:pPr>
        <w:pStyle w:val="ActHead5"/>
      </w:pPr>
      <w:bookmarkStart w:id="29" w:name="_Toc187396014"/>
      <w:r w:rsidRPr="001F5C7F">
        <w:rPr>
          <w:rStyle w:val="CharSectno"/>
        </w:rPr>
        <w:t>27</w:t>
      </w:r>
      <w:r w:rsidRPr="0097620F">
        <w:t xml:space="preserve">  Continued application of SRC Act</w:t>
      </w:r>
      <w:bookmarkEnd w:id="29"/>
    </w:p>
    <w:p w14:paraId="24A57C68" w14:textId="77777777" w:rsidR="00AA749C" w:rsidRPr="0097620F" w:rsidRDefault="00AA749C" w:rsidP="00AA749C">
      <w:pPr>
        <w:pStyle w:val="subsection"/>
      </w:pPr>
      <w:r w:rsidRPr="0097620F">
        <w:tab/>
      </w:r>
      <w:r w:rsidRPr="0097620F">
        <w:tab/>
        <w:t>The SRC Act continues to apply on and after the transfer day in relation to:</w:t>
      </w:r>
    </w:p>
    <w:p w14:paraId="7BA27A31" w14:textId="77777777" w:rsidR="00AA749C" w:rsidRPr="0097620F" w:rsidRDefault="00AA749C" w:rsidP="00AA749C">
      <w:pPr>
        <w:pStyle w:val="paragraph"/>
      </w:pPr>
      <w:r w:rsidRPr="0097620F">
        <w:tab/>
        <w:t>(a)</w:t>
      </w:r>
      <w:r w:rsidRPr="0097620F">
        <w:tab/>
        <w:t>injuries suffered before that time by an employee of a statutory authority; and</w:t>
      </w:r>
    </w:p>
    <w:p w14:paraId="2336B6E5" w14:textId="77777777" w:rsidR="00AA749C" w:rsidRPr="0097620F" w:rsidRDefault="00AA749C" w:rsidP="00AA749C">
      <w:pPr>
        <w:pStyle w:val="paragraph"/>
      </w:pPr>
      <w:r w:rsidRPr="0097620F">
        <w:tab/>
        <w:t>(b)</w:t>
      </w:r>
      <w:r w:rsidRPr="0097620F">
        <w:tab/>
        <w:t>loss of, or damage to, property incurred before that time by an employee of a statutory authority.</w:t>
      </w:r>
    </w:p>
    <w:p w14:paraId="051323DF" w14:textId="77777777" w:rsidR="00AA749C" w:rsidRPr="0097620F" w:rsidRDefault="00AA749C" w:rsidP="00AA749C">
      <w:pPr>
        <w:pStyle w:val="ActHead5"/>
      </w:pPr>
      <w:bookmarkStart w:id="30" w:name="_Toc187396015"/>
      <w:r w:rsidRPr="001F5C7F">
        <w:rPr>
          <w:rStyle w:val="CharSectno"/>
        </w:rPr>
        <w:t>28</w:t>
      </w:r>
      <w:r w:rsidRPr="0097620F">
        <w:t xml:space="preserve">  Commonwealth liability to meet certain SRC Act liabilities</w:t>
      </w:r>
      <w:bookmarkEnd w:id="30"/>
    </w:p>
    <w:p w14:paraId="4A53C9B9" w14:textId="77777777" w:rsidR="00AA749C" w:rsidRPr="0097620F" w:rsidRDefault="00AA749C" w:rsidP="00AA749C">
      <w:pPr>
        <w:pStyle w:val="subsection"/>
      </w:pPr>
      <w:r w:rsidRPr="0097620F">
        <w:tab/>
      </w:r>
      <w:r w:rsidRPr="0097620F">
        <w:tab/>
        <w:t>On and after the transfer day, the Commonwealth:</w:t>
      </w:r>
    </w:p>
    <w:p w14:paraId="0B6EA264" w14:textId="347F153D" w:rsidR="00AA749C" w:rsidRPr="0097620F" w:rsidRDefault="00AA749C" w:rsidP="00AA749C">
      <w:pPr>
        <w:pStyle w:val="paragraph"/>
      </w:pPr>
      <w:r w:rsidRPr="0097620F">
        <w:tab/>
        <w:t>(a)</w:t>
      </w:r>
      <w:r w:rsidRPr="0097620F">
        <w:tab/>
        <w:t xml:space="preserve">is liable to pay the liabilities of the statutory authorities under </w:t>
      </w:r>
      <w:r w:rsidR="001F5C7F">
        <w:t>section 1</w:t>
      </w:r>
      <w:r w:rsidRPr="0097620F">
        <w:t>28A of the SRC Act; and</w:t>
      </w:r>
    </w:p>
    <w:p w14:paraId="2E588430" w14:textId="77777777" w:rsidR="00AA749C" w:rsidRPr="0097620F" w:rsidRDefault="00AA749C" w:rsidP="00AA749C">
      <w:pPr>
        <w:pStyle w:val="paragraph"/>
      </w:pPr>
      <w:r w:rsidRPr="0097620F">
        <w:tab/>
        <w:t>(b)</w:t>
      </w:r>
      <w:r w:rsidRPr="0097620F">
        <w:tab/>
        <w:t>subject to section</w:t>
      </w:r>
      <w:r w:rsidR="0097620F">
        <w:t> </w:t>
      </w:r>
      <w:r w:rsidRPr="0097620F">
        <w:t>29, is taken to have been the employer of the employees of the statutory authorities before the transfer day for the purposes of the application of the SRC Act in relation to those liabilities.</w:t>
      </w:r>
    </w:p>
    <w:p w14:paraId="14D3DF36" w14:textId="77777777" w:rsidR="00AA749C" w:rsidRPr="0097620F" w:rsidRDefault="00AA749C" w:rsidP="00AA749C">
      <w:pPr>
        <w:pStyle w:val="ActHead5"/>
      </w:pPr>
      <w:bookmarkStart w:id="31" w:name="_Toc187396016"/>
      <w:r w:rsidRPr="001F5C7F">
        <w:rPr>
          <w:rStyle w:val="CharSectno"/>
        </w:rPr>
        <w:t>29</w:t>
      </w:r>
      <w:r w:rsidRPr="0097620F">
        <w:t xml:space="preserve">  SRC Act: rehabilitation provisions</w:t>
      </w:r>
      <w:bookmarkEnd w:id="31"/>
    </w:p>
    <w:p w14:paraId="1F26CFD2" w14:textId="418E85DC" w:rsidR="00AA749C" w:rsidRPr="0097620F" w:rsidRDefault="00AA749C" w:rsidP="00AA749C">
      <w:pPr>
        <w:pStyle w:val="subsection"/>
      </w:pPr>
      <w:r w:rsidRPr="0097620F">
        <w:tab/>
        <w:t>(1)</w:t>
      </w:r>
      <w:r w:rsidRPr="0097620F">
        <w:tab/>
        <w:t>If a transferred employee had, before the transfer day, suffered an injury resulting in an incapacity for work or an impairment, the employee’s employer must, after that time, provide such reasonable co</w:t>
      </w:r>
      <w:r w:rsidR="001F5C7F">
        <w:noBreakHyphen/>
      </w:r>
      <w:r w:rsidRPr="0097620F">
        <w:t>operation and assistance as the Commonwealth requires to enable the Commonwealth to fulfil its obligations under sections</w:t>
      </w:r>
      <w:r w:rsidR="0097620F">
        <w:t> </w:t>
      </w:r>
      <w:r w:rsidRPr="0097620F">
        <w:t>36, 37, 38, 39, 41 and 41A of the SRC Act in relation to the transferred employee.</w:t>
      </w:r>
    </w:p>
    <w:p w14:paraId="2EFF5D6B" w14:textId="77777777" w:rsidR="00AA749C" w:rsidRPr="0097620F" w:rsidRDefault="00AA749C" w:rsidP="00AA749C">
      <w:pPr>
        <w:pStyle w:val="subsection"/>
      </w:pPr>
      <w:r w:rsidRPr="0097620F">
        <w:tab/>
        <w:t>(2)</w:t>
      </w:r>
      <w:r w:rsidRPr="0097620F">
        <w:tab/>
        <w:t>On and after the transfer day, the industry services body is, for the purposes of section</w:t>
      </w:r>
      <w:r w:rsidR="0097620F">
        <w:t> </w:t>
      </w:r>
      <w:r w:rsidRPr="0097620F">
        <w:t xml:space="preserve">40 of the SRC Act, taken to be the relevant </w:t>
      </w:r>
      <w:r w:rsidRPr="0097620F">
        <w:lastRenderedPageBreak/>
        <w:t>employer of each transferred employee employed by the industry services body.</w:t>
      </w:r>
    </w:p>
    <w:p w14:paraId="15AF9935" w14:textId="77777777" w:rsidR="00AA749C" w:rsidRPr="0097620F" w:rsidRDefault="00AA749C" w:rsidP="00AA749C">
      <w:pPr>
        <w:pStyle w:val="subsection"/>
      </w:pPr>
      <w:r w:rsidRPr="0097620F">
        <w:tab/>
        <w:t>(3)</w:t>
      </w:r>
      <w:r w:rsidRPr="0097620F">
        <w:tab/>
        <w:t>On and after the transfer day, the industry services body is, for the purposes of applying section</w:t>
      </w:r>
      <w:r w:rsidR="0097620F">
        <w:t> </w:t>
      </w:r>
      <w:r w:rsidRPr="0097620F">
        <w:t>71 of the SRC Act in relation to each transferred employee, taken to be a Commonwealth authority.</w:t>
      </w:r>
    </w:p>
    <w:p w14:paraId="0C9536BC" w14:textId="77777777" w:rsidR="00AA749C" w:rsidRPr="0097620F" w:rsidRDefault="00AA749C" w:rsidP="00AA749C">
      <w:pPr>
        <w:pStyle w:val="subsection"/>
      </w:pPr>
      <w:r w:rsidRPr="0097620F">
        <w:tab/>
        <w:t>(4)</w:t>
      </w:r>
      <w:r w:rsidRPr="0097620F">
        <w:tab/>
        <w:t>Expressions used in this section have the same meanings as they have in the SRC Act.</w:t>
      </w:r>
    </w:p>
    <w:p w14:paraId="536191C7" w14:textId="77777777" w:rsidR="00AA749C" w:rsidRPr="0097620F" w:rsidRDefault="00AA749C" w:rsidP="00AA749C">
      <w:pPr>
        <w:pStyle w:val="ActHead5"/>
      </w:pPr>
      <w:bookmarkStart w:id="32" w:name="_Toc187396017"/>
      <w:r w:rsidRPr="001F5C7F">
        <w:rPr>
          <w:rStyle w:val="CharSectno"/>
        </w:rPr>
        <w:t>30</w:t>
      </w:r>
      <w:r w:rsidRPr="0097620F">
        <w:t xml:space="preserve">  Premiums under the SRC Act</w:t>
      </w:r>
      <w:bookmarkEnd w:id="32"/>
    </w:p>
    <w:p w14:paraId="61226412" w14:textId="77777777" w:rsidR="00AA749C" w:rsidRPr="0097620F" w:rsidRDefault="00AA749C" w:rsidP="00AA749C">
      <w:pPr>
        <w:pStyle w:val="subsection"/>
      </w:pPr>
      <w:r w:rsidRPr="0097620F">
        <w:tab/>
        <w:t>(1)</w:t>
      </w:r>
      <w:r w:rsidRPr="0097620F">
        <w:tab/>
        <w:t>The Safety, Rehabilitation and Compensation Commission must, as soon as practicable after the transfer day, determine the amount (if any) by which the confirmed estimate of premium for each statutory authority for the relevant financial year should be reduced.</w:t>
      </w:r>
    </w:p>
    <w:p w14:paraId="7F65EC23" w14:textId="77777777" w:rsidR="00AA749C" w:rsidRPr="0097620F" w:rsidRDefault="00AA749C" w:rsidP="00AA749C">
      <w:pPr>
        <w:pStyle w:val="subsection"/>
      </w:pPr>
      <w:r w:rsidRPr="0097620F">
        <w:tab/>
        <w:t>(2)</w:t>
      </w:r>
      <w:r w:rsidRPr="0097620F">
        <w:tab/>
        <w:t>If:</w:t>
      </w:r>
    </w:p>
    <w:p w14:paraId="0421069C" w14:textId="77777777" w:rsidR="00AA749C" w:rsidRPr="0097620F" w:rsidRDefault="00AA749C" w:rsidP="00AA749C">
      <w:pPr>
        <w:pStyle w:val="paragraph"/>
      </w:pPr>
      <w:r w:rsidRPr="0097620F">
        <w:tab/>
        <w:t>(a)</w:t>
      </w:r>
      <w:r w:rsidRPr="0097620F">
        <w:tab/>
        <w:t>an amount equal to the confirmed estimate of premium for a statutory authority for the relevant financial year has been paid to the Commonwealth under section</w:t>
      </w:r>
      <w:r w:rsidR="0097620F">
        <w:t> </w:t>
      </w:r>
      <w:r w:rsidRPr="0097620F">
        <w:t>96G of the SRC Act; and</w:t>
      </w:r>
    </w:p>
    <w:p w14:paraId="020746F2" w14:textId="77777777" w:rsidR="00AA749C" w:rsidRPr="0097620F" w:rsidRDefault="00AA749C" w:rsidP="00AA749C">
      <w:pPr>
        <w:pStyle w:val="paragraph"/>
        <w:spacing w:before="240"/>
      </w:pPr>
      <w:r w:rsidRPr="0097620F">
        <w:tab/>
        <w:t>(b)</w:t>
      </w:r>
      <w:r w:rsidRPr="0097620F">
        <w:tab/>
        <w:t xml:space="preserve">the amount of the confirmed estimate of premium is reduced as a result of a determination under </w:t>
      </w:r>
      <w:r w:rsidR="0097620F">
        <w:t>subsection (</w:t>
      </w:r>
      <w:r w:rsidRPr="0097620F">
        <w:t>1);</w:t>
      </w:r>
    </w:p>
    <w:p w14:paraId="6C397533" w14:textId="77777777" w:rsidR="00AA749C" w:rsidRPr="0097620F" w:rsidRDefault="00AA749C" w:rsidP="00AA749C">
      <w:pPr>
        <w:pStyle w:val="subsection2"/>
      </w:pPr>
      <w:r w:rsidRPr="0097620F">
        <w:t>the Secretary may, in writing, direct that an amount equal to the refund amount, or amounts that together add up to the refund amount, be paid to the industry services body in accordance with the direction.</w:t>
      </w:r>
    </w:p>
    <w:p w14:paraId="735203B6" w14:textId="77777777" w:rsidR="00AA749C" w:rsidRPr="0097620F" w:rsidRDefault="00AA749C" w:rsidP="00AA749C">
      <w:pPr>
        <w:pStyle w:val="subsection"/>
      </w:pPr>
      <w:r w:rsidRPr="0097620F">
        <w:tab/>
        <w:t>(3)</w:t>
      </w:r>
      <w:r w:rsidRPr="0097620F">
        <w:tab/>
        <w:t>A direction by the Secretary may be given subject to such conditions (if any) about the use or expenditure of the amount or amounts to which it relates as are set out in the direction.</w:t>
      </w:r>
    </w:p>
    <w:p w14:paraId="2C655A53" w14:textId="77777777" w:rsidR="00AA749C" w:rsidRPr="0097620F" w:rsidRDefault="00AA749C" w:rsidP="00AA749C">
      <w:pPr>
        <w:pStyle w:val="subsection"/>
      </w:pPr>
      <w:r w:rsidRPr="0097620F">
        <w:tab/>
        <w:t>(4)</w:t>
      </w:r>
      <w:r w:rsidRPr="0097620F">
        <w:tab/>
        <w:t>If the Secretary gives a direction, the amount or amounts to which it relates are payable out of the Consolidated Revenue Fund, which is appropriated accordingly, to the industry services body.</w:t>
      </w:r>
    </w:p>
    <w:p w14:paraId="4746E9B5" w14:textId="77777777" w:rsidR="00AA749C" w:rsidRPr="0097620F" w:rsidRDefault="00AA749C" w:rsidP="00AA749C">
      <w:pPr>
        <w:pStyle w:val="subsection"/>
      </w:pPr>
      <w:r w:rsidRPr="0097620F">
        <w:lastRenderedPageBreak/>
        <w:tab/>
        <w:t>(5)</w:t>
      </w:r>
      <w:r w:rsidRPr="0097620F">
        <w:tab/>
        <w:t xml:space="preserve">The payment of an amount under </w:t>
      </w:r>
      <w:r w:rsidR="0097620F">
        <w:t>subsection (</w:t>
      </w:r>
      <w:r w:rsidRPr="0097620F">
        <w:t>4) must be made in accordance with the direction, and is subject to the conditions (if any) set out in the direction.</w:t>
      </w:r>
    </w:p>
    <w:p w14:paraId="0680B081" w14:textId="77777777" w:rsidR="00AA749C" w:rsidRPr="0097620F" w:rsidRDefault="00AA749C" w:rsidP="00AA749C">
      <w:pPr>
        <w:pStyle w:val="subsection"/>
      </w:pPr>
      <w:r w:rsidRPr="0097620F">
        <w:tab/>
        <w:t>(6)</w:t>
      </w:r>
      <w:r w:rsidRPr="0097620F">
        <w:tab/>
        <w:t xml:space="preserve">A copy of each direction must be published in the </w:t>
      </w:r>
      <w:r w:rsidRPr="0097620F">
        <w:rPr>
          <w:i/>
        </w:rPr>
        <w:t>Gazette</w:t>
      </w:r>
      <w:r w:rsidRPr="0097620F">
        <w:t xml:space="preserve"> within 14 days after the direction is given.</w:t>
      </w:r>
    </w:p>
    <w:p w14:paraId="11FFFFFC" w14:textId="77777777" w:rsidR="00AA749C" w:rsidRPr="0097620F" w:rsidRDefault="00AA749C" w:rsidP="00AA749C">
      <w:pPr>
        <w:pStyle w:val="subsection"/>
      </w:pPr>
      <w:r w:rsidRPr="0097620F">
        <w:tab/>
        <w:t>(7)</w:t>
      </w:r>
      <w:r w:rsidRPr="0097620F">
        <w:tab/>
        <w:t xml:space="preserve">The direction is not invalid merely because it has not been published as required under </w:t>
      </w:r>
      <w:r w:rsidR="0097620F">
        <w:t>subsection (</w:t>
      </w:r>
      <w:r w:rsidRPr="0097620F">
        <w:t>6).</w:t>
      </w:r>
    </w:p>
    <w:p w14:paraId="250C2617" w14:textId="77777777" w:rsidR="00AA749C" w:rsidRPr="0097620F" w:rsidRDefault="00AA749C" w:rsidP="00AA749C">
      <w:pPr>
        <w:pStyle w:val="subsection"/>
      </w:pPr>
      <w:r w:rsidRPr="0097620F">
        <w:tab/>
        <w:t>(8)</w:t>
      </w:r>
      <w:r w:rsidRPr="0097620F">
        <w:tab/>
        <w:t>In this section:</w:t>
      </w:r>
    </w:p>
    <w:p w14:paraId="5E1DF507" w14:textId="77777777" w:rsidR="00AA749C" w:rsidRPr="0097620F" w:rsidRDefault="00AA749C" w:rsidP="00AA749C">
      <w:pPr>
        <w:pStyle w:val="Definition"/>
      </w:pPr>
      <w:r w:rsidRPr="0097620F">
        <w:rPr>
          <w:b/>
          <w:i/>
        </w:rPr>
        <w:t>refund amount</w:t>
      </w:r>
      <w:r w:rsidRPr="0097620F">
        <w:t xml:space="preserve"> means the amount equal to the difference between the amount of confirmed estimate of premium for a statutory authority for the relevant financial year and the amount of that confirmed estimate as reduced because of a determination under </w:t>
      </w:r>
      <w:r w:rsidR="0097620F">
        <w:t>subsection (</w:t>
      </w:r>
      <w:r w:rsidRPr="0097620F">
        <w:t>1).</w:t>
      </w:r>
    </w:p>
    <w:p w14:paraId="3E4E01FB" w14:textId="77777777" w:rsidR="00AA749C" w:rsidRPr="0097620F" w:rsidRDefault="00AA749C" w:rsidP="00AA749C">
      <w:pPr>
        <w:pStyle w:val="Definition"/>
      </w:pPr>
      <w:r w:rsidRPr="0097620F">
        <w:rPr>
          <w:b/>
          <w:i/>
        </w:rPr>
        <w:t>relevant financial year</w:t>
      </w:r>
      <w:r w:rsidRPr="0097620F">
        <w:t xml:space="preserve"> means the financial year in which the transfer day occurs.</w:t>
      </w:r>
    </w:p>
    <w:p w14:paraId="51AEDE5D" w14:textId="77777777" w:rsidR="00AA749C" w:rsidRPr="0097620F" w:rsidRDefault="00AA749C" w:rsidP="00AA749C">
      <w:pPr>
        <w:pStyle w:val="subsection"/>
      </w:pPr>
      <w:r w:rsidRPr="0097620F">
        <w:tab/>
        <w:t>(9)</w:t>
      </w:r>
      <w:r w:rsidRPr="0097620F">
        <w:tab/>
        <w:t>Expressions used in this section have the same meanings as they have in the SRC Act.</w:t>
      </w:r>
    </w:p>
    <w:p w14:paraId="3C956A01" w14:textId="77777777" w:rsidR="00AA749C" w:rsidRPr="0097620F" w:rsidRDefault="00AA749C" w:rsidP="00AA749C">
      <w:pPr>
        <w:pStyle w:val="ActHead4"/>
      </w:pPr>
      <w:bookmarkStart w:id="33" w:name="_Toc187396018"/>
      <w:r w:rsidRPr="001F5C7F">
        <w:rPr>
          <w:rStyle w:val="CharSubdNo"/>
        </w:rPr>
        <w:t>Subdivision C</w:t>
      </w:r>
      <w:r w:rsidRPr="0097620F">
        <w:t>—</w:t>
      </w:r>
      <w:r w:rsidRPr="001F5C7F">
        <w:rPr>
          <w:rStyle w:val="CharSubdText"/>
        </w:rPr>
        <w:t>Deferred Defence Force Retirement and Death Benefits Act benefits</w:t>
      </w:r>
      <w:bookmarkEnd w:id="33"/>
    </w:p>
    <w:p w14:paraId="4B10887F" w14:textId="77777777" w:rsidR="00AA749C" w:rsidRPr="0097620F" w:rsidRDefault="00AA749C" w:rsidP="00AA749C">
      <w:pPr>
        <w:pStyle w:val="ActHead5"/>
      </w:pPr>
      <w:bookmarkStart w:id="34" w:name="_Toc187396019"/>
      <w:r w:rsidRPr="001F5C7F">
        <w:rPr>
          <w:rStyle w:val="CharSectno"/>
        </w:rPr>
        <w:t>31</w:t>
      </w:r>
      <w:r w:rsidRPr="0097620F">
        <w:t xml:space="preserve">  Saving: deferred benefits under the DFRDB Act</w:t>
      </w:r>
      <w:bookmarkEnd w:id="34"/>
    </w:p>
    <w:p w14:paraId="54514BB3" w14:textId="77777777" w:rsidR="00AA749C" w:rsidRPr="0097620F" w:rsidRDefault="00AA749C" w:rsidP="00AA749C">
      <w:pPr>
        <w:pStyle w:val="subsection"/>
      </w:pPr>
      <w:r w:rsidRPr="0097620F">
        <w:tab/>
        <w:t>(1)</w:t>
      </w:r>
      <w:r w:rsidRPr="0097620F">
        <w:tab/>
        <w:t>This section applies to a transferred employee of the industry services body if, immediately before the transfer day, the employee was a person to whom deferred benefits were applicable under section</w:t>
      </w:r>
      <w:r w:rsidR="0097620F">
        <w:t> </w:t>
      </w:r>
      <w:r w:rsidRPr="0097620F">
        <w:t>78 of the DFRDB Act.</w:t>
      </w:r>
    </w:p>
    <w:p w14:paraId="4DD1EA84" w14:textId="77777777" w:rsidR="00AA749C" w:rsidRPr="0097620F" w:rsidRDefault="00AA749C" w:rsidP="00AA749C">
      <w:pPr>
        <w:pStyle w:val="subsection"/>
      </w:pPr>
      <w:r w:rsidRPr="0097620F">
        <w:tab/>
        <w:t>(2)</w:t>
      </w:r>
      <w:r w:rsidRPr="0097620F">
        <w:tab/>
        <w:t>For the purposes of Division</w:t>
      </w:r>
      <w:r w:rsidR="0097620F">
        <w:t> </w:t>
      </w:r>
      <w:r w:rsidRPr="0097620F">
        <w:t>3 of Part</w:t>
      </w:r>
      <w:r w:rsidR="00C14936" w:rsidRPr="0097620F">
        <w:t> </w:t>
      </w:r>
      <w:r w:rsidRPr="0097620F">
        <w:t>IX of the DFRDB Act, the employee is taken to continue in public employment on and after the transfer day while the employee continues to be employed by the industry services body.</w:t>
      </w:r>
    </w:p>
    <w:p w14:paraId="091EB7A7" w14:textId="77777777" w:rsidR="00AA749C" w:rsidRPr="0097620F" w:rsidRDefault="00AA749C" w:rsidP="00AA749C">
      <w:pPr>
        <w:pStyle w:val="subsection"/>
      </w:pPr>
      <w:r w:rsidRPr="0097620F">
        <w:lastRenderedPageBreak/>
        <w:tab/>
        <w:t>(3)</w:t>
      </w:r>
      <w:r w:rsidRPr="0097620F">
        <w:tab/>
        <w:t>This section is subject to Division</w:t>
      </w:r>
      <w:r w:rsidR="0097620F">
        <w:t> </w:t>
      </w:r>
      <w:r w:rsidRPr="0097620F">
        <w:t>3 of Part</w:t>
      </w:r>
      <w:r w:rsidR="00C14936" w:rsidRPr="0097620F">
        <w:t> </w:t>
      </w:r>
      <w:r w:rsidRPr="0097620F">
        <w:t>IX of the DFRDB Act.</w:t>
      </w:r>
    </w:p>
    <w:p w14:paraId="7A783225" w14:textId="77777777" w:rsidR="00AA749C" w:rsidRPr="0097620F" w:rsidRDefault="00AA749C" w:rsidP="00AA749C">
      <w:pPr>
        <w:pStyle w:val="ActHead4"/>
      </w:pPr>
      <w:bookmarkStart w:id="35" w:name="_Toc187396020"/>
      <w:r w:rsidRPr="001F5C7F">
        <w:rPr>
          <w:rStyle w:val="CharSubdNo"/>
        </w:rPr>
        <w:t>Subdivision D</w:t>
      </w:r>
      <w:r w:rsidRPr="0097620F">
        <w:t>—</w:t>
      </w:r>
      <w:r w:rsidRPr="001F5C7F">
        <w:rPr>
          <w:rStyle w:val="CharSubdText"/>
        </w:rPr>
        <w:t>Maternity leave provisions</w:t>
      </w:r>
      <w:bookmarkEnd w:id="35"/>
    </w:p>
    <w:p w14:paraId="7028A349" w14:textId="77777777" w:rsidR="00AA749C" w:rsidRPr="0097620F" w:rsidRDefault="00AA749C" w:rsidP="00AA749C">
      <w:pPr>
        <w:pStyle w:val="ActHead5"/>
      </w:pPr>
      <w:bookmarkStart w:id="36" w:name="_Toc187396021"/>
      <w:r w:rsidRPr="001F5C7F">
        <w:rPr>
          <w:rStyle w:val="CharSectno"/>
        </w:rPr>
        <w:t>32</w:t>
      </w:r>
      <w:r w:rsidRPr="0097620F">
        <w:t xml:space="preserve">  Maternity leave starting before transfer day</w:t>
      </w:r>
      <w:bookmarkEnd w:id="36"/>
    </w:p>
    <w:p w14:paraId="620D0C72" w14:textId="77777777" w:rsidR="00AA749C" w:rsidRPr="0097620F" w:rsidRDefault="00AA749C" w:rsidP="00AA749C">
      <w:pPr>
        <w:pStyle w:val="subsection"/>
      </w:pPr>
      <w:r w:rsidRPr="0097620F">
        <w:tab/>
        <w:t>(1)</w:t>
      </w:r>
      <w:r w:rsidRPr="0097620F">
        <w:tab/>
        <w:t>This section applies in relation to a person if:</w:t>
      </w:r>
    </w:p>
    <w:p w14:paraId="29A36508" w14:textId="77777777" w:rsidR="00AA749C" w:rsidRPr="0097620F" w:rsidRDefault="00AA749C" w:rsidP="00AA749C">
      <w:pPr>
        <w:pStyle w:val="paragraph"/>
      </w:pPr>
      <w:r w:rsidRPr="0097620F">
        <w:tab/>
        <w:t>(a)</w:t>
      </w:r>
      <w:r w:rsidRPr="0097620F">
        <w:tab/>
        <w:t>immediately before the transfer day, the person was a female employee of a statutory authority who was on leave granted under the Maternity Leave Act; and</w:t>
      </w:r>
    </w:p>
    <w:p w14:paraId="7C67A1CB" w14:textId="77777777" w:rsidR="00AA749C" w:rsidRPr="0097620F" w:rsidRDefault="00AA749C" w:rsidP="00AA749C">
      <w:pPr>
        <w:pStyle w:val="paragraph"/>
      </w:pPr>
      <w:r w:rsidRPr="0097620F">
        <w:tab/>
        <w:t>(b)</w:t>
      </w:r>
      <w:r w:rsidRPr="0097620F">
        <w:tab/>
        <w:t>the person becomes an employee of the industry services body on the transfer day; and</w:t>
      </w:r>
    </w:p>
    <w:p w14:paraId="2EB6EA4C" w14:textId="77777777" w:rsidR="00AA749C" w:rsidRPr="0097620F" w:rsidRDefault="00AA749C" w:rsidP="00AA749C">
      <w:pPr>
        <w:pStyle w:val="paragraph"/>
      </w:pPr>
      <w:r w:rsidRPr="0097620F">
        <w:tab/>
        <w:t>(c)</w:t>
      </w:r>
      <w:r w:rsidRPr="0097620F">
        <w:tab/>
        <w:t>the person would have been entitled to have remained on that leave on and after the transfer day if the person had continued to be an employee of the statutory authority.</w:t>
      </w:r>
    </w:p>
    <w:p w14:paraId="3A4741B2" w14:textId="77777777" w:rsidR="00AA749C" w:rsidRPr="0097620F" w:rsidRDefault="00AA749C" w:rsidP="00AA749C">
      <w:pPr>
        <w:pStyle w:val="subsection"/>
      </w:pPr>
      <w:r w:rsidRPr="0097620F">
        <w:tab/>
        <w:t>(2)</w:t>
      </w:r>
      <w:r w:rsidRPr="0097620F">
        <w:tab/>
        <w:t>On and after the transfer day, the Maternity Leave Act continues to apply to the person in relation to the confinement in respect of which the leave was granted as if the industry services body were a prescribed authority for the purposes of that Act.</w:t>
      </w:r>
    </w:p>
    <w:p w14:paraId="5AB02C91" w14:textId="77777777" w:rsidR="00AA749C" w:rsidRPr="0097620F" w:rsidRDefault="00AA749C" w:rsidP="00BA1449">
      <w:pPr>
        <w:pStyle w:val="ActHead5"/>
      </w:pPr>
      <w:bookmarkStart w:id="37" w:name="_Toc187396022"/>
      <w:r w:rsidRPr="001F5C7F">
        <w:rPr>
          <w:rStyle w:val="CharSectno"/>
        </w:rPr>
        <w:t>33</w:t>
      </w:r>
      <w:r w:rsidRPr="0097620F">
        <w:t xml:space="preserve">  Maternity leave starting after transfer day</w:t>
      </w:r>
      <w:bookmarkEnd w:id="37"/>
    </w:p>
    <w:p w14:paraId="33AAADE3" w14:textId="77777777" w:rsidR="00AA749C" w:rsidRPr="0097620F" w:rsidRDefault="00AA749C" w:rsidP="00BA1449">
      <w:pPr>
        <w:pStyle w:val="subsection"/>
        <w:keepNext/>
        <w:keepLines/>
      </w:pPr>
      <w:r w:rsidRPr="0097620F">
        <w:tab/>
        <w:t>(1)</w:t>
      </w:r>
      <w:r w:rsidRPr="0097620F">
        <w:tab/>
        <w:t>This section applies in relation to a person if:</w:t>
      </w:r>
    </w:p>
    <w:p w14:paraId="35DDB6EE" w14:textId="77777777" w:rsidR="00AA749C" w:rsidRPr="0097620F" w:rsidRDefault="00AA749C" w:rsidP="00AA749C">
      <w:pPr>
        <w:pStyle w:val="paragraph"/>
      </w:pPr>
      <w:r w:rsidRPr="0097620F">
        <w:tab/>
        <w:t>(a)</w:t>
      </w:r>
      <w:r w:rsidRPr="0097620F">
        <w:tab/>
        <w:t>immediately before the transfer day, the person was a female employee of a statutory authority; and</w:t>
      </w:r>
    </w:p>
    <w:p w14:paraId="15BF9DA8" w14:textId="77777777" w:rsidR="00AA749C" w:rsidRPr="0097620F" w:rsidRDefault="00AA749C" w:rsidP="00AA749C">
      <w:pPr>
        <w:pStyle w:val="paragraph"/>
      </w:pPr>
      <w:r w:rsidRPr="0097620F">
        <w:tab/>
        <w:t>(b)</w:t>
      </w:r>
      <w:r w:rsidRPr="0097620F">
        <w:tab/>
        <w:t>the person becomes an employee of the industry services body on the transfer day; and</w:t>
      </w:r>
    </w:p>
    <w:p w14:paraId="730FFDA9" w14:textId="77777777" w:rsidR="00AA749C" w:rsidRPr="0097620F" w:rsidRDefault="00AA749C" w:rsidP="00AA749C">
      <w:pPr>
        <w:pStyle w:val="paragraph"/>
      </w:pPr>
      <w:r w:rsidRPr="0097620F">
        <w:tab/>
        <w:t>(c)</w:t>
      </w:r>
      <w:r w:rsidRPr="0097620F">
        <w:tab/>
        <w:t>within 9 months after the transfer day, the person would have been entitled to start leave granted under the Maternity Leave Act if the person had continued to be an employee of the statutory authority.</w:t>
      </w:r>
    </w:p>
    <w:p w14:paraId="47832F1C" w14:textId="77777777" w:rsidR="00AA749C" w:rsidRPr="0097620F" w:rsidRDefault="00AA749C" w:rsidP="00AA749C">
      <w:pPr>
        <w:pStyle w:val="subsection"/>
      </w:pPr>
      <w:r w:rsidRPr="0097620F">
        <w:tab/>
        <w:t>(2)</w:t>
      </w:r>
      <w:r w:rsidRPr="0097620F">
        <w:tab/>
        <w:t xml:space="preserve">On and after the transfer day, the Maternity Leave Act continues to apply to the person in relation to the confinement in respect of which she would have been entitled to leave as if the industry </w:t>
      </w:r>
      <w:r w:rsidRPr="0097620F">
        <w:lastRenderedPageBreak/>
        <w:t>services body were a prescribed authority for the purposes of that Act.</w:t>
      </w:r>
    </w:p>
    <w:p w14:paraId="0EB3229C" w14:textId="77777777" w:rsidR="00AA749C" w:rsidRPr="0097620F" w:rsidRDefault="00AA749C" w:rsidP="00AA749C">
      <w:pPr>
        <w:pStyle w:val="ActHead4"/>
      </w:pPr>
      <w:bookmarkStart w:id="38" w:name="_Toc187396023"/>
      <w:r w:rsidRPr="001F5C7F">
        <w:rPr>
          <w:rStyle w:val="CharSubdNo"/>
        </w:rPr>
        <w:t>Subdivision E</w:t>
      </w:r>
      <w:r w:rsidRPr="0097620F">
        <w:t>—</w:t>
      </w:r>
      <w:r w:rsidRPr="001F5C7F">
        <w:rPr>
          <w:rStyle w:val="CharSubdText"/>
        </w:rPr>
        <w:t>Provisions relating to superannuation</w:t>
      </w:r>
      <w:bookmarkEnd w:id="38"/>
    </w:p>
    <w:p w14:paraId="0943818F" w14:textId="77777777" w:rsidR="00AA749C" w:rsidRPr="0097620F" w:rsidRDefault="00AA749C" w:rsidP="00AA749C">
      <w:pPr>
        <w:pStyle w:val="ActHead5"/>
      </w:pPr>
      <w:bookmarkStart w:id="39" w:name="_Toc187396024"/>
      <w:r w:rsidRPr="001F5C7F">
        <w:rPr>
          <w:rStyle w:val="CharSectno"/>
        </w:rPr>
        <w:t>34</w:t>
      </w:r>
      <w:r w:rsidRPr="0097620F">
        <w:t xml:space="preserve">  Application of the </w:t>
      </w:r>
      <w:r w:rsidRPr="0097620F">
        <w:rPr>
          <w:i/>
        </w:rPr>
        <w:t>Superannuation Act 1922</w:t>
      </w:r>
      <w:bookmarkEnd w:id="39"/>
    </w:p>
    <w:p w14:paraId="7DCDF7FA" w14:textId="77777777" w:rsidR="00AA749C" w:rsidRPr="0097620F" w:rsidRDefault="00AA749C" w:rsidP="00AA749C">
      <w:pPr>
        <w:pStyle w:val="subsection"/>
      </w:pPr>
      <w:r w:rsidRPr="0097620F">
        <w:tab/>
      </w:r>
      <w:r w:rsidRPr="0097620F">
        <w:tab/>
        <w:t>Section</w:t>
      </w:r>
      <w:r w:rsidR="0097620F">
        <w:t> </w:t>
      </w:r>
      <w:r w:rsidRPr="0097620F">
        <w:t xml:space="preserve">145 of the </w:t>
      </w:r>
      <w:r w:rsidRPr="0097620F">
        <w:rPr>
          <w:i/>
        </w:rPr>
        <w:t>Superannuation Act 1922</w:t>
      </w:r>
      <w:r w:rsidRPr="0097620F">
        <w:t xml:space="preserve"> does not apply in relation to the industry services body.</w:t>
      </w:r>
    </w:p>
    <w:p w14:paraId="61AF3864" w14:textId="77777777" w:rsidR="00AA749C" w:rsidRPr="0097620F" w:rsidRDefault="00AA749C" w:rsidP="00AA749C">
      <w:pPr>
        <w:pStyle w:val="ActHead5"/>
      </w:pPr>
      <w:bookmarkStart w:id="40" w:name="_Toc187396025"/>
      <w:r w:rsidRPr="001F5C7F">
        <w:rPr>
          <w:rStyle w:val="CharSectno"/>
        </w:rPr>
        <w:t>35</w:t>
      </w:r>
      <w:r w:rsidRPr="0097620F">
        <w:t xml:space="preserve">  Application of other Superannuation Acts</w:t>
      </w:r>
      <w:bookmarkEnd w:id="40"/>
    </w:p>
    <w:p w14:paraId="1A1336DD" w14:textId="77777777" w:rsidR="00AA749C" w:rsidRPr="0097620F" w:rsidRDefault="00AA749C" w:rsidP="00AA749C">
      <w:pPr>
        <w:pStyle w:val="subsection"/>
      </w:pPr>
      <w:r w:rsidRPr="0097620F">
        <w:tab/>
      </w:r>
      <w:r w:rsidRPr="0097620F">
        <w:tab/>
        <w:t xml:space="preserve">The industry services body is not an approved authority for the purposes of the </w:t>
      </w:r>
      <w:r w:rsidRPr="0097620F">
        <w:rPr>
          <w:i/>
        </w:rPr>
        <w:t>Superannuation Act 1976</w:t>
      </w:r>
      <w:r w:rsidRPr="0097620F">
        <w:t xml:space="preserve"> or the </w:t>
      </w:r>
      <w:r w:rsidRPr="0097620F">
        <w:rPr>
          <w:i/>
        </w:rPr>
        <w:t>Superannuation Act 1990</w:t>
      </w:r>
      <w:r w:rsidRPr="0097620F">
        <w:t>.</w:t>
      </w:r>
    </w:p>
    <w:p w14:paraId="6E2C6A4A" w14:textId="77777777" w:rsidR="00AA749C" w:rsidRPr="0097620F" w:rsidRDefault="00AA749C" w:rsidP="00AA749C">
      <w:pPr>
        <w:pStyle w:val="ActHead5"/>
      </w:pPr>
      <w:bookmarkStart w:id="41" w:name="_Toc187396026"/>
      <w:r w:rsidRPr="001F5C7F">
        <w:rPr>
          <w:rStyle w:val="CharSectno"/>
        </w:rPr>
        <w:t>36</w:t>
      </w:r>
      <w:r w:rsidRPr="0097620F">
        <w:t xml:space="preserve">  Application of the </w:t>
      </w:r>
      <w:r w:rsidRPr="0097620F">
        <w:rPr>
          <w:i/>
        </w:rPr>
        <w:t>Superannuation Benefits (Supervisory Mechanisms) Act 1990</w:t>
      </w:r>
      <w:bookmarkEnd w:id="41"/>
    </w:p>
    <w:p w14:paraId="38F686F4" w14:textId="77777777" w:rsidR="00AA749C" w:rsidRPr="0097620F" w:rsidRDefault="00AA749C" w:rsidP="00AA749C">
      <w:pPr>
        <w:pStyle w:val="subsection"/>
      </w:pPr>
      <w:r w:rsidRPr="0097620F">
        <w:tab/>
        <w:t>(1)</w:t>
      </w:r>
      <w:r w:rsidRPr="0097620F">
        <w:tab/>
        <w:t xml:space="preserve">The Minister must not declare the industry services body to be a relevant body for the purposes of the </w:t>
      </w:r>
      <w:r w:rsidRPr="0097620F">
        <w:rPr>
          <w:i/>
        </w:rPr>
        <w:t>Superannuation Benefits (Supervisory Mechanisms) Act 1990</w:t>
      </w:r>
      <w:r w:rsidRPr="0097620F">
        <w:t>.</w:t>
      </w:r>
    </w:p>
    <w:p w14:paraId="64A41209" w14:textId="77777777" w:rsidR="00AA749C" w:rsidRPr="0097620F" w:rsidRDefault="00AA749C" w:rsidP="00AA749C">
      <w:pPr>
        <w:pStyle w:val="subsection"/>
      </w:pPr>
      <w:r w:rsidRPr="0097620F">
        <w:tab/>
        <w:t>(2)</w:t>
      </w:r>
      <w:r w:rsidRPr="0097620F">
        <w:tab/>
        <w:t>In this section:</w:t>
      </w:r>
    </w:p>
    <w:p w14:paraId="0554C37B" w14:textId="77777777" w:rsidR="00AA749C" w:rsidRPr="0097620F" w:rsidRDefault="00AA749C" w:rsidP="00AA749C">
      <w:pPr>
        <w:pStyle w:val="Definition"/>
      </w:pPr>
      <w:r w:rsidRPr="0097620F">
        <w:rPr>
          <w:b/>
          <w:i/>
        </w:rPr>
        <w:t>Minister</w:t>
      </w:r>
      <w:r w:rsidRPr="0097620F">
        <w:t xml:space="preserve"> has the same meaning as in the </w:t>
      </w:r>
      <w:r w:rsidRPr="0097620F">
        <w:rPr>
          <w:i/>
        </w:rPr>
        <w:t>Superannuation Benefits (Supervisory Mechanisms) Act 1990</w:t>
      </w:r>
      <w:r w:rsidRPr="0097620F">
        <w:t>.</w:t>
      </w:r>
    </w:p>
    <w:p w14:paraId="1FDC01DA" w14:textId="77777777" w:rsidR="00AA749C" w:rsidRPr="0097620F" w:rsidRDefault="00AA749C" w:rsidP="00AA749C">
      <w:pPr>
        <w:pStyle w:val="ActHead4"/>
      </w:pPr>
      <w:bookmarkStart w:id="42" w:name="_Toc187396027"/>
      <w:r w:rsidRPr="001F5C7F">
        <w:rPr>
          <w:rStyle w:val="CharSubdNo"/>
        </w:rPr>
        <w:t>Subdivision F</w:t>
      </w:r>
      <w:r w:rsidRPr="0097620F">
        <w:t>—</w:t>
      </w:r>
      <w:r w:rsidRPr="001F5C7F">
        <w:rPr>
          <w:rStyle w:val="CharSubdText"/>
        </w:rPr>
        <w:t>Provisions relating to long service leave</w:t>
      </w:r>
      <w:bookmarkEnd w:id="42"/>
    </w:p>
    <w:p w14:paraId="563FDC90" w14:textId="77777777" w:rsidR="00AA749C" w:rsidRPr="0097620F" w:rsidRDefault="00AA749C" w:rsidP="00AA749C">
      <w:pPr>
        <w:pStyle w:val="ActHead5"/>
      </w:pPr>
      <w:bookmarkStart w:id="43" w:name="_Toc187396028"/>
      <w:r w:rsidRPr="001F5C7F">
        <w:rPr>
          <w:rStyle w:val="CharSectno"/>
        </w:rPr>
        <w:t>37</w:t>
      </w:r>
      <w:r w:rsidRPr="0097620F">
        <w:t xml:space="preserve">  Long service leave for employees with less than 10 years service</w:t>
      </w:r>
      <w:bookmarkEnd w:id="43"/>
    </w:p>
    <w:p w14:paraId="6AFD6E61" w14:textId="77777777" w:rsidR="00AA749C" w:rsidRPr="0097620F" w:rsidRDefault="00AA749C" w:rsidP="00AA749C">
      <w:pPr>
        <w:pStyle w:val="subsection"/>
      </w:pPr>
      <w:r w:rsidRPr="0097620F">
        <w:tab/>
        <w:t>(1)</w:t>
      </w:r>
      <w:r w:rsidRPr="0097620F">
        <w:tab/>
        <w:t>This section applies in relation to a person:</w:t>
      </w:r>
    </w:p>
    <w:p w14:paraId="178078ED" w14:textId="77777777" w:rsidR="00AA749C" w:rsidRPr="0097620F" w:rsidRDefault="00AA749C" w:rsidP="00AA749C">
      <w:pPr>
        <w:pStyle w:val="paragraph"/>
      </w:pPr>
      <w:r w:rsidRPr="0097620F">
        <w:tab/>
        <w:t>(a)</w:t>
      </w:r>
      <w:r w:rsidRPr="0097620F">
        <w:tab/>
        <w:t>who became a transferred employee of the industry services body on the transfer day; and</w:t>
      </w:r>
    </w:p>
    <w:p w14:paraId="36ABCEFA" w14:textId="77777777" w:rsidR="00AA749C" w:rsidRPr="0097620F" w:rsidRDefault="00AA749C" w:rsidP="00AA749C">
      <w:pPr>
        <w:pStyle w:val="paragraph"/>
      </w:pPr>
      <w:r w:rsidRPr="0097620F">
        <w:lastRenderedPageBreak/>
        <w:tab/>
        <w:t>(b)</w:t>
      </w:r>
      <w:r w:rsidRPr="0097620F">
        <w:tab/>
        <w:t>whose period of service for the purposes of the Long Service Leave Act immediately before the transfer day was less than 10 years.</w:t>
      </w:r>
    </w:p>
    <w:p w14:paraId="78300D1B" w14:textId="77777777" w:rsidR="00AA749C" w:rsidRPr="0097620F" w:rsidRDefault="00AA749C" w:rsidP="00AA749C">
      <w:pPr>
        <w:pStyle w:val="subsection"/>
      </w:pPr>
      <w:r w:rsidRPr="0097620F">
        <w:tab/>
        <w:t>(2)</w:t>
      </w:r>
      <w:r w:rsidRPr="0097620F">
        <w:tab/>
        <w:t>This section does not apply in relation to an employee who dies.</w:t>
      </w:r>
    </w:p>
    <w:p w14:paraId="6673BF2A" w14:textId="77777777" w:rsidR="00AA749C" w:rsidRPr="0097620F" w:rsidRDefault="00AA749C" w:rsidP="00AA749C">
      <w:pPr>
        <w:pStyle w:val="subsection"/>
      </w:pPr>
      <w:r w:rsidRPr="0097620F">
        <w:tab/>
        <w:t>(3)</w:t>
      </w:r>
      <w:r w:rsidRPr="0097620F">
        <w:tab/>
        <w:t>If the employee continues to be employed by the industry services body until his or her combined service period is at least 10 years, the industry services body may grant the employee long service leave on full salary for a period up to the employee’s long service leave credit under subsection</w:t>
      </w:r>
      <w:r w:rsidR="0097620F">
        <w:t> </w:t>
      </w:r>
      <w:r w:rsidRPr="0097620F">
        <w:t>40(1).</w:t>
      </w:r>
    </w:p>
    <w:p w14:paraId="01799FEE" w14:textId="77777777" w:rsidR="00AA749C" w:rsidRPr="0097620F" w:rsidRDefault="00AA749C" w:rsidP="00AA749C">
      <w:pPr>
        <w:pStyle w:val="subsection"/>
      </w:pPr>
      <w:r w:rsidRPr="0097620F">
        <w:tab/>
        <w:t>(4)</w:t>
      </w:r>
      <w:r w:rsidRPr="0097620F">
        <w:tab/>
        <w:t>If:</w:t>
      </w:r>
    </w:p>
    <w:p w14:paraId="31F90FA1" w14:textId="77777777" w:rsidR="00AA749C" w:rsidRPr="0097620F" w:rsidRDefault="00AA749C" w:rsidP="00AA749C">
      <w:pPr>
        <w:pStyle w:val="paragraph"/>
      </w:pPr>
      <w:r w:rsidRPr="0097620F">
        <w:tab/>
        <w:t>(a)</w:t>
      </w:r>
      <w:r w:rsidRPr="0097620F">
        <w:tab/>
        <w:t>the employee stops being an employee of the industry services body on or after reaching the minimum retiring age, or because of retrenchment; and</w:t>
      </w:r>
    </w:p>
    <w:p w14:paraId="3AD966BC" w14:textId="77777777" w:rsidR="00AA749C" w:rsidRPr="0097620F" w:rsidRDefault="00AA749C" w:rsidP="00AA749C">
      <w:pPr>
        <w:pStyle w:val="paragraph"/>
      </w:pPr>
      <w:r w:rsidRPr="0097620F">
        <w:tab/>
        <w:t>(b)</w:t>
      </w:r>
      <w:r w:rsidRPr="0097620F">
        <w:tab/>
        <w:t>the employee’s combined service period at the time when he or she stops being an employee of the industry services body is at least one year;</w:t>
      </w:r>
    </w:p>
    <w:p w14:paraId="41471812" w14:textId="77777777" w:rsidR="00AA749C" w:rsidRPr="0097620F" w:rsidRDefault="00AA749C" w:rsidP="00AA749C">
      <w:pPr>
        <w:pStyle w:val="subsection2"/>
      </w:pPr>
      <w:r w:rsidRPr="0097620F">
        <w:t>the industry services body may grant the employee long service leave on full salary for a period up to the employee’s long service leave credit under subsection</w:t>
      </w:r>
      <w:r w:rsidR="0097620F">
        <w:t> </w:t>
      </w:r>
      <w:r w:rsidRPr="0097620F">
        <w:t>40(1).</w:t>
      </w:r>
    </w:p>
    <w:p w14:paraId="5F733D8F" w14:textId="30EA072C" w:rsidR="00AA749C" w:rsidRPr="0097620F" w:rsidRDefault="00AA749C" w:rsidP="00AA749C">
      <w:pPr>
        <w:pStyle w:val="subsection"/>
      </w:pPr>
      <w:r w:rsidRPr="0097620F">
        <w:tab/>
        <w:t>(5)</w:t>
      </w:r>
      <w:r w:rsidRPr="0097620F">
        <w:tab/>
        <w:t xml:space="preserve">If a period of long service leave may be granted to an employee under </w:t>
      </w:r>
      <w:r w:rsidR="0097620F">
        <w:t>subsection (</w:t>
      </w:r>
      <w:r w:rsidRPr="0097620F">
        <w:t>3) or (4), the industry services body may, if the employee asks in writing, grant the employee long service leave on half salary for a period not longer than twice the first</w:t>
      </w:r>
      <w:r w:rsidR="001F5C7F">
        <w:noBreakHyphen/>
      </w:r>
      <w:r w:rsidRPr="0097620F">
        <w:t>mentioned period.</w:t>
      </w:r>
    </w:p>
    <w:p w14:paraId="630D7AAD" w14:textId="77777777" w:rsidR="00AA749C" w:rsidRPr="0097620F" w:rsidRDefault="00AA749C" w:rsidP="00AA749C">
      <w:pPr>
        <w:pStyle w:val="subsection"/>
      </w:pPr>
      <w:r w:rsidRPr="0097620F">
        <w:tab/>
        <w:t>(6)</w:t>
      </w:r>
      <w:r w:rsidRPr="0097620F">
        <w:tab/>
        <w:t xml:space="preserve">Long service leave granted in the circumstances set out in </w:t>
      </w:r>
      <w:r w:rsidR="0097620F">
        <w:t>subsection (</w:t>
      </w:r>
      <w:r w:rsidRPr="0097620F">
        <w:t>4) must be taken so as to end immediately before the employee stops being an employee.</w:t>
      </w:r>
    </w:p>
    <w:p w14:paraId="172835FD" w14:textId="77777777" w:rsidR="00AA749C" w:rsidRPr="0097620F" w:rsidRDefault="00AA749C" w:rsidP="00AA749C">
      <w:pPr>
        <w:pStyle w:val="subsection"/>
      </w:pPr>
      <w:r w:rsidRPr="0097620F">
        <w:tab/>
        <w:t>(7)</w:t>
      </w:r>
      <w:r w:rsidRPr="0097620F">
        <w:tab/>
        <w:t>For the purposes of this section, the rate of salary to be used in working out the full salary of an employee is the rate that would apply to the employee under section</w:t>
      </w:r>
      <w:r w:rsidR="0097620F">
        <w:t> </w:t>
      </w:r>
      <w:r w:rsidRPr="0097620F">
        <w:t>20 of the Long Service Leave Act if:</w:t>
      </w:r>
    </w:p>
    <w:p w14:paraId="7CABD70A" w14:textId="77777777" w:rsidR="00AA749C" w:rsidRPr="0097620F" w:rsidRDefault="00AA749C" w:rsidP="00AA749C">
      <w:pPr>
        <w:pStyle w:val="paragraph"/>
      </w:pPr>
      <w:r w:rsidRPr="0097620F">
        <w:tab/>
        <w:t>(a)</w:t>
      </w:r>
      <w:r w:rsidRPr="0097620F">
        <w:tab/>
        <w:t>that section applied to the employee; and</w:t>
      </w:r>
    </w:p>
    <w:p w14:paraId="67659A4F" w14:textId="6899B09B" w:rsidR="00AA749C" w:rsidRPr="0097620F" w:rsidRDefault="00AA749C" w:rsidP="00AA749C">
      <w:pPr>
        <w:pStyle w:val="paragraph"/>
      </w:pPr>
      <w:r w:rsidRPr="0097620F">
        <w:lastRenderedPageBreak/>
        <w:tab/>
        <w:t>(b)</w:t>
      </w:r>
      <w:r w:rsidRPr="0097620F">
        <w:tab/>
        <w:t>for the expression “</w:t>
      </w:r>
      <w:r w:rsidR="001F5C7F">
        <w:t>section 1</w:t>
      </w:r>
      <w:r w:rsidRPr="0097620F">
        <w:t>6 or 17” in that section there were substituted the expression “section</w:t>
      </w:r>
      <w:r w:rsidR="0097620F">
        <w:t> </w:t>
      </w:r>
      <w:r w:rsidRPr="0097620F">
        <w:t xml:space="preserve">37 of the </w:t>
      </w:r>
      <w:r w:rsidRPr="0097620F">
        <w:rPr>
          <w:i/>
        </w:rPr>
        <w:t>Horticulture Marketing and Research and Development Services (Repeals and Consequential Provisions) Act 2000</w:t>
      </w:r>
      <w:r w:rsidRPr="0097620F">
        <w:t>”.</w:t>
      </w:r>
    </w:p>
    <w:p w14:paraId="3FDDB652" w14:textId="77777777" w:rsidR="00AA749C" w:rsidRPr="0097620F" w:rsidRDefault="00AA749C" w:rsidP="00AA749C">
      <w:pPr>
        <w:pStyle w:val="ActHead5"/>
      </w:pPr>
      <w:bookmarkStart w:id="44" w:name="_Toc187396029"/>
      <w:r w:rsidRPr="001F5C7F">
        <w:rPr>
          <w:rStyle w:val="CharSectno"/>
        </w:rPr>
        <w:t>38</w:t>
      </w:r>
      <w:r w:rsidRPr="0097620F">
        <w:t xml:space="preserve">  Payments in lieu of long service leave for employees with less than 10 years service</w:t>
      </w:r>
      <w:bookmarkEnd w:id="44"/>
    </w:p>
    <w:p w14:paraId="37A837AA" w14:textId="77777777" w:rsidR="00AA749C" w:rsidRPr="0097620F" w:rsidRDefault="00AA749C" w:rsidP="00AA749C">
      <w:pPr>
        <w:pStyle w:val="subsection"/>
      </w:pPr>
      <w:r w:rsidRPr="0097620F">
        <w:tab/>
        <w:t>(1)</w:t>
      </w:r>
      <w:r w:rsidRPr="0097620F">
        <w:tab/>
        <w:t>This section applies to a person:</w:t>
      </w:r>
    </w:p>
    <w:p w14:paraId="4B6C405C" w14:textId="77777777" w:rsidR="00AA749C" w:rsidRPr="0097620F" w:rsidRDefault="00AA749C" w:rsidP="00AA749C">
      <w:pPr>
        <w:pStyle w:val="paragraph"/>
      </w:pPr>
      <w:r w:rsidRPr="0097620F">
        <w:tab/>
        <w:t>(a)</w:t>
      </w:r>
      <w:r w:rsidRPr="0097620F">
        <w:tab/>
        <w:t>who became a transferred employee on the transfer day; and</w:t>
      </w:r>
    </w:p>
    <w:p w14:paraId="12EDEDD4" w14:textId="77777777" w:rsidR="00AA749C" w:rsidRPr="0097620F" w:rsidRDefault="00AA749C" w:rsidP="00AA749C">
      <w:pPr>
        <w:pStyle w:val="paragraph"/>
      </w:pPr>
      <w:r w:rsidRPr="0097620F">
        <w:tab/>
        <w:t>(b)</w:t>
      </w:r>
      <w:r w:rsidRPr="0097620F">
        <w:tab/>
        <w:t>whose period of service for the purposes of the Long Service Leave Act immediately before the transfer day was less than 10 years.</w:t>
      </w:r>
    </w:p>
    <w:p w14:paraId="4CC9A0C7" w14:textId="77777777" w:rsidR="00AA749C" w:rsidRPr="0097620F" w:rsidRDefault="00AA749C" w:rsidP="00AA749C">
      <w:pPr>
        <w:pStyle w:val="subsection"/>
      </w:pPr>
      <w:r w:rsidRPr="0097620F">
        <w:tab/>
        <w:t>(2)</w:t>
      </w:r>
      <w:r w:rsidRPr="0097620F">
        <w:tab/>
        <w:t>This section does not apply in relation to an employee who dies.</w:t>
      </w:r>
    </w:p>
    <w:p w14:paraId="6E29C60F" w14:textId="77777777" w:rsidR="00AA749C" w:rsidRPr="0097620F" w:rsidRDefault="00AA749C" w:rsidP="00AA749C">
      <w:pPr>
        <w:pStyle w:val="subsection"/>
      </w:pPr>
      <w:r w:rsidRPr="0097620F">
        <w:tab/>
        <w:t>(3)</w:t>
      </w:r>
      <w:r w:rsidRPr="0097620F">
        <w:tab/>
        <w:t>If the employee stops being an employee of the industry services body on or after the day on which his or her combined service period reaches 10 years, the industry services body must pay him or her an amount equal to full salary in respect of his or her long service leave credit under subsection</w:t>
      </w:r>
      <w:r w:rsidR="0097620F">
        <w:t> </w:t>
      </w:r>
      <w:r w:rsidRPr="0097620F">
        <w:t>40(2).</w:t>
      </w:r>
    </w:p>
    <w:p w14:paraId="53A0307F" w14:textId="77777777" w:rsidR="00AA749C" w:rsidRPr="0097620F" w:rsidRDefault="00AA749C" w:rsidP="00AA749C">
      <w:pPr>
        <w:pStyle w:val="subsection"/>
      </w:pPr>
      <w:r w:rsidRPr="0097620F">
        <w:tab/>
        <w:t>(4)</w:t>
      </w:r>
      <w:r w:rsidRPr="0097620F">
        <w:tab/>
        <w:t>If:</w:t>
      </w:r>
    </w:p>
    <w:p w14:paraId="43716C80" w14:textId="77777777" w:rsidR="00AA749C" w:rsidRPr="0097620F" w:rsidRDefault="00AA749C" w:rsidP="00AA749C">
      <w:pPr>
        <w:pStyle w:val="paragraph"/>
      </w:pPr>
      <w:r w:rsidRPr="0097620F">
        <w:tab/>
        <w:t>(a)</w:t>
      </w:r>
      <w:r w:rsidRPr="0097620F">
        <w:tab/>
        <w:t>the employee stops being an employee of the industry services body, on or after reaching the minimum retiring age, or because of retrenchment; and</w:t>
      </w:r>
    </w:p>
    <w:p w14:paraId="715C47B5" w14:textId="77777777" w:rsidR="00AA749C" w:rsidRPr="0097620F" w:rsidRDefault="00AA749C" w:rsidP="00AA749C">
      <w:pPr>
        <w:pStyle w:val="paragraph"/>
      </w:pPr>
      <w:r w:rsidRPr="0097620F">
        <w:tab/>
        <w:t>(b)</w:t>
      </w:r>
      <w:r w:rsidRPr="0097620F">
        <w:tab/>
        <w:t>at that time the employee’s combined service period is at least one year;</w:t>
      </w:r>
    </w:p>
    <w:p w14:paraId="7C37E974" w14:textId="77777777" w:rsidR="00AA749C" w:rsidRPr="0097620F" w:rsidRDefault="00AA749C" w:rsidP="00AA749C">
      <w:pPr>
        <w:pStyle w:val="subsection2"/>
      </w:pPr>
      <w:r w:rsidRPr="0097620F">
        <w:t>the industry services body must pay him or her an amount equal to full salary in respect of his or her long service leave credit under subsection</w:t>
      </w:r>
      <w:r w:rsidR="0097620F">
        <w:t> </w:t>
      </w:r>
      <w:r w:rsidRPr="0097620F">
        <w:t>40(2).</w:t>
      </w:r>
    </w:p>
    <w:p w14:paraId="08040D57" w14:textId="77777777" w:rsidR="00AA749C" w:rsidRPr="0097620F" w:rsidRDefault="00AA749C" w:rsidP="00AA749C">
      <w:pPr>
        <w:pStyle w:val="subsection"/>
      </w:pPr>
      <w:r w:rsidRPr="0097620F">
        <w:tab/>
        <w:t>(5)</w:t>
      </w:r>
      <w:r w:rsidRPr="0097620F">
        <w:tab/>
        <w:t>If:</w:t>
      </w:r>
    </w:p>
    <w:p w14:paraId="1E80825F" w14:textId="77777777" w:rsidR="00AA749C" w:rsidRPr="0097620F" w:rsidRDefault="00AA749C" w:rsidP="00AA749C">
      <w:pPr>
        <w:pStyle w:val="paragraph"/>
      </w:pPr>
      <w:r w:rsidRPr="0097620F">
        <w:tab/>
        <w:t>(a)</w:t>
      </w:r>
      <w:r w:rsidRPr="0097620F">
        <w:tab/>
        <w:t>the employee stops being an employee of the industry services body; and</w:t>
      </w:r>
    </w:p>
    <w:p w14:paraId="43164017" w14:textId="3AA54B11" w:rsidR="00AA749C" w:rsidRPr="0097620F" w:rsidRDefault="00AA749C" w:rsidP="00AA749C">
      <w:pPr>
        <w:pStyle w:val="paragraph"/>
      </w:pPr>
      <w:r w:rsidRPr="0097620F">
        <w:lastRenderedPageBreak/>
        <w:tab/>
        <w:t>(b)</w:t>
      </w:r>
      <w:r w:rsidRPr="0097620F">
        <w:tab/>
        <w:t>the industry services body is satisfied that the employee left the industry services body’s employment because of ill</w:t>
      </w:r>
      <w:r w:rsidR="001F5C7F">
        <w:noBreakHyphen/>
      </w:r>
      <w:r w:rsidRPr="0097620F">
        <w:t>health that justified his or her so leaving; and</w:t>
      </w:r>
    </w:p>
    <w:p w14:paraId="47A59A6E" w14:textId="77777777" w:rsidR="00AA749C" w:rsidRPr="0097620F" w:rsidRDefault="00AA749C" w:rsidP="00AA749C">
      <w:pPr>
        <w:pStyle w:val="paragraph"/>
      </w:pPr>
      <w:r w:rsidRPr="0097620F">
        <w:tab/>
        <w:t>(c)</w:t>
      </w:r>
      <w:r w:rsidRPr="0097620F">
        <w:tab/>
        <w:t>when the employee left, his or her combined service period was at least one year;</w:t>
      </w:r>
    </w:p>
    <w:p w14:paraId="37225344" w14:textId="77777777" w:rsidR="00AA749C" w:rsidRPr="0097620F" w:rsidRDefault="00AA749C" w:rsidP="00AA749C">
      <w:pPr>
        <w:pStyle w:val="subsection2"/>
      </w:pPr>
      <w:r w:rsidRPr="0097620F">
        <w:t>the industry services body must pay him or her an amount equal to full salary in respect of his or her long service leave credit under subsection</w:t>
      </w:r>
      <w:r w:rsidR="0097620F">
        <w:t> </w:t>
      </w:r>
      <w:r w:rsidRPr="0097620F">
        <w:t>40(2).</w:t>
      </w:r>
    </w:p>
    <w:p w14:paraId="3AE1215C" w14:textId="77777777" w:rsidR="00AA749C" w:rsidRPr="0097620F" w:rsidRDefault="00AA749C" w:rsidP="00AA749C">
      <w:pPr>
        <w:pStyle w:val="subsection"/>
      </w:pPr>
      <w:r w:rsidRPr="0097620F">
        <w:tab/>
        <w:t>(6)</w:t>
      </w:r>
      <w:r w:rsidRPr="0097620F">
        <w:tab/>
        <w:t>For the purposes of this section, the rate of salary to be used in working out the full salary of an employee is the rate that would apply to the employee under section</w:t>
      </w:r>
      <w:r w:rsidR="0097620F">
        <w:t> </w:t>
      </w:r>
      <w:r w:rsidRPr="0097620F">
        <w:t>21 of the Long Service Leave Act if:</w:t>
      </w:r>
    </w:p>
    <w:p w14:paraId="69C98F1A" w14:textId="77777777" w:rsidR="00AA749C" w:rsidRPr="0097620F" w:rsidRDefault="00AA749C" w:rsidP="00AA749C">
      <w:pPr>
        <w:pStyle w:val="paragraph"/>
      </w:pPr>
      <w:r w:rsidRPr="0097620F">
        <w:tab/>
        <w:t>(a)</w:t>
      </w:r>
      <w:r w:rsidRPr="0097620F">
        <w:tab/>
        <w:t>that section applied to the employee; and</w:t>
      </w:r>
    </w:p>
    <w:p w14:paraId="7483B9A0" w14:textId="77777777" w:rsidR="00AA749C" w:rsidRPr="0097620F" w:rsidRDefault="00AA749C" w:rsidP="00AA749C">
      <w:pPr>
        <w:pStyle w:val="paragraph"/>
      </w:pPr>
      <w:r w:rsidRPr="0097620F">
        <w:tab/>
        <w:t>(b)</w:t>
      </w:r>
      <w:r w:rsidRPr="0097620F">
        <w:tab/>
        <w:t>for the expression “sections</w:t>
      </w:r>
      <w:r w:rsidR="0097620F">
        <w:t> </w:t>
      </w:r>
      <w:r w:rsidRPr="0097620F">
        <w:t>16 and 17” in that section there were substituted the expression “section</w:t>
      </w:r>
      <w:r w:rsidR="0097620F">
        <w:t> </w:t>
      </w:r>
      <w:r w:rsidRPr="0097620F">
        <w:t xml:space="preserve">38 of the </w:t>
      </w:r>
      <w:r w:rsidRPr="0097620F">
        <w:rPr>
          <w:i/>
        </w:rPr>
        <w:t>Horticulture Marketing and Research and Development Services (Repeals and Consequential Provisions) Act 2000</w:t>
      </w:r>
      <w:r w:rsidRPr="0097620F">
        <w:t>”.</w:t>
      </w:r>
    </w:p>
    <w:p w14:paraId="7C751F84" w14:textId="77777777" w:rsidR="00AA749C" w:rsidRPr="0097620F" w:rsidRDefault="00AA749C" w:rsidP="00AA749C">
      <w:pPr>
        <w:pStyle w:val="ActHead5"/>
      </w:pPr>
      <w:bookmarkStart w:id="45" w:name="_Toc187396030"/>
      <w:r w:rsidRPr="001F5C7F">
        <w:rPr>
          <w:rStyle w:val="CharSectno"/>
        </w:rPr>
        <w:t>39</w:t>
      </w:r>
      <w:r w:rsidRPr="0097620F">
        <w:t xml:space="preserve">  Payments on the death of an employee</w:t>
      </w:r>
      <w:bookmarkEnd w:id="45"/>
    </w:p>
    <w:p w14:paraId="3446F67A" w14:textId="77777777" w:rsidR="00AA749C" w:rsidRPr="0097620F" w:rsidRDefault="00AA749C" w:rsidP="00AA749C">
      <w:pPr>
        <w:pStyle w:val="subsection"/>
      </w:pPr>
      <w:r w:rsidRPr="0097620F">
        <w:tab/>
        <w:t>(1)</w:t>
      </w:r>
      <w:r w:rsidRPr="0097620F">
        <w:tab/>
        <w:t>This section applies to a person who was an employee of a statutory authority immediately before the transfer day if, at that time, the employee’s period of service for the purposes of the Long Service Leave Act was less than 10 years.</w:t>
      </w:r>
    </w:p>
    <w:p w14:paraId="216A72F9" w14:textId="77777777" w:rsidR="00AA749C" w:rsidRPr="0097620F" w:rsidRDefault="00AA749C" w:rsidP="00AA749C">
      <w:pPr>
        <w:pStyle w:val="subsection"/>
      </w:pPr>
      <w:r w:rsidRPr="0097620F">
        <w:tab/>
        <w:t>(2)</w:t>
      </w:r>
      <w:r w:rsidRPr="0097620F">
        <w:tab/>
        <w:t>If the person dies on or after the transfer day and immediately before his or her death:</w:t>
      </w:r>
    </w:p>
    <w:p w14:paraId="0BC98D55" w14:textId="77777777" w:rsidR="00AA749C" w:rsidRPr="0097620F" w:rsidRDefault="00AA749C" w:rsidP="00AA749C">
      <w:pPr>
        <w:pStyle w:val="paragraph"/>
      </w:pPr>
      <w:r w:rsidRPr="0097620F">
        <w:tab/>
        <w:t>(a)</w:t>
      </w:r>
      <w:r w:rsidRPr="0097620F">
        <w:tab/>
        <w:t>the person was an employee of the industry services body; and</w:t>
      </w:r>
    </w:p>
    <w:p w14:paraId="4E3FA54F" w14:textId="77777777" w:rsidR="00AA749C" w:rsidRPr="0097620F" w:rsidRDefault="00AA749C" w:rsidP="00AA749C">
      <w:pPr>
        <w:pStyle w:val="paragraph"/>
      </w:pPr>
      <w:r w:rsidRPr="0097620F">
        <w:tab/>
        <w:t>(b)</w:t>
      </w:r>
      <w:r w:rsidRPr="0097620F">
        <w:tab/>
        <w:t>the person’s combined service period was at least one year; and</w:t>
      </w:r>
    </w:p>
    <w:p w14:paraId="7AB5A0B6" w14:textId="77777777" w:rsidR="00AA749C" w:rsidRPr="0097620F" w:rsidRDefault="00AA749C" w:rsidP="00AA749C">
      <w:pPr>
        <w:pStyle w:val="paragraph"/>
      </w:pPr>
      <w:r w:rsidRPr="0097620F">
        <w:tab/>
        <w:t>(c)</w:t>
      </w:r>
      <w:r w:rsidRPr="0097620F">
        <w:tab/>
        <w:t>the person had one or more dependants;</w:t>
      </w:r>
    </w:p>
    <w:p w14:paraId="24E35E3B" w14:textId="77777777" w:rsidR="00AA749C" w:rsidRPr="0097620F" w:rsidRDefault="00AA749C" w:rsidP="00AA749C">
      <w:pPr>
        <w:pStyle w:val="subsection2"/>
      </w:pPr>
      <w:r w:rsidRPr="0097620F">
        <w:t>the industry services body must make a payment to the dependant or dependants.</w:t>
      </w:r>
    </w:p>
    <w:p w14:paraId="41A2B781" w14:textId="77777777" w:rsidR="00AA749C" w:rsidRPr="0097620F" w:rsidRDefault="00AA749C" w:rsidP="00AA749C">
      <w:pPr>
        <w:pStyle w:val="subsection"/>
      </w:pPr>
      <w:r w:rsidRPr="0097620F">
        <w:lastRenderedPageBreak/>
        <w:tab/>
        <w:t>(3)</w:t>
      </w:r>
      <w:r w:rsidRPr="0097620F">
        <w:tab/>
        <w:t>The total amount of the payment or payments is the amount that would have been payable to the person under section</w:t>
      </w:r>
      <w:r w:rsidR="0097620F">
        <w:t> </w:t>
      </w:r>
      <w:r w:rsidRPr="0097620F">
        <w:t>38 if, on the day of his or her death, the person had instead stopped being an employee of the industry services body on or after reaching the minimum retiring age.</w:t>
      </w:r>
    </w:p>
    <w:p w14:paraId="1A66A0F0" w14:textId="77777777" w:rsidR="00AA749C" w:rsidRPr="0097620F" w:rsidRDefault="00AA749C" w:rsidP="00B639B4">
      <w:pPr>
        <w:pStyle w:val="subsection"/>
        <w:keepNext/>
        <w:keepLines/>
      </w:pPr>
      <w:r w:rsidRPr="0097620F">
        <w:tab/>
        <w:t>(4)</w:t>
      </w:r>
      <w:r w:rsidRPr="0097620F">
        <w:tab/>
        <w:t xml:space="preserve">If </w:t>
      </w:r>
      <w:r w:rsidR="0097620F">
        <w:t>subsection (</w:t>
      </w:r>
      <w:r w:rsidRPr="0097620F">
        <w:t>2) applies, section</w:t>
      </w:r>
      <w:r w:rsidR="0097620F">
        <w:t> </w:t>
      </w:r>
      <w:r w:rsidRPr="0097620F">
        <w:t>23 of the Long Service Leave Act has effect as if:</w:t>
      </w:r>
    </w:p>
    <w:p w14:paraId="6E38DF31" w14:textId="77777777" w:rsidR="00AA749C" w:rsidRPr="0097620F" w:rsidRDefault="00AA749C" w:rsidP="00AA749C">
      <w:pPr>
        <w:pStyle w:val="paragraph"/>
      </w:pPr>
      <w:r w:rsidRPr="0097620F">
        <w:tab/>
        <w:t>(a)</w:t>
      </w:r>
      <w:r w:rsidRPr="0097620F">
        <w:tab/>
        <w:t>that section applied to an employee of the industry services body; and</w:t>
      </w:r>
    </w:p>
    <w:p w14:paraId="16D749FF" w14:textId="77777777" w:rsidR="00AA749C" w:rsidRPr="0097620F" w:rsidRDefault="00AA749C" w:rsidP="00AA749C">
      <w:pPr>
        <w:pStyle w:val="paragraph"/>
      </w:pPr>
      <w:r w:rsidRPr="0097620F">
        <w:tab/>
        <w:t>(b)</w:t>
      </w:r>
      <w:r w:rsidRPr="0097620F">
        <w:tab/>
        <w:t>a reference in that section to the approving authority were a reference to the industry services body; and</w:t>
      </w:r>
    </w:p>
    <w:p w14:paraId="5C3E8464" w14:textId="77777777" w:rsidR="00AA749C" w:rsidRPr="0097620F" w:rsidRDefault="00AA749C" w:rsidP="00AA749C">
      <w:pPr>
        <w:pStyle w:val="paragraph"/>
      </w:pPr>
      <w:r w:rsidRPr="0097620F">
        <w:tab/>
        <w:t>(c)</w:t>
      </w:r>
      <w:r w:rsidRPr="0097620F">
        <w:tab/>
        <w:t>for the expression “this Act” in that section there were substituted the expression “section</w:t>
      </w:r>
      <w:r w:rsidR="0097620F">
        <w:t> </w:t>
      </w:r>
      <w:r w:rsidRPr="0097620F">
        <w:t xml:space="preserve">39 of the </w:t>
      </w:r>
      <w:r w:rsidRPr="0097620F">
        <w:rPr>
          <w:i/>
        </w:rPr>
        <w:t>Horticulture Marketing and Research and Development Services (Repeals and Consequential Provisions) Act 2000</w:t>
      </w:r>
      <w:r w:rsidRPr="0097620F">
        <w:t>”; and</w:t>
      </w:r>
    </w:p>
    <w:p w14:paraId="6569D87A" w14:textId="3ADAAACE" w:rsidR="00AA749C" w:rsidRPr="0097620F" w:rsidRDefault="00AA749C" w:rsidP="00AA749C">
      <w:pPr>
        <w:pStyle w:val="paragraph"/>
      </w:pPr>
      <w:r w:rsidRPr="0097620F">
        <w:tab/>
        <w:t>(d)</w:t>
      </w:r>
      <w:r w:rsidRPr="0097620F">
        <w:tab/>
        <w:t>for the expression “sub</w:t>
      </w:r>
      <w:r w:rsidR="001F5C7F">
        <w:t>section 1</w:t>
      </w:r>
      <w:r w:rsidRPr="0097620F">
        <w:t>6(7) or 17(5)” there were substituted the expression “section</w:t>
      </w:r>
      <w:r w:rsidR="0097620F">
        <w:t> </w:t>
      </w:r>
      <w:r w:rsidRPr="0097620F">
        <w:t xml:space="preserve">39 of the </w:t>
      </w:r>
      <w:r w:rsidRPr="0097620F">
        <w:rPr>
          <w:i/>
        </w:rPr>
        <w:t>Horticulture Marketing and Research and Development Services (Repeals and Consequential Provisions) Act 2000</w:t>
      </w:r>
      <w:r w:rsidRPr="0097620F">
        <w:t>”.</w:t>
      </w:r>
    </w:p>
    <w:p w14:paraId="28A2AC98" w14:textId="77777777" w:rsidR="00AA749C" w:rsidRPr="0097620F" w:rsidRDefault="00AA749C" w:rsidP="00AA749C">
      <w:pPr>
        <w:pStyle w:val="ActHead5"/>
      </w:pPr>
      <w:bookmarkStart w:id="46" w:name="_Toc187396031"/>
      <w:r w:rsidRPr="001F5C7F">
        <w:rPr>
          <w:rStyle w:val="CharSectno"/>
        </w:rPr>
        <w:t>40</w:t>
      </w:r>
      <w:r w:rsidRPr="0097620F">
        <w:t xml:space="preserve">  Employee’s long service leave credit for the purposes of sections</w:t>
      </w:r>
      <w:r w:rsidR="0097620F">
        <w:t> </w:t>
      </w:r>
      <w:r w:rsidRPr="0097620F">
        <w:t>37 and 38</w:t>
      </w:r>
      <w:bookmarkEnd w:id="46"/>
    </w:p>
    <w:p w14:paraId="03C408C2" w14:textId="77777777" w:rsidR="00AA749C" w:rsidRPr="0097620F" w:rsidRDefault="00AA749C" w:rsidP="00AA749C">
      <w:pPr>
        <w:pStyle w:val="subsection"/>
      </w:pPr>
      <w:r w:rsidRPr="0097620F">
        <w:tab/>
        <w:t>(1)</w:t>
      </w:r>
      <w:r w:rsidRPr="0097620F">
        <w:tab/>
        <w:t>For the purposes of section</w:t>
      </w:r>
      <w:r w:rsidR="0097620F">
        <w:t> </w:t>
      </w:r>
      <w:r w:rsidRPr="0097620F">
        <w:t>37, an employee’s long service leave credit is equal to the long service leave credit that the employee would have under the Long Service Leave Act for the period:</w:t>
      </w:r>
    </w:p>
    <w:p w14:paraId="12909D2C" w14:textId="77777777" w:rsidR="00AA749C" w:rsidRPr="0097620F" w:rsidRDefault="00AA749C" w:rsidP="00AA749C">
      <w:pPr>
        <w:pStyle w:val="paragraph"/>
      </w:pPr>
      <w:r w:rsidRPr="0097620F">
        <w:tab/>
        <w:t>(a)</w:t>
      </w:r>
      <w:r w:rsidRPr="0097620F">
        <w:tab/>
        <w:t>beginning when the employee began his or her period of service; and</w:t>
      </w:r>
    </w:p>
    <w:p w14:paraId="50EA5848" w14:textId="77777777" w:rsidR="00AA749C" w:rsidRPr="0097620F" w:rsidRDefault="00AA749C" w:rsidP="00AA749C">
      <w:pPr>
        <w:pStyle w:val="paragraph"/>
      </w:pPr>
      <w:r w:rsidRPr="0097620F">
        <w:tab/>
        <w:t>(b)</w:t>
      </w:r>
      <w:r w:rsidRPr="0097620F">
        <w:tab/>
        <w:t>ending on the transfer day;</w:t>
      </w:r>
    </w:p>
    <w:p w14:paraId="49499DF1" w14:textId="77777777" w:rsidR="00AA749C" w:rsidRPr="0097620F" w:rsidRDefault="00AA749C" w:rsidP="00AA749C">
      <w:pPr>
        <w:pStyle w:val="subsection2"/>
      </w:pPr>
      <w:r w:rsidRPr="0097620F">
        <w:t>if the employee had been retrenched on that day.</w:t>
      </w:r>
    </w:p>
    <w:p w14:paraId="283D13F3" w14:textId="77777777" w:rsidR="00AA749C" w:rsidRPr="0097620F" w:rsidRDefault="00AA749C" w:rsidP="00AA749C">
      <w:pPr>
        <w:pStyle w:val="subsection"/>
      </w:pPr>
      <w:r w:rsidRPr="0097620F">
        <w:tab/>
        <w:t>(2)</w:t>
      </w:r>
      <w:r w:rsidRPr="0097620F">
        <w:tab/>
        <w:t>For the purposes of section</w:t>
      </w:r>
      <w:r w:rsidR="0097620F">
        <w:t> </w:t>
      </w:r>
      <w:r w:rsidRPr="0097620F">
        <w:t xml:space="preserve">38, an employee’s long service leave credit is the employee’s long service leave credit worked out under </w:t>
      </w:r>
      <w:r w:rsidR="0097620F">
        <w:t>subsection (</w:t>
      </w:r>
      <w:r w:rsidRPr="0097620F">
        <w:t>1) of this section reduced by any long service leave credit used under section</w:t>
      </w:r>
      <w:r w:rsidR="0097620F">
        <w:t> </w:t>
      </w:r>
      <w:r w:rsidRPr="0097620F">
        <w:t>37.</w:t>
      </w:r>
    </w:p>
    <w:p w14:paraId="4A330C3F" w14:textId="77777777" w:rsidR="00AA749C" w:rsidRPr="0097620F" w:rsidRDefault="00AA749C" w:rsidP="00AA749C">
      <w:pPr>
        <w:pStyle w:val="ActHead5"/>
      </w:pPr>
      <w:bookmarkStart w:id="47" w:name="_Toc187396032"/>
      <w:r w:rsidRPr="001F5C7F">
        <w:rPr>
          <w:rStyle w:val="CharSectno"/>
        </w:rPr>
        <w:lastRenderedPageBreak/>
        <w:t>41</w:t>
      </w:r>
      <w:r w:rsidRPr="0097620F">
        <w:t xml:space="preserve">  Employees with at least 10 years service</w:t>
      </w:r>
      <w:bookmarkEnd w:id="47"/>
    </w:p>
    <w:p w14:paraId="2369A4DB" w14:textId="77777777" w:rsidR="00AA749C" w:rsidRPr="0097620F" w:rsidRDefault="00AA749C" w:rsidP="00AA749C">
      <w:pPr>
        <w:pStyle w:val="subsection"/>
      </w:pPr>
      <w:r w:rsidRPr="0097620F">
        <w:tab/>
        <w:t>(1)</w:t>
      </w:r>
      <w:r w:rsidRPr="0097620F">
        <w:tab/>
        <w:t>This section applies to an employee of a statutory authority whose period of service under the Long Service Leave Act was at least 10 years immediately before the transfer day.</w:t>
      </w:r>
    </w:p>
    <w:p w14:paraId="26E6227A" w14:textId="77777777" w:rsidR="00AA749C" w:rsidRPr="0097620F" w:rsidRDefault="00AA749C" w:rsidP="00AA749C">
      <w:pPr>
        <w:pStyle w:val="subsection"/>
      </w:pPr>
      <w:r w:rsidRPr="0097620F">
        <w:tab/>
        <w:t>(2)</w:t>
      </w:r>
      <w:r w:rsidRPr="0097620F">
        <w:tab/>
        <w:t>Even though the employee ceases to be employed in Government Service for the purposes of the Long Service Leave Act, the employee’s accrued rights under that Act continue if the employee becomes an employee of the industry services body on the transfer day. However, the employee is not entitled to receive any payment because he or she ceases to be in Government Service.</w:t>
      </w:r>
    </w:p>
    <w:p w14:paraId="65C56FA5" w14:textId="77777777" w:rsidR="00AA749C" w:rsidRPr="0097620F" w:rsidRDefault="00AA749C" w:rsidP="00AA749C">
      <w:pPr>
        <w:pStyle w:val="subsection"/>
      </w:pPr>
      <w:r w:rsidRPr="0097620F">
        <w:tab/>
        <w:t>(3)</w:t>
      </w:r>
      <w:r w:rsidRPr="0097620F">
        <w:tab/>
        <w:t>The Long Service Leave Act has effect on and after the transfer day in relation to the employee’s rights under that Act that accrued before the transfer day, as if the industry services body were an approving authority for the purposes of that Act.</w:t>
      </w:r>
    </w:p>
    <w:p w14:paraId="6258F829" w14:textId="43494C9B" w:rsidR="00AA749C" w:rsidRPr="0097620F" w:rsidRDefault="00AA749C" w:rsidP="00AA749C">
      <w:pPr>
        <w:pStyle w:val="ActHead5"/>
      </w:pPr>
      <w:bookmarkStart w:id="48" w:name="_Toc187396033"/>
      <w:r w:rsidRPr="001F5C7F">
        <w:rPr>
          <w:rStyle w:val="CharSectno"/>
        </w:rPr>
        <w:t>42</w:t>
      </w:r>
      <w:r w:rsidRPr="0097620F">
        <w:t xml:space="preserve">  Division not to affect post</w:t>
      </w:r>
      <w:r w:rsidR="001F5C7F">
        <w:noBreakHyphen/>
      </w:r>
      <w:r w:rsidRPr="0097620F">
        <w:t>commencement long service leave rights</w:t>
      </w:r>
      <w:bookmarkEnd w:id="48"/>
    </w:p>
    <w:p w14:paraId="0A353A54" w14:textId="19EF919E" w:rsidR="00AA749C" w:rsidRPr="0097620F" w:rsidRDefault="00AA749C" w:rsidP="00AA749C">
      <w:pPr>
        <w:pStyle w:val="subsection"/>
      </w:pPr>
      <w:r w:rsidRPr="0097620F">
        <w:tab/>
      </w:r>
      <w:r w:rsidRPr="0097620F">
        <w:tab/>
        <w:t>This Division does not affect an employee’s post</w:t>
      </w:r>
      <w:r w:rsidR="001F5C7F">
        <w:noBreakHyphen/>
      </w:r>
      <w:r w:rsidRPr="0097620F">
        <w:t>commencement long service leave rights.</w:t>
      </w:r>
    </w:p>
    <w:p w14:paraId="370B5E8A" w14:textId="4AF5B794" w:rsidR="00AA749C" w:rsidRPr="0097620F" w:rsidRDefault="00AA749C" w:rsidP="00AA749C">
      <w:pPr>
        <w:pStyle w:val="notetext"/>
      </w:pPr>
      <w:r w:rsidRPr="0097620F">
        <w:t>Note:</w:t>
      </w:r>
      <w:r w:rsidRPr="0097620F">
        <w:tab/>
        <w:t xml:space="preserve">For the meaning of </w:t>
      </w:r>
      <w:r w:rsidRPr="0097620F">
        <w:rPr>
          <w:b/>
          <w:i/>
        </w:rPr>
        <w:t>post</w:t>
      </w:r>
      <w:r w:rsidR="001F5C7F">
        <w:rPr>
          <w:b/>
          <w:i/>
        </w:rPr>
        <w:noBreakHyphen/>
      </w:r>
      <w:r w:rsidRPr="0097620F">
        <w:rPr>
          <w:b/>
          <w:i/>
        </w:rPr>
        <w:t>commencement long service leave rights</w:t>
      </w:r>
      <w:r w:rsidRPr="0097620F">
        <w:t>, see section</w:t>
      </w:r>
      <w:r w:rsidR="0097620F">
        <w:t> </w:t>
      </w:r>
      <w:r w:rsidRPr="0097620F">
        <w:t>4.</w:t>
      </w:r>
    </w:p>
    <w:p w14:paraId="4A36AC8C" w14:textId="77777777" w:rsidR="00AA749C" w:rsidRPr="0097620F" w:rsidRDefault="00AA749C" w:rsidP="00AA749C">
      <w:pPr>
        <w:pStyle w:val="ActHead4"/>
      </w:pPr>
      <w:bookmarkStart w:id="49" w:name="_Toc187396034"/>
      <w:r w:rsidRPr="001F5C7F">
        <w:rPr>
          <w:rStyle w:val="CharSubdNo"/>
        </w:rPr>
        <w:t>Subdivision G</w:t>
      </w:r>
      <w:r w:rsidRPr="0097620F">
        <w:t>—</w:t>
      </w:r>
      <w:r w:rsidRPr="001F5C7F">
        <w:rPr>
          <w:rStyle w:val="CharSubdText"/>
        </w:rPr>
        <w:t>Staff with mobility rights</w:t>
      </w:r>
      <w:bookmarkEnd w:id="49"/>
    </w:p>
    <w:p w14:paraId="2E865D96" w14:textId="77777777" w:rsidR="00AA749C" w:rsidRPr="0097620F" w:rsidRDefault="00AA749C" w:rsidP="00AA749C">
      <w:pPr>
        <w:pStyle w:val="ActHead5"/>
      </w:pPr>
      <w:bookmarkStart w:id="50" w:name="_Toc187396035"/>
      <w:r w:rsidRPr="001F5C7F">
        <w:rPr>
          <w:rStyle w:val="CharSectno"/>
        </w:rPr>
        <w:t>43</w:t>
      </w:r>
      <w:r w:rsidRPr="0097620F">
        <w:t xml:space="preserve">  Cessation of mobility rights</w:t>
      </w:r>
      <w:bookmarkEnd w:id="50"/>
    </w:p>
    <w:p w14:paraId="73C11E74" w14:textId="77777777" w:rsidR="00AA749C" w:rsidRPr="0097620F" w:rsidRDefault="00AA749C" w:rsidP="00AA749C">
      <w:pPr>
        <w:pStyle w:val="subsection"/>
        <w:rPr>
          <w:i/>
        </w:rPr>
      </w:pPr>
      <w:r w:rsidRPr="0097620F">
        <w:tab/>
      </w:r>
      <w:r w:rsidRPr="0097620F">
        <w:tab/>
        <w:t>If a transferred employee had rights under section</w:t>
      </w:r>
      <w:r w:rsidR="0097620F">
        <w:t> </w:t>
      </w:r>
      <w:r w:rsidRPr="0097620F">
        <w:t xml:space="preserve">6 or 7 of the </w:t>
      </w:r>
      <w:r w:rsidRPr="0097620F">
        <w:rPr>
          <w:i/>
        </w:rPr>
        <w:t>Public Employment (Consequential and Transitional) Amendment Act 1999</w:t>
      </w:r>
      <w:r w:rsidRPr="0097620F">
        <w:t xml:space="preserve"> immediately before the transfer day, the employee ceases to have those rights, and ceases to be an APS employee, on the transfer day</w:t>
      </w:r>
      <w:r w:rsidRPr="0097620F">
        <w:rPr>
          <w:i/>
        </w:rPr>
        <w:t>.</w:t>
      </w:r>
    </w:p>
    <w:p w14:paraId="52BA359C" w14:textId="77777777" w:rsidR="00AA749C" w:rsidRPr="0097620F" w:rsidRDefault="00AA749C" w:rsidP="00AA749C">
      <w:pPr>
        <w:pStyle w:val="notetext"/>
      </w:pPr>
      <w:r w:rsidRPr="0097620F">
        <w:t>Note:</w:t>
      </w:r>
      <w:r w:rsidRPr="0097620F">
        <w:tab/>
        <w:t xml:space="preserve">For the meaning of </w:t>
      </w:r>
      <w:r w:rsidRPr="0097620F">
        <w:rPr>
          <w:b/>
          <w:i/>
        </w:rPr>
        <w:t>APS employee</w:t>
      </w:r>
      <w:r w:rsidRPr="0097620F">
        <w:t>, see section</w:t>
      </w:r>
      <w:r w:rsidR="0097620F">
        <w:t> </w:t>
      </w:r>
      <w:r w:rsidRPr="0097620F">
        <w:t>4.</w:t>
      </w:r>
    </w:p>
    <w:p w14:paraId="4CA78A0C" w14:textId="77777777" w:rsidR="00AA749C" w:rsidRPr="0097620F" w:rsidRDefault="00AA749C" w:rsidP="0097620F">
      <w:pPr>
        <w:pStyle w:val="ActHead3"/>
        <w:pageBreakBefore/>
      </w:pPr>
      <w:bookmarkStart w:id="51" w:name="_Toc187396036"/>
      <w:r w:rsidRPr="001F5C7F">
        <w:rPr>
          <w:rStyle w:val="CharDivNo"/>
        </w:rPr>
        <w:lastRenderedPageBreak/>
        <w:t>Division</w:t>
      </w:r>
      <w:r w:rsidR="0097620F" w:rsidRPr="001F5C7F">
        <w:rPr>
          <w:rStyle w:val="CharDivNo"/>
        </w:rPr>
        <w:t> </w:t>
      </w:r>
      <w:r w:rsidRPr="001F5C7F">
        <w:rPr>
          <w:rStyle w:val="CharDivNo"/>
        </w:rPr>
        <w:t>5</w:t>
      </w:r>
      <w:r w:rsidRPr="0097620F">
        <w:t>—</w:t>
      </w:r>
      <w:r w:rsidRPr="001F5C7F">
        <w:rPr>
          <w:rStyle w:val="CharDivText"/>
        </w:rPr>
        <w:t>Transitional period for export controls</w:t>
      </w:r>
      <w:bookmarkEnd w:id="51"/>
    </w:p>
    <w:p w14:paraId="5267C92C" w14:textId="77777777" w:rsidR="00AA749C" w:rsidRPr="0097620F" w:rsidRDefault="00AA749C" w:rsidP="00AA749C">
      <w:pPr>
        <w:pStyle w:val="ActHead5"/>
      </w:pPr>
      <w:bookmarkStart w:id="52" w:name="_Toc187396037"/>
      <w:r w:rsidRPr="001F5C7F">
        <w:rPr>
          <w:rStyle w:val="CharSectno"/>
        </w:rPr>
        <w:t>44</w:t>
      </w:r>
      <w:r w:rsidRPr="0097620F">
        <w:t xml:space="preserve">  Simplified outline</w:t>
      </w:r>
      <w:bookmarkEnd w:id="52"/>
    </w:p>
    <w:p w14:paraId="729D7C84" w14:textId="77777777" w:rsidR="00AA749C" w:rsidRPr="0097620F" w:rsidRDefault="00AA749C" w:rsidP="00AA749C">
      <w:pPr>
        <w:pStyle w:val="subsection"/>
      </w:pPr>
      <w:r w:rsidRPr="0097620F">
        <w:tab/>
      </w:r>
      <w:r w:rsidRPr="0097620F">
        <w:tab/>
        <w:t>The following is a simplified outline of this Division:</w:t>
      </w:r>
    </w:p>
    <w:p w14:paraId="1EBEC47F" w14:textId="77777777" w:rsidR="00AA749C" w:rsidRPr="0097620F" w:rsidRDefault="00AA749C" w:rsidP="00AA749C">
      <w:pPr>
        <w:pStyle w:val="BoxText"/>
      </w:pPr>
      <w:r w:rsidRPr="0097620F">
        <w:t xml:space="preserve">The system of export controls in place under the </w:t>
      </w:r>
      <w:r w:rsidRPr="0097620F">
        <w:rPr>
          <w:i/>
        </w:rPr>
        <w:t>Australian Horticultural Corporation Act 1987</w:t>
      </w:r>
      <w:r w:rsidRPr="0097620F">
        <w:t xml:space="preserve"> is continued after the transfer day for a transitional period (a maximum of 2 years).</w:t>
      </w:r>
    </w:p>
    <w:p w14:paraId="17850F63" w14:textId="77777777" w:rsidR="00AA749C" w:rsidRPr="0097620F" w:rsidRDefault="00AA749C" w:rsidP="00AA749C">
      <w:pPr>
        <w:pStyle w:val="BoxText"/>
      </w:pPr>
      <w:r w:rsidRPr="0097620F">
        <w:t>During the transitional period most of the export control powers that the Australian Horticultural Corporation had can be exercised by the new industry export control body.</w:t>
      </w:r>
    </w:p>
    <w:p w14:paraId="66ABF4DF" w14:textId="77777777" w:rsidR="00AA749C" w:rsidRPr="0097620F" w:rsidRDefault="00AA749C" w:rsidP="00AA749C">
      <w:pPr>
        <w:pStyle w:val="ActHead5"/>
      </w:pPr>
      <w:bookmarkStart w:id="53" w:name="_Toc187396038"/>
      <w:r w:rsidRPr="001F5C7F">
        <w:rPr>
          <w:rStyle w:val="CharSectno"/>
        </w:rPr>
        <w:t>45</w:t>
      </w:r>
      <w:r w:rsidRPr="0097620F">
        <w:t xml:space="preserve">  Continuation of export controls despite repeal of AHC Act</w:t>
      </w:r>
      <w:bookmarkEnd w:id="53"/>
    </w:p>
    <w:p w14:paraId="6DDDF9C8" w14:textId="77777777" w:rsidR="00AA749C" w:rsidRPr="0097620F" w:rsidRDefault="00AA749C" w:rsidP="00AA749C">
      <w:pPr>
        <w:pStyle w:val="subsection"/>
      </w:pPr>
      <w:r w:rsidRPr="0097620F">
        <w:tab/>
        <w:t>(1)</w:t>
      </w:r>
      <w:r w:rsidRPr="0097620F">
        <w:tab/>
        <w:t xml:space="preserve">In spite of the repeal of the </w:t>
      </w:r>
      <w:r w:rsidRPr="0097620F">
        <w:rPr>
          <w:i/>
        </w:rPr>
        <w:t>Australian Horticultural Corporation Act 1987</w:t>
      </w:r>
      <w:r w:rsidRPr="0097620F">
        <w:t xml:space="preserve"> (the </w:t>
      </w:r>
      <w:r w:rsidRPr="0097620F">
        <w:rPr>
          <w:b/>
          <w:i/>
        </w:rPr>
        <w:t>Act</w:t>
      </w:r>
      <w:r w:rsidRPr="0097620F">
        <w:t>):</w:t>
      </w:r>
    </w:p>
    <w:p w14:paraId="77C467A3" w14:textId="77777777" w:rsidR="00AA749C" w:rsidRPr="0097620F" w:rsidRDefault="00AA749C" w:rsidP="00AA749C">
      <w:pPr>
        <w:pStyle w:val="paragraph"/>
      </w:pPr>
      <w:r w:rsidRPr="0097620F">
        <w:tab/>
        <w:t>(a)</w:t>
      </w:r>
      <w:r w:rsidRPr="0097620F">
        <w:tab/>
        <w:t>Part</w:t>
      </w:r>
      <w:r w:rsidR="00C14936" w:rsidRPr="0097620F">
        <w:t> </w:t>
      </w:r>
      <w:r w:rsidRPr="0097620F">
        <w:t>V of the Act continues in force after the repeal; and</w:t>
      </w:r>
    </w:p>
    <w:p w14:paraId="44C8CD54" w14:textId="77777777" w:rsidR="00AA749C" w:rsidRPr="0097620F" w:rsidRDefault="00AA749C" w:rsidP="00AA749C">
      <w:pPr>
        <w:pStyle w:val="paragraph"/>
      </w:pPr>
      <w:r w:rsidRPr="0097620F">
        <w:tab/>
        <w:t>(b)</w:t>
      </w:r>
      <w:r w:rsidRPr="0097620F">
        <w:tab/>
        <w:t>regulations, orders and other instruments made under the Act for the purposes of Part</w:t>
      </w:r>
      <w:r w:rsidR="00C14936" w:rsidRPr="0097620F">
        <w:t> </w:t>
      </w:r>
      <w:r w:rsidRPr="0097620F">
        <w:t>V that were in force immediately before the repeal continue in force.</w:t>
      </w:r>
    </w:p>
    <w:p w14:paraId="6679E5C2" w14:textId="77777777" w:rsidR="00AA749C" w:rsidRPr="0097620F" w:rsidRDefault="00AA749C" w:rsidP="00AA749C">
      <w:pPr>
        <w:pStyle w:val="subsection"/>
      </w:pPr>
      <w:r w:rsidRPr="0097620F">
        <w:tab/>
        <w:t>(2)</w:t>
      </w:r>
      <w:r w:rsidRPr="0097620F">
        <w:tab/>
        <w:t>Any other provision of the Act that is necessary for the effective operation of Part</w:t>
      </w:r>
      <w:r w:rsidR="00C14936" w:rsidRPr="0097620F">
        <w:t> </w:t>
      </w:r>
      <w:r w:rsidRPr="0097620F">
        <w:t xml:space="preserve">V of the Act (as continued in force under </w:t>
      </w:r>
      <w:r w:rsidR="0097620F">
        <w:t>subsection (</w:t>
      </w:r>
      <w:r w:rsidRPr="0097620F">
        <w:t>1)) also continues in force in spite of the repeal but applies only to the extent that it relates to the operation of Part</w:t>
      </w:r>
      <w:r w:rsidR="00C14936" w:rsidRPr="0097620F">
        <w:t> </w:t>
      </w:r>
      <w:r w:rsidRPr="0097620F">
        <w:t>V.</w:t>
      </w:r>
    </w:p>
    <w:p w14:paraId="6D701FF0" w14:textId="77777777" w:rsidR="00AA749C" w:rsidRPr="0097620F" w:rsidRDefault="00AA749C" w:rsidP="00AA749C">
      <w:pPr>
        <w:pStyle w:val="subsection"/>
      </w:pPr>
      <w:r w:rsidRPr="0097620F">
        <w:tab/>
        <w:t>(3)</w:t>
      </w:r>
      <w:r w:rsidRPr="0097620F">
        <w:tab/>
        <w:t xml:space="preserve">Without limiting </w:t>
      </w:r>
      <w:r w:rsidR="0097620F">
        <w:t>subsection (</w:t>
      </w:r>
      <w:r w:rsidRPr="0097620F">
        <w:t>2), sections</w:t>
      </w:r>
      <w:r w:rsidR="0097620F">
        <w:t> </w:t>
      </w:r>
      <w:r w:rsidRPr="0097620F">
        <w:t>121 and 122 of the Act continue in force to the extent that regulations and orders relating to the operation of Part</w:t>
      </w:r>
      <w:r w:rsidR="00C14936" w:rsidRPr="0097620F">
        <w:t> </w:t>
      </w:r>
      <w:r w:rsidRPr="0097620F">
        <w:t>V (including regulations, or orders, amending or repealing earlier regulations or orders) may be made under them.</w:t>
      </w:r>
    </w:p>
    <w:p w14:paraId="01861993" w14:textId="77777777" w:rsidR="00AA749C" w:rsidRPr="0097620F" w:rsidRDefault="00AA749C" w:rsidP="00AA749C">
      <w:pPr>
        <w:pStyle w:val="subsection"/>
      </w:pPr>
      <w:r w:rsidRPr="0097620F">
        <w:tab/>
        <w:t>(4)</w:t>
      </w:r>
      <w:r w:rsidRPr="0097620F">
        <w:tab/>
        <w:t>Chapter</w:t>
      </w:r>
      <w:r w:rsidR="0097620F">
        <w:t> </w:t>
      </w:r>
      <w:r w:rsidRPr="0097620F">
        <w:t>2 (other than Part</w:t>
      </w:r>
      <w:r w:rsidR="0097620F">
        <w:t> </w:t>
      </w:r>
      <w:r w:rsidRPr="0097620F">
        <w:t xml:space="preserve">2.5) of the </w:t>
      </w:r>
      <w:r w:rsidRPr="0097620F">
        <w:rPr>
          <w:i/>
        </w:rPr>
        <w:t>Criminal Code</w:t>
      </w:r>
      <w:r w:rsidRPr="0097620F">
        <w:t xml:space="preserve"> applies to all offences against Part</w:t>
      </w:r>
      <w:r w:rsidR="00C14936" w:rsidRPr="0097620F">
        <w:t> </w:t>
      </w:r>
      <w:r w:rsidRPr="0097620F">
        <w:t>V of the Act.</w:t>
      </w:r>
    </w:p>
    <w:p w14:paraId="108FD8B9" w14:textId="77777777" w:rsidR="00AA749C" w:rsidRPr="0097620F" w:rsidRDefault="00AA749C" w:rsidP="00AA749C">
      <w:pPr>
        <w:pStyle w:val="notetext"/>
      </w:pPr>
      <w:r w:rsidRPr="0097620F">
        <w:lastRenderedPageBreak/>
        <w:t>Note:</w:t>
      </w:r>
      <w:r w:rsidRPr="0097620F">
        <w:tab/>
        <w:t>Chapter</w:t>
      </w:r>
      <w:r w:rsidR="0097620F">
        <w:t> </w:t>
      </w:r>
      <w:r w:rsidRPr="0097620F">
        <w:t xml:space="preserve">2 of the </w:t>
      </w:r>
      <w:r w:rsidRPr="0097620F">
        <w:rPr>
          <w:i/>
        </w:rPr>
        <w:t>Criminal Code</w:t>
      </w:r>
      <w:r w:rsidRPr="0097620F">
        <w:t xml:space="preserve"> sets out the general principles of criminal responsibility.</w:t>
      </w:r>
    </w:p>
    <w:p w14:paraId="7979ED26" w14:textId="77777777" w:rsidR="00AA749C" w:rsidRPr="0097620F" w:rsidRDefault="00AA749C" w:rsidP="00AA749C">
      <w:pPr>
        <w:pStyle w:val="subsection"/>
      </w:pPr>
      <w:r w:rsidRPr="0097620F">
        <w:tab/>
        <w:t>(5)</w:t>
      </w:r>
      <w:r w:rsidRPr="0097620F">
        <w:tab/>
        <w:t>The offences in subsections</w:t>
      </w:r>
      <w:r w:rsidR="0097620F">
        <w:t> </w:t>
      </w:r>
      <w:r w:rsidRPr="0097620F">
        <w:t>118(1) and (2) of the Act are offences of strict liability.</w:t>
      </w:r>
    </w:p>
    <w:p w14:paraId="558BBC22" w14:textId="77777777" w:rsidR="00AA749C" w:rsidRPr="0097620F" w:rsidRDefault="00AA749C" w:rsidP="00AA749C">
      <w:pPr>
        <w:pStyle w:val="notetext"/>
      </w:pPr>
      <w:r w:rsidRPr="0097620F">
        <w:t>Note:</w:t>
      </w:r>
      <w:r w:rsidRPr="0097620F">
        <w:tab/>
        <w:t>For strict liability, see section</w:t>
      </w:r>
      <w:r w:rsidR="0097620F">
        <w:t> </w:t>
      </w:r>
      <w:r w:rsidRPr="0097620F">
        <w:t xml:space="preserve">6.1 of the </w:t>
      </w:r>
      <w:r w:rsidRPr="0097620F">
        <w:rPr>
          <w:i/>
        </w:rPr>
        <w:t>Criminal Code</w:t>
      </w:r>
      <w:r w:rsidRPr="0097620F">
        <w:t>.</w:t>
      </w:r>
    </w:p>
    <w:p w14:paraId="6CBD472E" w14:textId="6F70B436" w:rsidR="00AA749C" w:rsidRPr="0097620F" w:rsidRDefault="00AA749C" w:rsidP="00AA749C">
      <w:pPr>
        <w:pStyle w:val="subsection"/>
      </w:pPr>
      <w:r w:rsidRPr="0097620F">
        <w:tab/>
        <w:t>(6)</w:t>
      </w:r>
      <w:r w:rsidRPr="0097620F">
        <w:tab/>
        <w:t>For the purposes of sub</w:t>
      </w:r>
      <w:r w:rsidR="001F5C7F">
        <w:t>section 1</w:t>
      </w:r>
      <w:r w:rsidRPr="0097620F">
        <w:t>18(2) of the Act, the defendant bears an evidential burden in relation to the matter of whether the defendant has a reasonable excuse.</w:t>
      </w:r>
    </w:p>
    <w:p w14:paraId="34609FF4" w14:textId="119010D6" w:rsidR="00AA749C" w:rsidRPr="0097620F" w:rsidRDefault="00AA749C" w:rsidP="00AA749C">
      <w:pPr>
        <w:pStyle w:val="notetext"/>
      </w:pPr>
      <w:r w:rsidRPr="0097620F">
        <w:t>Note:</w:t>
      </w:r>
      <w:r w:rsidRPr="0097620F">
        <w:tab/>
        <w:t>For evidential burdens, see sub</w:t>
      </w:r>
      <w:r w:rsidR="001F5C7F">
        <w:t>section 1</w:t>
      </w:r>
      <w:r w:rsidRPr="0097620F">
        <w:t xml:space="preserve">3.3(3) of the </w:t>
      </w:r>
      <w:r w:rsidRPr="0097620F">
        <w:rPr>
          <w:i/>
        </w:rPr>
        <w:t>Criminal Code</w:t>
      </w:r>
      <w:r w:rsidRPr="0097620F">
        <w:t>.</w:t>
      </w:r>
    </w:p>
    <w:p w14:paraId="79E5315F" w14:textId="77777777" w:rsidR="00AA749C" w:rsidRPr="0097620F" w:rsidRDefault="00AA749C" w:rsidP="00AA749C">
      <w:pPr>
        <w:pStyle w:val="ActHead5"/>
      </w:pPr>
      <w:bookmarkStart w:id="54" w:name="_Toc187396039"/>
      <w:r w:rsidRPr="001F5C7F">
        <w:rPr>
          <w:rStyle w:val="CharSectno"/>
        </w:rPr>
        <w:t>46</w:t>
      </w:r>
      <w:r w:rsidRPr="0097620F">
        <w:t xml:space="preserve">  References to AHC and Product Board</w:t>
      </w:r>
      <w:bookmarkEnd w:id="54"/>
    </w:p>
    <w:p w14:paraId="68A412A1" w14:textId="77777777" w:rsidR="00AA749C" w:rsidRPr="0097620F" w:rsidRDefault="00AA749C" w:rsidP="00AA749C">
      <w:pPr>
        <w:pStyle w:val="subsection"/>
      </w:pPr>
      <w:r w:rsidRPr="0097620F">
        <w:tab/>
        <w:t>(1)</w:t>
      </w:r>
      <w:r w:rsidRPr="0097620F">
        <w:tab/>
        <w:t>During the transitional period, references to powers, duties or functions of the Corporation or of a Board in Part</w:t>
      </w:r>
      <w:r w:rsidR="00C14936" w:rsidRPr="0097620F">
        <w:t> </w:t>
      </w:r>
      <w:r w:rsidRPr="0097620F">
        <w:t>V of the Act or in an instrument in force under Part</w:t>
      </w:r>
      <w:r w:rsidR="00C14936" w:rsidRPr="0097620F">
        <w:t> </w:t>
      </w:r>
      <w:r w:rsidRPr="0097620F">
        <w:t>V are taken to be references to powers, duties or functions of the industry export control body.</w:t>
      </w:r>
    </w:p>
    <w:p w14:paraId="796B93E9" w14:textId="77777777" w:rsidR="00AA749C" w:rsidRPr="0097620F" w:rsidRDefault="00AA749C" w:rsidP="00AA749C">
      <w:pPr>
        <w:pStyle w:val="notetext"/>
      </w:pPr>
      <w:r w:rsidRPr="0097620F">
        <w:t>Note:</w:t>
      </w:r>
      <w:r w:rsidRPr="0097620F">
        <w:tab/>
        <w:t xml:space="preserve">For </w:t>
      </w:r>
      <w:r w:rsidRPr="0097620F">
        <w:rPr>
          <w:b/>
          <w:i/>
        </w:rPr>
        <w:t>transitional period</w:t>
      </w:r>
      <w:r w:rsidRPr="0097620F">
        <w:t xml:space="preserve"> and </w:t>
      </w:r>
      <w:r w:rsidRPr="0097620F">
        <w:rPr>
          <w:b/>
          <w:i/>
        </w:rPr>
        <w:t>industry export control body</w:t>
      </w:r>
      <w:r w:rsidRPr="0097620F">
        <w:t>, see section</w:t>
      </w:r>
      <w:r w:rsidR="0097620F">
        <w:t> </w:t>
      </w:r>
      <w:r w:rsidRPr="0097620F">
        <w:t>4.</w:t>
      </w:r>
    </w:p>
    <w:p w14:paraId="2F16414A" w14:textId="77777777" w:rsidR="00AA749C" w:rsidRPr="0097620F" w:rsidRDefault="00AA749C" w:rsidP="00AA749C">
      <w:pPr>
        <w:pStyle w:val="subsection"/>
      </w:pPr>
      <w:r w:rsidRPr="0097620F">
        <w:tab/>
        <w:t>(2)</w:t>
      </w:r>
      <w:r w:rsidRPr="0097620F">
        <w:tab/>
        <w:t xml:space="preserve">However, in spite of </w:t>
      </w:r>
      <w:r w:rsidR="0097620F">
        <w:t>subsection (</w:t>
      </w:r>
      <w:r w:rsidRPr="0097620F">
        <w:t>1), the industry export control body does not, during the transitional period, have the power:</w:t>
      </w:r>
    </w:p>
    <w:p w14:paraId="03D3803D" w14:textId="77777777" w:rsidR="00AA749C" w:rsidRPr="0097620F" w:rsidRDefault="00AA749C" w:rsidP="00AA749C">
      <w:pPr>
        <w:pStyle w:val="paragraph"/>
      </w:pPr>
      <w:r w:rsidRPr="0097620F">
        <w:tab/>
        <w:t>(a)</w:t>
      </w:r>
      <w:r w:rsidRPr="0097620F">
        <w:tab/>
        <w:t>to prohibit the export of a product to a specified place unless the export of the product to that place was prohibited immediately before the transfer day; or</w:t>
      </w:r>
    </w:p>
    <w:p w14:paraId="63EB5B28" w14:textId="77777777" w:rsidR="00AA749C" w:rsidRPr="0097620F" w:rsidRDefault="00AA749C" w:rsidP="00AA749C">
      <w:pPr>
        <w:pStyle w:val="paragraph"/>
      </w:pPr>
      <w:r w:rsidRPr="0097620F">
        <w:tab/>
        <w:t>(b)</w:t>
      </w:r>
      <w:r w:rsidRPr="0097620F">
        <w:tab/>
        <w:t>to revoke</w:t>
      </w:r>
      <w:r w:rsidRPr="0097620F">
        <w:rPr>
          <w:i/>
        </w:rPr>
        <w:t xml:space="preserve"> </w:t>
      </w:r>
      <w:r w:rsidRPr="0097620F">
        <w:t>or vary a prohibition of export to a specified place.</w:t>
      </w:r>
    </w:p>
    <w:p w14:paraId="5714F3CF" w14:textId="77777777" w:rsidR="00AA749C" w:rsidRPr="0097620F" w:rsidRDefault="00AA749C" w:rsidP="00AA749C">
      <w:pPr>
        <w:pStyle w:val="notetext"/>
      </w:pPr>
      <w:r w:rsidRPr="0097620F">
        <w:t>Note:</w:t>
      </w:r>
      <w:r w:rsidRPr="0097620F">
        <w:tab/>
        <w:t>The power to prohibit the export of a horticultural product to a specified place is given to the Corporation by regulation</w:t>
      </w:r>
      <w:r w:rsidR="0097620F">
        <w:t> </w:t>
      </w:r>
      <w:r w:rsidRPr="0097620F">
        <w:t>5 of the Australian Horticultural Corporation (Export Control) Regulations</w:t>
      </w:r>
      <w:r w:rsidR="0097620F">
        <w:t> </w:t>
      </w:r>
      <w:r w:rsidRPr="0097620F">
        <w:t>1990.</w:t>
      </w:r>
    </w:p>
    <w:p w14:paraId="59DA23B7" w14:textId="77777777" w:rsidR="00AA749C" w:rsidRPr="0097620F" w:rsidRDefault="00AA749C" w:rsidP="00AA749C">
      <w:pPr>
        <w:pStyle w:val="ActHead5"/>
      </w:pPr>
      <w:bookmarkStart w:id="55" w:name="_Toc187396040"/>
      <w:r w:rsidRPr="001F5C7F">
        <w:rPr>
          <w:rStyle w:val="CharSectno"/>
        </w:rPr>
        <w:t>47</w:t>
      </w:r>
      <w:r w:rsidRPr="0097620F">
        <w:t xml:space="preserve">  Phasing out of export controls under Part</w:t>
      </w:r>
      <w:r w:rsidR="00C14936" w:rsidRPr="0097620F">
        <w:t> </w:t>
      </w:r>
      <w:r w:rsidRPr="0097620F">
        <w:t>V of AHC Act</w:t>
      </w:r>
      <w:bookmarkEnd w:id="55"/>
    </w:p>
    <w:p w14:paraId="20990351" w14:textId="77777777" w:rsidR="00AA749C" w:rsidRPr="0097620F" w:rsidRDefault="00AA749C" w:rsidP="00AA749C">
      <w:pPr>
        <w:pStyle w:val="subsection"/>
      </w:pPr>
      <w:r w:rsidRPr="0097620F">
        <w:tab/>
        <w:t>(1)</w:t>
      </w:r>
      <w:r w:rsidRPr="0097620F">
        <w:tab/>
        <w:t>If:</w:t>
      </w:r>
    </w:p>
    <w:p w14:paraId="2920FA1E" w14:textId="77777777" w:rsidR="00AA749C" w:rsidRPr="0097620F" w:rsidRDefault="00AA749C" w:rsidP="00AA749C">
      <w:pPr>
        <w:pStyle w:val="paragraph"/>
      </w:pPr>
      <w:r w:rsidRPr="0097620F">
        <w:tab/>
        <w:t>(a)</w:t>
      </w:r>
      <w:r w:rsidRPr="0097620F">
        <w:tab/>
        <w:t xml:space="preserve">the export of a horticultural product to a place is prohibited under the Australian Horticultural Corporation (Export </w:t>
      </w:r>
      <w:r w:rsidRPr="0097620F">
        <w:lastRenderedPageBreak/>
        <w:t>Control) Regulations</w:t>
      </w:r>
      <w:r w:rsidR="0097620F">
        <w:t> </w:t>
      </w:r>
      <w:r w:rsidRPr="0097620F">
        <w:t>1990 or the Australian Horticultural Corporation (Dried Fruits Export Control) Regulations</w:t>
      </w:r>
      <w:r w:rsidR="0097620F">
        <w:t> </w:t>
      </w:r>
      <w:r w:rsidRPr="0097620F">
        <w:t>1991; and</w:t>
      </w:r>
    </w:p>
    <w:p w14:paraId="71281382" w14:textId="35247B49" w:rsidR="00AA749C" w:rsidRPr="0097620F" w:rsidRDefault="00AA749C" w:rsidP="00AA749C">
      <w:pPr>
        <w:pStyle w:val="paragraph"/>
      </w:pPr>
      <w:r w:rsidRPr="0097620F">
        <w:tab/>
        <w:t>(b)</w:t>
      </w:r>
      <w:r w:rsidRPr="0097620F">
        <w:tab/>
        <w:t xml:space="preserve">during the transitional period, the product and the place are the subject of an order (the </w:t>
      </w:r>
      <w:r w:rsidRPr="0097620F">
        <w:rPr>
          <w:b/>
          <w:i/>
        </w:rPr>
        <w:t>new order</w:t>
      </w:r>
      <w:r w:rsidRPr="0097620F">
        <w:t xml:space="preserve">) under </w:t>
      </w:r>
      <w:r w:rsidR="001F5C7F">
        <w:t>section 1</w:t>
      </w:r>
      <w:r w:rsidRPr="0097620F">
        <w:t xml:space="preserve">9 of the </w:t>
      </w:r>
      <w:r w:rsidRPr="0097620F">
        <w:rPr>
          <w:i/>
        </w:rPr>
        <w:t>Horticulture Marketing and Research and Development Services Act 2000</w:t>
      </w:r>
      <w:r w:rsidRPr="0097620F">
        <w:t>;</w:t>
      </w:r>
    </w:p>
    <w:p w14:paraId="29814E6D" w14:textId="77777777" w:rsidR="00AA749C" w:rsidRPr="0097620F" w:rsidRDefault="00AA749C" w:rsidP="00AA749C">
      <w:pPr>
        <w:pStyle w:val="subsection2"/>
      </w:pPr>
      <w:r w:rsidRPr="0097620F">
        <w:t>Part</w:t>
      </w:r>
      <w:r w:rsidR="00C14936" w:rsidRPr="0097620F">
        <w:t> </w:t>
      </w:r>
      <w:r w:rsidRPr="0097620F">
        <w:t>V (and any instrument made under, or for the purposes of, Part</w:t>
      </w:r>
      <w:r w:rsidR="00C14936" w:rsidRPr="0097620F">
        <w:t> </w:t>
      </w:r>
      <w:r w:rsidRPr="0097620F">
        <w:t>V) ceases, at the time of the new order, to have effect in relation to the export of that product to that place.</w:t>
      </w:r>
    </w:p>
    <w:p w14:paraId="60AA6A29" w14:textId="77777777" w:rsidR="00AA749C" w:rsidRPr="0097620F" w:rsidRDefault="00AA749C" w:rsidP="00AA749C">
      <w:pPr>
        <w:pStyle w:val="subsection"/>
      </w:pPr>
      <w:r w:rsidRPr="0097620F">
        <w:tab/>
        <w:t>(2)</w:t>
      </w:r>
      <w:r w:rsidRPr="0097620F">
        <w:tab/>
        <w:t>If, at the end of the transitional period, Part</w:t>
      </w:r>
      <w:r w:rsidR="00C14936" w:rsidRPr="0097620F">
        <w:t> </w:t>
      </w:r>
      <w:r w:rsidRPr="0097620F">
        <w:t>V of the Act still has effect in relation to any horticultural product, it (and any instrument made under, or for the purposes of, Part</w:t>
      </w:r>
      <w:r w:rsidR="00C14936" w:rsidRPr="0097620F">
        <w:t> </w:t>
      </w:r>
      <w:r w:rsidRPr="0097620F">
        <w:t>V) ceases to have effect immediately after the end of the transitional period.</w:t>
      </w:r>
    </w:p>
    <w:p w14:paraId="04B79A70" w14:textId="77777777" w:rsidR="00AA749C" w:rsidRPr="0097620F" w:rsidRDefault="00AA749C" w:rsidP="0097620F">
      <w:pPr>
        <w:pStyle w:val="ActHead3"/>
        <w:pageBreakBefore/>
      </w:pPr>
      <w:bookmarkStart w:id="56" w:name="_Toc187396041"/>
      <w:r w:rsidRPr="001F5C7F">
        <w:rPr>
          <w:rStyle w:val="CharDivNo"/>
        </w:rPr>
        <w:lastRenderedPageBreak/>
        <w:t>Division</w:t>
      </w:r>
      <w:r w:rsidR="0097620F" w:rsidRPr="001F5C7F">
        <w:rPr>
          <w:rStyle w:val="CharDivNo"/>
        </w:rPr>
        <w:t> </w:t>
      </w:r>
      <w:r w:rsidRPr="001F5C7F">
        <w:rPr>
          <w:rStyle w:val="CharDivNo"/>
        </w:rPr>
        <w:t>6</w:t>
      </w:r>
      <w:r w:rsidRPr="0097620F">
        <w:t>—</w:t>
      </w:r>
      <w:r w:rsidRPr="001F5C7F">
        <w:rPr>
          <w:rStyle w:val="CharDivText"/>
        </w:rPr>
        <w:t>Final annual reports</w:t>
      </w:r>
      <w:bookmarkEnd w:id="56"/>
    </w:p>
    <w:p w14:paraId="12AC719D" w14:textId="77777777" w:rsidR="00AA749C" w:rsidRPr="0097620F" w:rsidRDefault="00AA749C" w:rsidP="00AA749C">
      <w:pPr>
        <w:pStyle w:val="ActHead5"/>
      </w:pPr>
      <w:bookmarkStart w:id="57" w:name="_Toc187396042"/>
      <w:r w:rsidRPr="001F5C7F">
        <w:rPr>
          <w:rStyle w:val="CharSectno"/>
        </w:rPr>
        <w:t>48</w:t>
      </w:r>
      <w:r w:rsidRPr="0097620F">
        <w:t xml:space="preserve">  Simplified outline</w:t>
      </w:r>
      <w:bookmarkEnd w:id="57"/>
    </w:p>
    <w:p w14:paraId="7C8F4CFA" w14:textId="77777777" w:rsidR="00AA749C" w:rsidRPr="0097620F" w:rsidRDefault="00AA749C" w:rsidP="00AA749C">
      <w:pPr>
        <w:pStyle w:val="subsection"/>
      </w:pPr>
      <w:r w:rsidRPr="0097620F">
        <w:tab/>
      </w:r>
      <w:r w:rsidRPr="0097620F">
        <w:tab/>
        <w:t>The following is a simplified outline of this Division:</w:t>
      </w:r>
    </w:p>
    <w:p w14:paraId="208914D3" w14:textId="77777777" w:rsidR="00AA749C" w:rsidRPr="0097620F" w:rsidRDefault="00AA749C" w:rsidP="00AA749C">
      <w:pPr>
        <w:pStyle w:val="BoxText"/>
      </w:pPr>
      <w:r w:rsidRPr="0097620F">
        <w:t>Each of the 3 statutory authorities must produce a final annual report covering the authority’s operations and financial status up to the transfer day.</w:t>
      </w:r>
    </w:p>
    <w:p w14:paraId="45F09BD3" w14:textId="77777777" w:rsidR="00AA749C" w:rsidRPr="0097620F" w:rsidRDefault="00AA749C" w:rsidP="00AA749C">
      <w:pPr>
        <w:pStyle w:val="ActHead5"/>
      </w:pPr>
      <w:bookmarkStart w:id="58" w:name="_Toc187396043"/>
      <w:r w:rsidRPr="001F5C7F">
        <w:rPr>
          <w:rStyle w:val="CharSectno"/>
        </w:rPr>
        <w:t>49</w:t>
      </w:r>
      <w:r w:rsidRPr="0097620F">
        <w:t xml:space="preserve">  Final annual report: Australian Horticultural Corporation</w:t>
      </w:r>
      <w:bookmarkEnd w:id="58"/>
    </w:p>
    <w:p w14:paraId="3A96B7D5" w14:textId="77777777" w:rsidR="00AA749C" w:rsidRPr="0097620F" w:rsidRDefault="00AA749C" w:rsidP="00AA749C">
      <w:pPr>
        <w:pStyle w:val="subsection"/>
      </w:pPr>
      <w:r w:rsidRPr="0097620F">
        <w:tab/>
        <w:t>(1)</w:t>
      </w:r>
      <w:r w:rsidRPr="0097620F">
        <w:tab/>
        <w:t xml:space="preserve">In spite of the repeal of the </w:t>
      </w:r>
      <w:r w:rsidRPr="0097620F">
        <w:rPr>
          <w:i/>
        </w:rPr>
        <w:t>Australian Horticultural Corporation Act 1987</w:t>
      </w:r>
      <w:r w:rsidRPr="0097620F">
        <w:t>:</w:t>
      </w:r>
    </w:p>
    <w:p w14:paraId="43173979" w14:textId="4E2707EF" w:rsidR="00AA749C" w:rsidRPr="0097620F" w:rsidRDefault="00AA749C" w:rsidP="00AA749C">
      <w:pPr>
        <w:pStyle w:val="paragraph"/>
      </w:pPr>
      <w:r w:rsidRPr="0097620F">
        <w:tab/>
        <w:t>(a)</w:t>
      </w:r>
      <w:r w:rsidRPr="0097620F">
        <w:tab/>
        <w:t>the Australian Horticultural Corporation continues in existence for the purpose of giving the Minister the report required under section</w:t>
      </w:r>
      <w:r w:rsidR="0097620F">
        <w:t> </w:t>
      </w:r>
      <w:r w:rsidRPr="0097620F">
        <w:t xml:space="preserve">9 of the </w:t>
      </w:r>
      <w:r w:rsidRPr="0097620F">
        <w:rPr>
          <w:i/>
        </w:rPr>
        <w:t xml:space="preserve">Commonwealth Authorities and Companies Act 1997 </w:t>
      </w:r>
      <w:r w:rsidRPr="0097620F">
        <w:t xml:space="preserve">in relation to the period starting on the last </w:t>
      </w:r>
      <w:r w:rsidR="001F5C7F">
        <w:t>1 July</w:t>
      </w:r>
      <w:r w:rsidRPr="0097620F">
        <w:t xml:space="preserve"> before the transfer day and ending on the transfer day; and</w:t>
      </w:r>
    </w:p>
    <w:p w14:paraId="6D04C1A7" w14:textId="77777777" w:rsidR="00AA749C" w:rsidRPr="0097620F" w:rsidRDefault="00AA749C" w:rsidP="00AA749C">
      <w:pPr>
        <w:pStyle w:val="paragraph"/>
      </w:pPr>
      <w:r w:rsidRPr="0097620F">
        <w:tab/>
        <w:t>(b)</w:t>
      </w:r>
      <w:r w:rsidRPr="0097620F">
        <w:tab/>
        <w:t>for that purpose, the membership of the Corporation immediately before the transfer day is taken to be the same on and after the transfer day.</w:t>
      </w:r>
    </w:p>
    <w:p w14:paraId="6A8616AE" w14:textId="77777777" w:rsidR="00AA749C" w:rsidRPr="0097620F" w:rsidRDefault="00AA749C" w:rsidP="00AA749C">
      <w:pPr>
        <w:pStyle w:val="subsection"/>
      </w:pPr>
      <w:r w:rsidRPr="0097620F">
        <w:tab/>
        <w:t>(2)</w:t>
      </w:r>
      <w:r w:rsidRPr="0097620F">
        <w:tab/>
        <w:t>For the purposes of the application of section</w:t>
      </w:r>
      <w:r w:rsidR="0097620F">
        <w:t> </w:t>
      </w:r>
      <w:r w:rsidRPr="0097620F">
        <w:t xml:space="preserve">9 of the </w:t>
      </w:r>
      <w:r w:rsidRPr="0097620F">
        <w:rPr>
          <w:i/>
        </w:rPr>
        <w:t>Commonwealth Authorities and Companies Act 1997</w:t>
      </w:r>
      <w:r w:rsidRPr="0097620F">
        <w:t xml:space="preserve"> to the report referred to in </w:t>
      </w:r>
      <w:r w:rsidR="0097620F">
        <w:t>subsection (</w:t>
      </w:r>
      <w:r w:rsidRPr="0097620F">
        <w:t>1):</w:t>
      </w:r>
    </w:p>
    <w:p w14:paraId="35210A85" w14:textId="1A16557C" w:rsidR="00AA749C" w:rsidRPr="0097620F" w:rsidRDefault="00AA749C" w:rsidP="00AA749C">
      <w:pPr>
        <w:pStyle w:val="paragraph"/>
      </w:pPr>
      <w:r w:rsidRPr="0097620F">
        <w:tab/>
        <w:t>(a)</w:t>
      </w:r>
      <w:r w:rsidRPr="0097620F">
        <w:tab/>
        <w:t xml:space="preserve">the period starting on the last </w:t>
      </w:r>
      <w:r w:rsidR="001F5C7F">
        <w:t>1 July</w:t>
      </w:r>
      <w:r w:rsidRPr="0097620F">
        <w:t xml:space="preserve"> before the transfer day and ending on the transfer day is taken to be a financial year; and</w:t>
      </w:r>
    </w:p>
    <w:p w14:paraId="4F9D6D14" w14:textId="77777777" w:rsidR="00AA749C" w:rsidRPr="0097620F" w:rsidRDefault="00AA749C" w:rsidP="00AA749C">
      <w:pPr>
        <w:pStyle w:val="paragraph"/>
      </w:pPr>
      <w:r w:rsidRPr="0097620F">
        <w:tab/>
        <w:t>(b)</w:t>
      </w:r>
      <w:r w:rsidRPr="0097620F">
        <w:tab/>
        <w:t xml:space="preserve">the </w:t>
      </w:r>
      <w:r w:rsidRPr="0097620F">
        <w:rPr>
          <w:i/>
        </w:rPr>
        <w:t>Australian Horticultural Corporation Act 1987</w:t>
      </w:r>
      <w:r w:rsidRPr="0097620F">
        <w:t xml:space="preserve"> continues to have effect as if it had not been repealed.</w:t>
      </w:r>
    </w:p>
    <w:p w14:paraId="656E6D28" w14:textId="77777777" w:rsidR="00AA749C" w:rsidRPr="0097620F" w:rsidRDefault="00AA749C" w:rsidP="00AA749C">
      <w:pPr>
        <w:pStyle w:val="ActHead5"/>
      </w:pPr>
      <w:bookmarkStart w:id="59" w:name="_Toc187396044"/>
      <w:r w:rsidRPr="001F5C7F">
        <w:rPr>
          <w:rStyle w:val="CharSectno"/>
        </w:rPr>
        <w:lastRenderedPageBreak/>
        <w:t>50</w:t>
      </w:r>
      <w:r w:rsidRPr="0097620F">
        <w:t xml:space="preserve">  Final annual report: Australian Dried Fruits Board</w:t>
      </w:r>
      <w:bookmarkEnd w:id="59"/>
    </w:p>
    <w:p w14:paraId="585E9004" w14:textId="77777777" w:rsidR="00AA749C" w:rsidRPr="0097620F" w:rsidRDefault="00AA749C" w:rsidP="00AA749C">
      <w:pPr>
        <w:pStyle w:val="subsection"/>
      </w:pPr>
      <w:r w:rsidRPr="0097620F">
        <w:tab/>
        <w:t>(1)</w:t>
      </w:r>
      <w:r w:rsidRPr="0097620F">
        <w:tab/>
        <w:t xml:space="preserve">In spite of the repeal of the </w:t>
      </w:r>
      <w:r w:rsidRPr="0097620F">
        <w:rPr>
          <w:i/>
        </w:rPr>
        <w:t>Australian Horticultural Corporation Act 1987</w:t>
      </w:r>
      <w:r w:rsidRPr="0097620F">
        <w:t>:</w:t>
      </w:r>
    </w:p>
    <w:p w14:paraId="3EC7C64A" w14:textId="006329BB" w:rsidR="00AA749C" w:rsidRPr="0097620F" w:rsidRDefault="00AA749C" w:rsidP="00AA749C">
      <w:pPr>
        <w:pStyle w:val="paragraph"/>
      </w:pPr>
      <w:r w:rsidRPr="0097620F">
        <w:tab/>
        <w:t>(a)</w:t>
      </w:r>
      <w:r w:rsidRPr="0097620F">
        <w:tab/>
        <w:t>the Australian Dried Fruits Board continues in existence for the purpose of giving the Minister the report required under section</w:t>
      </w:r>
      <w:r w:rsidR="0097620F">
        <w:t> </w:t>
      </w:r>
      <w:r w:rsidRPr="0097620F">
        <w:t xml:space="preserve">9 of the </w:t>
      </w:r>
      <w:r w:rsidRPr="0097620F">
        <w:rPr>
          <w:i/>
        </w:rPr>
        <w:t xml:space="preserve">Commonwealth Authorities and Companies Act 1997 </w:t>
      </w:r>
      <w:r w:rsidRPr="0097620F">
        <w:t xml:space="preserve">in relation to the period starting on the last </w:t>
      </w:r>
      <w:r w:rsidR="001F5C7F">
        <w:t>1 July</w:t>
      </w:r>
      <w:r w:rsidRPr="0097620F">
        <w:t xml:space="preserve"> before the transfer day and ending on the transfer day; and</w:t>
      </w:r>
    </w:p>
    <w:p w14:paraId="110EE0C0" w14:textId="77777777" w:rsidR="00AA749C" w:rsidRPr="0097620F" w:rsidRDefault="00AA749C" w:rsidP="00AA749C">
      <w:pPr>
        <w:pStyle w:val="paragraph"/>
      </w:pPr>
      <w:r w:rsidRPr="0097620F">
        <w:tab/>
        <w:t>(b)</w:t>
      </w:r>
      <w:r w:rsidRPr="0097620F">
        <w:tab/>
        <w:t>for that purpose, the membership of the Board immediately before the transfer day is taken to be the same on and after the transfer day.</w:t>
      </w:r>
    </w:p>
    <w:p w14:paraId="02D0CD64" w14:textId="77777777" w:rsidR="00AA749C" w:rsidRPr="0097620F" w:rsidRDefault="00AA749C" w:rsidP="00AA749C">
      <w:pPr>
        <w:pStyle w:val="subsection"/>
      </w:pPr>
      <w:r w:rsidRPr="0097620F">
        <w:tab/>
        <w:t>(2)</w:t>
      </w:r>
      <w:r w:rsidRPr="0097620F">
        <w:tab/>
        <w:t>For the purposes of the application of section</w:t>
      </w:r>
      <w:r w:rsidR="0097620F">
        <w:t> </w:t>
      </w:r>
      <w:r w:rsidRPr="0097620F">
        <w:t xml:space="preserve">9 of the </w:t>
      </w:r>
      <w:r w:rsidRPr="0097620F">
        <w:rPr>
          <w:i/>
        </w:rPr>
        <w:t>Commonwealth Authorities and Companies Act 1997</w:t>
      </w:r>
      <w:r w:rsidRPr="0097620F">
        <w:t xml:space="preserve"> to the report referred to in </w:t>
      </w:r>
      <w:r w:rsidR="0097620F">
        <w:t>subsection (</w:t>
      </w:r>
      <w:r w:rsidRPr="0097620F">
        <w:t>1):</w:t>
      </w:r>
    </w:p>
    <w:p w14:paraId="1F642C2E" w14:textId="1ED42FF1" w:rsidR="00AA749C" w:rsidRPr="0097620F" w:rsidRDefault="00AA749C" w:rsidP="00AA749C">
      <w:pPr>
        <w:pStyle w:val="paragraph"/>
      </w:pPr>
      <w:r w:rsidRPr="0097620F">
        <w:tab/>
        <w:t>(a)</w:t>
      </w:r>
      <w:r w:rsidRPr="0097620F">
        <w:tab/>
        <w:t xml:space="preserve">the period starting on the last </w:t>
      </w:r>
      <w:r w:rsidR="001F5C7F">
        <w:t>1 July</w:t>
      </w:r>
      <w:r w:rsidRPr="0097620F">
        <w:t xml:space="preserve"> before the transfer day and ending on the transfer day is taken to be a financial year; and</w:t>
      </w:r>
    </w:p>
    <w:p w14:paraId="60FF92B0" w14:textId="77777777" w:rsidR="00AA749C" w:rsidRPr="0097620F" w:rsidRDefault="00AA749C" w:rsidP="00AA749C">
      <w:pPr>
        <w:pStyle w:val="paragraph"/>
      </w:pPr>
      <w:r w:rsidRPr="0097620F">
        <w:tab/>
        <w:t>(b)</w:t>
      </w:r>
      <w:r w:rsidRPr="0097620F">
        <w:tab/>
        <w:t xml:space="preserve">the </w:t>
      </w:r>
      <w:r w:rsidRPr="0097620F">
        <w:rPr>
          <w:i/>
        </w:rPr>
        <w:t>Australian Horticultural Corporation Act 1987</w:t>
      </w:r>
      <w:r w:rsidRPr="0097620F">
        <w:t xml:space="preserve"> continues to have effect as if it had not been repealed; and</w:t>
      </w:r>
    </w:p>
    <w:p w14:paraId="47AB60B3" w14:textId="77777777" w:rsidR="00AA749C" w:rsidRPr="0097620F" w:rsidRDefault="00AA749C" w:rsidP="00AA749C">
      <w:pPr>
        <w:pStyle w:val="paragraph"/>
      </w:pPr>
      <w:r w:rsidRPr="0097620F">
        <w:tab/>
        <w:t>(c)</w:t>
      </w:r>
      <w:r w:rsidRPr="0097620F">
        <w:tab/>
        <w:t>the reference in paragraph</w:t>
      </w:r>
      <w:r w:rsidR="0097620F">
        <w:t> </w:t>
      </w:r>
      <w:r w:rsidRPr="0097620F">
        <w:t>101A(b) of that Act to 31</w:t>
      </w:r>
      <w:r w:rsidR="0097620F">
        <w:t> </w:t>
      </w:r>
      <w:r w:rsidRPr="0097620F">
        <w:t>August after the end of the financial year is taken to be a reference to the day occurring 8 weeks after the transfer day; and</w:t>
      </w:r>
    </w:p>
    <w:p w14:paraId="14A9890C" w14:textId="77777777" w:rsidR="00AA749C" w:rsidRPr="0097620F" w:rsidRDefault="00AA749C" w:rsidP="00AA749C">
      <w:pPr>
        <w:pStyle w:val="paragraph"/>
      </w:pPr>
      <w:r w:rsidRPr="0097620F">
        <w:tab/>
        <w:t>(d)</w:t>
      </w:r>
      <w:r w:rsidRPr="0097620F">
        <w:tab/>
        <w:t>the reference in subsection</w:t>
      </w:r>
      <w:r w:rsidR="0097620F">
        <w:t> </w:t>
      </w:r>
      <w:r w:rsidRPr="0097620F">
        <w:t>30A(1) of that Act to 15</w:t>
      </w:r>
      <w:r w:rsidR="0097620F">
        <w:t> </w:t>
      </w:r>
      <w:r w:rsidRPr="0097620F">
        <w:t>October after the end of each financial year is taken to be a reference to the day occurring 14 weeks after the transfer day.</w:t>
      </w:r>
    </w:p>
    <w:p w14:paraId="46FB58EA" w14:textId="77777777" w:rsidR="00AA749C" w:rsidRPr="0097620F" w:rsidRDefault="00AA749C" w:rsidP="00AA749C">
      <w:pPr>
        <w:pStyle w:val="ActHead5"/>
      </w:pPr>
      <w:bookmarkStart w:id="60" w:name="_Toc187396045"/>
      <w:r w:rsidRPr="001F5C7F">
        <w:rPr>
          <w:rStyle w:val="CharSectno"/>
        </w:rPr>
        <w:t>51</w:t>
      </w:r>
      <w:r w:rsidRPr="0097620F">
        <w:t xml:space="preserve">  Final annual report: Horticultural Research and Development Corporation</w:t>
      </w:r>
      <w:bookmarkEnd w:id="60"/>
    </w:p>
    <w:p w14:paraId="338EF4C1" w14:textId="77777777" w:rsidR="00AA749C" w:rsidRPr="0097620F" w:rsidRDefault="00AA749C" w:rsidP="00AA749C">
      <w:pPr>
        <w:pStyle w:val="subsection"/>
      </w:pPr>
      <w:r w:rsidRPr="0097620F">
        <w:tab/>
        <w:t>(1)</w:t>
      </w:r>
      <w:r w:rsidRPr="0097620F">
        <w:tab/>
        <w:t xml:space="preserve">In spite of the repeal of the </w:t>
      </w:r>
      <w:r w:rsidRPr="0097620F">
        <w:rPr>
          <w:i/>
        </w:rPr>
        <w:t>Horticultural Research and Development Corporation Act 1987</w:t>
      </w:r>
      <w:r w:rsidRPr="0097620F">
        <w:t>:</w:t>
      </w:r>
    </w:p>
    <w:p w14:paraId="0E507199" w14:textId="27EAA8E8" w:rsidR="00AA749C" w:rsidRPr="0097620F" w:rsidRDefault="00AA749C" w:rsidP="00AA749C">
      <w:pPr>
        <w:pStyle w:val="paragraph"/>
      </w:pPr>
      <w:r w:rsidRPr="0097620F">
        <w:tab/>
        <w:t>(a)</w:t>
      </w:r>
      <w:r w:rsidRPr="0097620F">
        <w:tab/>
        <w:t>the Horticultural Research and Development Corporation continues in existence for the purpose of giving the Minister the report required under section</w:t>
      </w:r>
      <w:r w:rsidR="0097620F">
        <w:t> </w:t>
      </w:r>
      <w:r w:rsidRPr="0097620F">
        <w:t xml:space="preserve">9 of the </w:t>
      </w:r>
      <w:r w:rsidRPr="0097620F">
        <w:rPr>
          <w:i/>
        </w:rPr>
        <w:t xml:space="preserve">Commonwealth </w:t>
      </w:r>
      <w:r w:rsidRPr="0097620F">
        <w:rPr>
          <w:i/>
        </w:rPr>
        <w:lastRenderedPageBreak/>
        <w:t xml:space="preserve">Authorities and Companies Act 1997 </w:t>
      </w:r>
      <w:r w:rsidRPr="0097620F">
        <w:t xml:space="preserve">in relation to the period starting on the last </w:t>
      </w:r>
      <w:r w:rsidR="001F5C7F">
        <w:t>1 July</w:t>
      </w:r>
      <w:r w:rsidRPr="0097620F">
        <w:t xml:space="preserve"> before the transfer day and ending on the transfer day; and</w:t>
      </w:r>
    </w:p>
    <w:p w14:paraId="3F22BA1F" w14:textId="77777777" w:rsidR="00AA749C" w:rsidRPr="0097620F" w:rsidRDefault="00AA749C" w:rsidP="00AA749C">
      <w:pPr>
        <w:pStyle w:val="paragraph"/>
      </w:pPr>
      <w:r w:rsidRPr="0097620F">
        <w:tab/>
        <w:t>(b)</w:t>
      </w:r>
      <w:r w:rsidRPr="0097620F">
        <w:tab/>
        <w:t>for that purpose, the membership of the Corporation immediately before the transfer day is taken to be the same on and after the transfer day.</w:t>
      </w:r>
    </w:p>
    <w:p w14:paraId="324B124D" w14:textId="77777777" w:rsidR="00AA749C" w:rsidRPr="0097620F" w:rsidRDefault="00AA749C" w:rsidP="00AA749C">
      <w:pPr>
        <w:pStyle w:val="subsection"/>
      </w:pPr>
      <w:r w:rsidRPr="0097620F">
        <w:tab/>
        <w:t>(2)</w:t>
      </w:r>
      <w:r w:rsidRPr="0097620F">
        <w:tab/>
        <w:t>For the purposes of the application of section</w:t>
      </w:r>
      <w:r w:rsidR="0097620F">
        <w:t> </w:t>
      </w:r>
      <w:r w:rsidRPr="0097620F">
        <w:t xml:space="preserve">9 of the </w:t>
      </w:r>
      <w:r w:rsidRPr="0097620F">
        <w:rPr>
          <w:i/>
        </w:rPr>
        <w:t>Commonwealth Authorities and Companies Act 1997</w:t>
      </w:r>
      <w:r w:rsidRPr="0097620F">
        <w:t xml:space="preserve"> to the report referred to in </w:t>
      </w:r>
      <w:r w:rsidR="0097620F">
        <w:t>subsection (</w:t>
      </w:r>
      <w:r w:rsidRPr="0097620F">
        <w:t>1):</w:t>
      </w:r>
    </w:p>
    <w:p w14:paraId="0509E20D" w14:textId="75CDB655" w:rsidR="00AA749C" w:rsidRPr="0097620F" w:rsidRDefault="00AA749C" w:rsidP="00AA749C">
      <w:pPr>
        <w:pStyle w:val="paragraph"/>
      </w:pPr>
      <w:r w:rsidRPr="0097620F">
        <w:tab/>
        <w:t>(a)</w:t>
      </w:r>
      <w:r w:rsidRPr="0097620F">
        <w:tab/>
        <w:t xml:space="preserve">the period starting on the last </w:t>
      </w:r>
      <w:r w:rsidR="001F5C7F">
        <w:t>1 July</w:t>
      </w:r>
      <w:r w:rsidRPr="0097620F">
        <w:t xml:space="preserve"> before the transfer day and ending on the transfer day is taken to be a financial year; and</w:t>
      </w:r>
    </w:p>
    <w:p w14:paraId="6731CA89" w14:textId="77777777" w:rsidR="00AA749C" w:rsidRPr="0097620F" w:rsidRDefault="00AA749C" w:rsidP="00AA749C">
      <w:pPr>
        <w:pStyle w:val="paragraph"/>
      </w:pPr>
      <w:r w:rsidRPr="0097620F">
        <w:tab/>
        <w:t>(b)</w:t>
      </w:r>
      <w:r w:rsidRPr="0097620F">
        <w:tab/>
        <w:t xml:space="preserve">the </w:t>
      </w:r>
      <w:r w:rsidRPr="0097620F">
        <w:rPr>
          <w:i/>
        </w:rPr>
        <w:t>Australian Horticultural Research and Development Corporation Act 1987</w:t>
      </w:r>
      <w:r w:rsidRPr="0097620F">
        <w:t xml:space="preserve"> continues to have effect as if it had not been repealed.</w:t>
      </w:r>
    </w:p>
    <w:p w14:paraId="7C33E459" w14:textId="77777777" w:rsidR="00AA749C" w:rsidRPr="0097620F" w:rsidRDefault="00AA749C" w:rsidP="0097620F">
      <w:pPr>
        <w:pStyle w:val="ActHead3"/>
        <w:pageBreakBefore/>
      </w:pPr>
      <w:bookmarkStart w:id="61" w:name="_Toc187396046"/>
      <w:r w:rsidRPr="001F5C7F">
        <w:rPr>
          <w:rStyle w:val="CharDivNo"/>
        </w:rPr>
        <w:lastRenderedPageBreak/>
        <w:t>Division</w:t>
      </w:r>
      <w:r w:rsidR="0097620F" w:rsidRPr="001F5C7F">
        <w:rPr>
          <w:rStyle w:val="CharDivNo"/>
        </w:rPr>
        <w:t> </w:t>
      </w:r>
      <w:r w:rsidRPr="001F5C7F">
        <w:rPr>
          <w:rStyle w:val="CharDivNo"/>
        </w:rPr>
        <w:t>7</w:t>
      </w:r>
      <w:r w:rsidRPr="0097620F">
        <w:t>—</w:t>
      </w:r>
      <w:r w:rsidRPr="001F5C7F">
        <w:rPr>
          <w:rStyle w:val="CharDivText"/>
        </w:rPr>
        <w:t>Miscellaneous</w:t>
      </w:r>
      <w:bookmarkEnd w:id="61"/>
    </w:p>
    <w:p w14:paraId="6DCC30D3" w14:textId="77777777" w:rsidR="00AA749C" w:rsidRPr="0097620F" w:rsidRDefault="00AA749C" w:rsidP="00AA749C">
      <w:pPr>
        <w:pStyle w:val="ActHead5"/>
      </w:pPr>
      <w:bookmarkStart w:id="62" w:name="_Toc187396047"/>
      <w:r w:rsidRPr="001F5C7F">
        <w:rPr>
          <w:rStyle w:val="CharSectno"/>
        </w:rPr>
        <w:t>52</w:t>
      </w:r>
      <w:r w:rsidRPr="0097620F">
        <w:t xml:space="preserve">  Delegation of Secretary’s powers</w:t>
      </w:r>
      <w:bookmarkEnd w:id="62"/>
    </w:p>
    <w:p w14:paraId="4D7A10A7" w14:textId="77777777" w:rsidR="00AA749C" w:rsidRPr="0097620F" w:rsidRDefault="00AA749C" w:rsidP="00AA749C">
      <w:pPr>
        <w:pStyle w:val="subsection"/>
      </w:pPr>
      <w:r w:rsidRPr="0097620F">
        <w:tab/>
      </w:r>
      <w:r w:rsidRPr="0097620F">
        <w:tab/>
        <w:t>The Secretary may delegate all or any of the Secretary’s powers under this Act, the regulations or orders to an APS employee in the Department who has appropriate skills or experience. The delegation must be in writing.</w:t>
      </w:r>
    </w:p>
    <w:p w14:paraId="5EDDB633" w14:textId="77777777" w:rsidR="00AA749C" w:rsidRPr="0097620F" w:rsidRDefault="00AA749C" w:rsidP="00AA749C">
      <w:pPr>
        <w:pStyle w:val="notetext"/>
      </w:pPr>
      <w:r w:rsidRPr="0097620F">
        <w:t>Note:</w:t>
      </w:r>
      <w:r w:rsidRPr="0097620F">
        <w:tab/>
        <w:t xml:space="preserve">For the meaning of </w:t>
      </w:r>
      <w:r w:rsidRPr="0097620F">
        <w:rPr>
          <w:b/>
          <w:i/>
        </w:rPr>
        <w:t>APS employee</w:t>
      </w:r>
      <w:r w:rsidRPr="0097620F">
        <w:t>, see section</w:t>
      </w:r>
      <w:r w:rsidR="0097620F">
        <w:t> </w:t>
      </w:r>
      <w:r w:rsidRPr="0097620F">
        <w:t>4.</w:t>
      </w:r>
    </w:p>
    <w:p w14:paraId="7AA3B311" w14:textId="77777777" w:rsidR="00AA749C" w:rsidRPr="0097620F" w:rsidRDefault="00AA749C" w:rsidP="00AA749C">
      <w:pPr>
        <w:pStyle w:val="ActHead5"/>
      </w:pPr>
      <w:bookmarkStart w:id="63" w:name="_Toc187396048"/>
      <w:r w:rsidRPr="001F5C7F">
        <w:rPr>
          <w:rStyle w:val="CharSectno"/>
        </w:rPr>
        <w:t>53</w:t>
      </w:r>
      <w:r w:rsidRPr="0097620F">
        <w:t xml:space="preserve">  Compensation for acquisition of property</w:t>
      </w:r>
      <w:bookmarkEnd w:id="63"/>
    </w:p>
    <w:p w14:paraId="75198CA2" w14:textId="77777777" w:rsidR="00AA749C" w:rsidRPr="0097620F" w:rsidRDefault="00AA749C" w:rsidP="00AA749C">
      <w:pPr>
        <w:pStyle w:val="subsection"/>
      </w:pPr>
      <w:r w:rsidRPr="0097620F">
        <w:tab/>
        <w:t>(1)</w:t>
      </w:r>
      <w:r w:rsidRPr="0097620F">
        <w:tab/>
        <w:t>If:</w:t>
      </w:r>
    </w:p>
    <w:p w14:paraId="70350D9F" w14:textId="77777777" w:rsidR="00AA749C" w:rsidRPr="0097620F" w:rsidRDefault="00AA749C" w:rsidP="00AA749C">
      <w:pPr>
        <w:pStyle w:val="paragraph"/>
      </w:pPr>
      <w:r w:rsidRPr="0097620F">
        <w:tab/>
        <w:t>(a)</w:t>
      </w:r>
      <w:r w:rsidRPr="0097620F">
        <w:tab/>
        <w:t>apart from this section, the operation of this Act would result in the acquisition of property from a person otherwise than on just terms; and</w:t>
      </w:r>
    </w:p>
    <w:p w14:paraId="3E5886D2" w14:textId="77777777" w:rsidR="00AA749C" w:rsidRPr="0097620F" w:rsidRDefault="00AA749C" w:rsidP="00AA749C">
      <w:pPr>
        <w:pStyle w:val="paragraph"/>
      </w:pPr>
      <w:r w:rsidRPr="0097620F">
        <w:tab/>
        <w:t>(b)</w:t>
      </w:r>
      <w:r w:rsidRPr="0097620F">
        <w:tab/>
        <w:t>the acquisition would be invalid because of paragraph</w:t>
      </w:r>
      <w:r w:rsidR="0097620F">
        <w:t> </w:t>
      </w:r>
      <w:r w:rsidRPr="0097620F">
        <w:t>51(xxxi) of the Constitution;</w:t>
      </w:r>
    </w:p>
    <w:p w14:paraId="6538FC14" w14:textId="77777777" w:rsidR="00AA749C" w:rsidRPr="0097620F" w:rsidRDefault="00AA749C" w:rsidP="00AA749C">
      <w:pPr>
        <w:pStyle w:val="subsection2"/>
      </w:pPr>
      <w:r w:rsidRPr="0097620F">
        <w:t>the Commonwealth is liable to pay the person a reasonable amount of compensation in respect of the acquisition.</w:t>
      </w:r>
    </w:p>
    <w:p w14:paraId="562B8AA5" w14:textId="77777777" w:rsidR="00AA749C" w:rsidRPr="0097620F" w:rsidRDefault="00AA749C" w:rsidP="00AA749C">
      <w:pPr>
        <w:pStyle w:val="subsection"/>
      </w:pPr>
      <w:r w:rsidRPr="0097620F">
        <w:tab/>
        <w:t>(2)</w:t>
      </w:r>
      <w:r w:rsidRPr="0097620F">
        <w:tab/>
        <w:t>If the Commonwealth and the person do not agree on the amount of the compensation, the person may institute proceedings in the Federal Court of Australia for the recovery from the Commonwealth of such reasonable amount of compensation as the court determines.</w:t>
      </w:r>
    </w:p>
    <w:p w14:paraId="5F72ADB0" w14:textId="77777777" w:rsidR="00AA749C" w:rsidRPr="0097620F" w:rsidRDefault="00AA749C" w:rsidP="00AA749C">
      <w:pPr>
        <w:pStyle w:val="subsection"/>
      </w:pPr>
      <w:r w:rsidRPr="0097620F">
        <w:tab/>
        <w:t>(3)</w:t>
      </w:r>
      <w:r w:rsidRPr="0097620F">
        <w:tab/>
        <w:t>In this section:</w:t>
      </w:r>
    </w:p>
    <w:p w14:paraId="4D7E194B" w14:textId="77777777" w:rsidR="00AA749C" w:rsidRPr="0097620F" w:rsidRDefault="00AA749C" w:rsidP="00AA749C">
      <w:pPr>
        <w:pStyle w:val="Definition"/>
      </w:pPr>
      <w:r w:rsidRPr="0097620F">
        <w:rPr>
          <w:b/>
          <w:i/>
        </w:rPr>
        <w:t>acquisition of property</w:t>
      </w:r>
      <w:r w:rsidRPr="0097620F">
        <w:t xml:space="preserve"> and </w:t>
      </w:r>
      <w:r w:rsidRPr="0097620F">
        <w:rPr>
          <w:b/>
          <w:i/>
        </w:rPr>
        <w:t>just terms</w:t>
      </w:r>
      <w:r w:rsidRPr="0097620F">
        <w:t xml:space="preserve"> have the same respective meanings as in paragraph</w:t>
      </w:r>
      <w:r w:rsidR="0097620F">
        <w:t> </w:t>
      </w:r>
      <w:r w:rsidRPr="0097620F">
        <w:t>51(xxxi) of the Constitution.</w:t>
      </w:r>
    </w:p>
    <w:p w14:paraId="799D42B6" w14:textId="77777777" w:rsidR="00AA749C" w:rsidRPr="0097620F" w:rsidRDefault="00AA749C" w:rsidP="00AA749C">
      <w:pPr>
        <w:pStyle w:val="ActHead5"/>
      </w:pPr>
      <w:bookmarkStart w:id="64" w:name="_Toc187396049"/>
      <w:r w:rsidRPr="001F5C7F">
        <w:rPr>
          <w:rStyle w:val="CharSectno"/>
        </w:rPr>
        <w:t>54</w:t>
      </w:r>
      <w:r w:rsidRPr="0097620F">
        <w:t xml:space="preserve">  Regulations</w:t>
      </w:r>
      <w:bookmarkEnd w:id="64"/>
    </w:p>
    <w:p w14:paraId="2115329C" w14:textId="742EDA27" w:rsidR="00AA749C" w:rsidRPr="0097620F" w:rsidRDefault="00AA749C" w:rsidP="00AA749C">
      <w:pPr>
        <w:pStyle w:val="subsection"/>
      </w:pPr>
      <w:r w:rsidRPr="0097620F">
        <w:tab/>
        <w:t>(1)</w:t>
      </w:r>
      <w:r w:rsidRPr="0097620F">
        <w:tab/>
        <w:t>The Governor</w:t>
      </w:r>
      <w:r w:rsidR="001F5C7F">
        <w:noBreakHyphen/>
      </w:r>
      <w:r w:rsidRPr="0097620F">
        <w:t>General may make regulations prescribing matters:</w:t>
      </w:r>
    </w:p>
    <w:p w14:paraId="45435321" w14:textId="77777777" w:rsidR="00AA749C" w:rsidRPr="0097620F" w:rsidRDefault="00AA749C" w:rsidP="00AA749C">
      <w:pPr>
        <w:pStyle w:val="paragraph"/>
      </w:pPr>
      <w:r w:rsidRPr="0097620F">
        <w:tab/>
        <w:t>(a)</w:t>
      </w:r>
      <w:r w:rsidRPr="0097620F">
        <w:tab/>
        <w:t>required or permitted by this Act to be prescribed; or</w:t>
      </w:r>
    </w:p>
    <w:p w14:paraId="42D8E544" w14:textId="77777777" w:rsidR="00AA749C" w:rsidRPr="0097620F" w:rsidRDefault="00AA749C" w:rsidP="00AA749C">
      <w:pPr>
        <w:pStyle w:val="paragraph"/>
      </w:pPr>
      <w:r w:rsidRPr="0097620F">
        <w:lastRenderedPageBreak/>
        <w:tab/>
        <w:t>(b)</w:t>
      </w:r>
      <w:r w:rsidRPr="0097620F">
        <w:tab/>
        <w:t>necessary or convenient to be prescribed for carrying out or giving effect to this Act.</w:t>
      </w:r>
    </w:p>
    <w:p w14:paraId="15E03819" w14:textId="77777777" w:rsidR="00AA749C" w:rsidRPr="0097620F" w:rsidRDefault="00AA749C" w:rsidP="00AA749C">
      <w:pPr>
        <w:pStyle w:val="subsection"/>
      </w:pPr>
      <w:r w:rsidRPr="0097620F">
        <w:tab/>
        <w:t>(2)</w:t>
      </w:r>
      <w:r w:rsidRPr="0097620F">
        <w:tab/>
        <w:t xml:space="preserve">In particular, regulations may be made dealing with other transitional matters arising out of the repeal of the </w:t>
      </w:r>
      <w:r w:rsidRPr="0097620F">
        <w:rPr>
          <w:i/>
        </w:rPr>
        <w:t>Australian Horticultural Corporation Act 1987</w:t>
      </w:r>
      <w:r w:rsidRPr="0097620F">
        <w:t xml:space="preserve"> and the </w:t>
      </w:r>
      <w:r w:rsidRPr="0097620F">
        <w:rPr>
          <w:i/>
        </w:rPr>
        <w:t>Horticultural Research and Development Corporation Act 1987</w:t>
      </w:r>
      <w:r w:rsidRPr="0097620F">
        <w:t xml:space="preserve"> and the enactment of this Act and the </w:t>
      </w:r>
      <w:r w:rsidRPr="0097620F">
        <w:rPr>
          <w:i/>
        </w:rPr>
        <w:t>Horticulture Marketing and Research and Development Services Act 2000</w:t>
      </w:r>
      <w:r w:rsidRPr="0097620F">
        <w:t>.</w:t>
      </w:r>
    </w:p>
    <w:p w14:paraId="55D4DB1E" w14:textId="77777777" w:rsidR="0036425D" w:rsidRDefault="0036425D" w:rsidP="0036425D">
      <w:pPr>
        <w:rPr>
          <w:lang w:eastAsia="en-AU"/>
        </w:rPr>
        <w:sectPr w:rsidR="0036425D" w:rsidSect="00BC32B7">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14:paraId="61E6E50A" w14:textId="38C80093" w:rsidR="00BD2B41" w:rsidRPr="0097620F" w:rsidRDefault="00BD2B41" w:rsidP="0097620F">
      <w:pPr>
        <w:pStyle w:val="ENotesHeading1"/>
        <w:pageBreakBefore/>
        <w:outlineLvl w:val="9"/>
      </w:pPr>
      <w:bookmarkStart w:id="65" w:name="_Toc187396050"/>
      <w:r w:rsidRPr="0097620F">
        <w:lastRenderedPageBreak/>
        <w:t>Endnotes</w:t>
      </w:r>
      <w:bookmarkEnd w:id="65"/>
    </w:p>
    <w:p w14:paraId="310DDFA7" w14:textId="77777777" w:rsidR="001814D2" w:rsidRPr="00CA63D9" w:rsidRDefault="001814D2" w:rsidP="00CA63D9">
      <w:pPr>
        <w:pStyle w:val="ENotesHeading2"/>
      </w:pPr>
      <w:bookmarkStart w:id="66" w:name="_Toc187396051"/>
      <w:r w:rsidRPr="00CA63D9">
        <w:t>Endnote 1—About the endnotes</w:t>
      </w:r>
      <w:bookmarkEnd w:id="66"/>
    </w:p>
    <w:p w14:paraId="7C49D844" w14:textId="77777777" w:rsidR="001814D2" w:rsidRDefault="001814D2" w:rsidP="00D86125">
      <w:pPr>
        <w:spacing w:after="120"/>
      </w:pPr>
      <w:r w:rsidRPr="00BC57F4">
        <w:t xml:space="preserve">The endnotes provide </w:t>
      </w:r>
      <w:r>
        <w:t>information about this compilation and the compiled law.</w:t>
      </w:r>
    </w:p>
    <w:p w14:paraId="37FA974C" w14:textId="77777777" w:rsidR="001814D2" w:rsidRPr="00BC57F4" w:rsidRDefault="001814D2" w:rsidP="00D86125">
      <w:pPr>
        <w:spacing w:after="120"/>
      </w:pPr>
      <w:r w:rsidRPr="00BC57F4">
        <w:t>The followi</w:t>
      </w:r>
      <w:r>
        <w:t>ng endnotes are included in every</w:t>
      </w:r>
      <w:r w:rsidRPr="00BC57F4">
        <w:t xml:space="preserve"> compilation:</w:t>
      </w:r>
    </w:p>
    <w:p w14:paraId="238B1C59" w14:textId="77777777" w:rsidR="001814D2" w:rsidRPr="00BC57F4" w:rsidRDefault="001814D2" w:rsidP="00D86125">
      <w:r w:rsidRPr="00BC57F4">
        <w:t>Endnote 1—About the endnotes</w:t>
      </w:r>
    </w:p>
    <w:p w14:paraId="2ACB3EBA" w14:textId="77777777" w:rsidR="001814D2" w:rsidRPr="00BC57F4" w:rsidRDefault="001814D2" w:rsidP="00D86125">
      <w:r w:rsidRPr="00BC57F4">
        <w:t>Endnote 2—Abbreviation key</w:t>
      </w:r>
    </w:p>
    <w:p w14:paraId="5232287B" w14:textId="77777777" w:rsidR="001814D2" w:rsidRPr="00BC57F4" w:rsidRDefault="001814D2" w:rsidP="00D86125">
      <w:r w:rsidRPr="00BC57F4">
        <w:t>Endnote 3—Legislation history</w:t>
      </w:r>
    </w:p>
    <w:p w14:paraId="6947D863" w14:textId="77777777" w:rsidR="001814D2" w:rsidRDefault="001814D2" w:rsidP="00D86125">
      <w:pPr>
        <w:spacing w:after="120"/>
      </w:pPr>
      <w:r w:rsidRPr="00BC57F4">
        <w:t>Endnote 4—Amendment history</w:t>
      </w:r>
    </w:p>
    <w:p w14:paraId="044548C7" w14:textId="77777777" w:rsidR="001814D2" w:rsidRPr="00BC57F4" w:rsidRDefault="001814D2" w:rsidP="00D86125">
      <w:r w:rsidRPr="00BC57F4">
        <w:rPr>
          <w:b/>
        </w:rPr>
        <w:t>Abbreviation key—</w:t>
      </w:r>
      <w:r>
        <w:rPr>
          <w:b/>
        </w:rPr>
        <w:t>E</w:t>
      </w:r>
      <w:r w:rsidRPr="00BC57F4">
        <w:rPr>
          <w:b/>
        </w:rPr>
        <w:t>ndnote 2</w:t>
      </w:r>
    </w:p>
    <w:p w14:paraId="7105A29A" w14:textId="77777777" w:rsidR="001814D2" w:rsidRPr="00BC57F4" w:rsidRDefault="001814D2" w:rsidP="00D86125">
      <w:pPr>
        <w:spacing w:after="120"/>
      </w:pPr>
      <w:r w:rsidRPr="00BC57F4">
        <w:t xml:space="preserve">The abbreviation key sets out abbreviations </w:t>
      </w:r>
      <w:r>
        <w:t xml:space="preserve">that may be </w:t>
      </w:r>
      <w:r w:rsidRPr="00BC57F4">
        <w:t>used in the endnotes.</w:t>
      </w:r>
    </w:p>
    <w:p w14:paraId="003BE383" w14:textId="77777777" w:rsidR="001814D2" w:rsidRPr="00BC57F4" w:rsidRDefault="001814D2" w:rsidP="00D86125">
      <w:pPr>
        <w:rPr>
          <w:b/>
        </w:rPr>
      </w:pPr>
      <w:r w:rsidRPr="00BC57F4">
        <w:rPr>
          <w:b/>
        </w:rPr>
        <w:t>Legislation history and amendment history—</w:t>
      </w:r>
      <w:r>
        <w:rPr>
          <w:b/>
        </w:rPr>
        <w:t>E</w:t>
      </w:r>
      <w:r w:rsidRPr="00BC57F4">
        <w:rPr>
          <w:b/>
        </w:rPr>
        <w:t>ndnotes 3 and 4</w:t>
      </w:r>
    </w:p>
    <w:p w14:paraId="1493CBEB" w14:textId="77777777" w:rsidR="001814D2" w:rsidRPr="00BC57F4" w:rsidRDefault="001814D2" w:rsidP="00D86125">
      <w:pPr>
        <w:spacing w:after="120"/>
      </w:pPr>
      <w:r w:rsidRPr="00BC57F4">
        <w:t>Amending laws are annotated in the legislation history and amendment history.</w:t>
      </w:r>
    </w:p>
    <w:p w14:paraId="0502BA1D" w14:textId="77777777" w:rsidR="001814D2" w:rsidRPr="00BC57F4" w:rsidRDefault="001814D2"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54AA8DCF" w14:textId="77777777" w:rsidR="001814D2" w:rsidRDefault="001814D2"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2E0F0EBB" w14:textId="77777777" w:rsidR="001814D2" w:rsidRPr="00FB4AD4" w:rsidRDefault="001814D2" w:rsidP="00D86125">
      <w:pPr>
        <w:rPr>
          <w:b/>
        </w:rPr>
      </w:pPr>
      <w:r w:rsidRPr="00FB4AD4">
        <w:rPr>
          <w:b/>
        </w:rPr>
        <w:t>Editorial changes</w:t>
      </w:r>
    </w:p>
    <w:p w14:paraId="12B4E165" w14:textId="77777777" w:rsidR="001814D2" w:rsidRDefault="001814D2"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4037A1C7" w14:textId="77777777" w:rsidR="001814D2" w:rsidRDefault="001814D2" w:rsidP="00D86125">
      <w:pPr>
        <w:spacing w:after="120"/>
      </w:pPr>
      <w:r>
        <w:t>If the compilation includes editorial changes, the endnotes include a brief outline of the changes in general terms. Full details of any changes can be obtained from the Office of Parliamentary Counsel.</w:t>
      </w:r>
    </w:p>
    <w:p w14:paraId="31463113" w14:textId="77777777" w:rsidR="001814D2" w:rsidRPr="00BC57F4" w:rsidRDefault="001814D2" w:rsidP="00D86125">
      <w:pPr>
        <w:keepNext/>
      </w:pPr>
      <w:r>
        <w:rPr>
          <w:b/>
        </w:rPr>
        <w:lastRenderedPageBreak/>
        <w:t>Misdescribed amendments</w:t>
      </w:r>
    </w:p>
    <w:p w14:paraId="6CD58150" w14:textId="657F8F00" w:rsidR="001814D2" w:rsidRDefault="001814D2" w:rsidP="00A140E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1F5C7F">
        <w:t>section 1</w:t>
      </w:r>
      <w:r>
        <w:t xml:space="preserve">5V of the </w:t>
      </w:r>
      <w:r w:rsidRPr="001B7B32">
        <w:rPr>
          <w:i/>
        </w:rPr>
        <w:t>Legislation Act 2003</w:t>
      </w:r>
      <w:r>
        <w:t>.</w:t>
      </w:r>
    </w:p>
    <w:p w14:paraId="55CECAFA" w14:textId="77777777" w:rsidR="001814D2" w:rsidRDefault="001814D2" w:rsidP="00A140E1">
      <w:pPr>
        <w:spacing w:before="120" w:after="240"/>
      </w:pPr>
      <w:r>
        <w:t>If a misdescribed amendment cannot be given effect as intended, the amendment is not incorporated and “(md not incorp)” is added to the amendment history</w:t>
      </w:r>
      <w:r w:rsidRPr="00E466D8">
        <w:t>.</w:t>
      </w:r>
    </w:p>
    <w:p w14:paraId="420B525D" w14:textId="5B1789CA" w:rsidR="000773A0" w:rsidRDefault="000773A0" w:rsidP="00A140E1">
      <w:pPr>
        <w:spacing w:before="120" w:after="240"/>
      </w:pPr>
    </w:p>
    <w:p w14:paraId="0041E649" w14:textId="79023F11" w:rsidR="000773A0" w:rsidRPr="00CA63D9" w:rsidRDefault="000773A0" w:rsidP="00CA63D9">
      <w:pPr>
        <w:pStyle w:val="ENotesHeading2"/>
        <w:pageBreakBefore/>
      </w:pPr>
      <w:bookmarkStart w:id="67" w:name="_Toc187396052"/>
      <w:r w:rsidRPr="00CA63D9">
        <w:lastRenderedPageBreak/>
        <w:t>Endnote 2—Abbreviation key</w:t>
      </w:r>
      <w:bookmarkEnd w:id="67"/>
    </w:p>
    <w:tbl>
      <w:tblPr>
        <w:tblW w:w="7939" w:type="dxa"/>
        <w:tblInd w:w="108" w:type="dxa"/>
        <w:tblLayout w:type="fixed"/>
        <w:tblLook w:val="0000" w:firstRow="0" w:lastRow="0" w:firstColumn="0" w:lastColumn="0" w:noHBand="0" w:noVBand="0"/>
      </w:tblPr>
      <w:tblGrid>
        <w:gridCol w:w="4253"/>
        <w:gridCol w:w="3686"/>
      </w:tblGrid>
      <w:tr w:rsidR="000773A0" w:rsidRPr="00EA5132" w14:paraId="577013E0" w14:textId="77777777" w:rsidTr="00B9668B">
        <w:tc>
          <w:tcPr>
            <w:tcW w:w="4253" w:type="dxa"/>
            <w:shd w:val="clear" w:color="auto" w:fill="auto"/>
          </w:tcPr>
          <w:p w14:paraId="7B2C26C1" w14:textId="77777777" w:rsidR="000773A0" w:rsidRPr="00EA5132" w:rsidRDefault="000773A0" w:rsidP="00B9668B">
            <w:pPr>
              <w:spacing w:before="60"/>
              <w:ind w:left="34"/>
              <w:rPr>
                <w:sz w:val="20"/>
              </w:rPr>
            </w:pPr>
            <w:r w:rsidRPr="00EA5132">
              <w:rPr>
                <w:sz w:val="20"/>
              </w:rPr>
              <w:t>ad = added or inserted</w:t>
            </w:r>
          </w:p>
        </w:tc>
        <w:tc>
          <w:tcPr>
            <w:tcW w:w="3686" w:type="dxa"/>
            <w:shd w:val="clear" w:color="auto" w:fill="auto"/>
          </w:tcPr>
          <w:p w14:paraId="67D7A8B5" w14:textId="77777777" w:rsidR="000773A0" w:rsidRPr="00EA5132" w:rsidRDefault="000773A0" w:rsidP="00B9668B">
            <w:pPr>
              <w:spacing w:before="60"/>
              <w:ind w:left="34"/>
              <w:rPr>
                <w:sz w:val="20"/>
              </w:rPr>
            </w:pPr>
            <w:r w:rsidRPr="00EA5132">
              <w:rPr>
                <w:sz w:val="20"/>
              </w:rPr>
              <w:t>o = order(s)</w:t>
            </w:r>
          </w:p>
        </w:tc>
      </w:tr>
      <w:tr w:rsidR="000773A0" w:rsidRPr="00EA5132" w14:paraId="21A0750C" w14:textId="77777777" w:rsidTr="00B9668B">
        <w:tc>
          <w:tcPr>
            <w:tcW w:w="4253" w:type="dxa"/>
            <w:shd w:val="clear" w:color="auto" w:fill="auto"/>
          </w:tcPr>
          <w:p w14:paraId="01B75657" w14:textId="77777777" w:rsidR="000773A0" w:rsidRPr="00EA5132" w:rsidRDefault="000773A0" w:rsidP="00B9668B">
            <w:pPr>
              <w:spacing w:before="60"/>
              <w:ind w:left="34"/>
              <w:rPr>
                <w:sz w:val="20"/>
              </w:rPr>
            </w:pPr>
            <w:r w:rsidRPr="00EA5132">
              <w:rPr>
                <w:sz w:val="20"/>
              </w:rPr>
              <w:t>am = amended</w:t>
            </w:r>
          </w:p>
        </w:tc>
        <w:tc>
          <w:tcPr>
            <w:tcW w:w="3686" w:type="dxa"/>
            <w:shd w:val="clear" w:color="auto" w:fill="auto"/>
          </w:tcPr>
          <w:p w14:paraId="7177F289" w14:textId="77777777" w:rsidR="000773A0" w:rsidRPr="00EA5132" w:rsidRDefault="000773A0" w:rsidP="00B9668B">
            <w:pPr>
              <w:spacing w:before="60"/>
              <w:ind w:left="34"/>
              <w:rPr>
                <w:sz w:val="20"/>
              </w:rPr>
            </w:pPr>
            <w:r w:rsidRPr="00EA5132">
              <w:rPr>
                <w:sz w:val="20"/>
              </w:rPr>
              <w:t>Ord = Ordinance</w:t>
            </w:r>
          </w:p>
        </w:tc>
      </w:tr>
      <w:tr w:rsidR="000773A0" w:rsidRPr="00EA5132" w14:paraId="27853C1A" w14:textId="77777777" w:rsidTr="00B9668B">
        <w:tc>
          <w:tcPr>
            <w:tcW w:w="4253" w:type="dxa"/>
            <w:shd w:val="clear" w:color="auto" w:fill="auto"/>
          </w:tcPr>
          <w:p w14:paraId="23B720E8" w14:textId="77777777" w:rsidR="000773A0" w:rsidRPr="00EA5132" w:rsidRDefault="000773A0" w:rsidP="00B9668B">
            <w:pPr>
              <w:spacing w:before="60"/>
              <w:ind w:left="34"/>
              <w:rPr>
                <w:sz w:val="20"/>
              </w:rPr>
            </w:pPr>
            <w:r w:rsidRPr="00EA5132">
              <w:rPr>
                <w:sz w:val="20"/>
              </w:rPr>
              <w:t>amdt = amendment</w:t>
            </w:r>
          </w:p>
        </w:tc>
        <w:tc>
          <w:tcPr>
            <w:tcW w:w="3686" w:type="dxa"/>
            <w:shd w:val="clear" w:color="auto" w:fill="auto"/>
          </w:tcPr>
          <w:p w14:paraId="43762C10" w14:textId="77777777" w:rsidR="000773A0" w:rsidRPr="00EA5132" w:rsidRDefault="000773A0" w:rsidP="00B9668B">
            <w:pPr>
              <w:spacing w:before="60"/>
              <w:ind w:left="34"/>
              <w:rPr>
                <w:sz w:val="20"/>
              </w:rPr>
            </w:pPr>
            <w:r w:rsidRPr="00EA5132">
              <w:rPr>
                <w:sz w:val="20"/>
              </w:rPr>
              <w:t>orig = original</w:t>
            </w:r>
          </w:p>
        </w:tc>
      </w:tr>
      <w:tr w:rsidR="000773A0" w:rsidRPr="00EA5132" w14:paraId="44D0BF14" w14:textId="77777777" w:rsidTr="00B9668B">
        <w:tc>
          <w:tcPr>
            <w:tcW w:w="4253" w:type="dxa"/>
            <w:shd w:val="clear" w:color="auto" w:fill="auto"/>
          </w:tcPr>
          <w:p w14:paraId="3D5F8690" w14:textId="77777777" w:rsidR="000773A0" w:rsidRPr="00EA5132" w:rsidRDefault="000773A0" w:rsidP="00B9668B">
            <w:pPr>
              <w:spacing w:before="60"/>
              <w:ind w:left="34"/>
              <w:rPr>
                <w:sz w:val="20"/>
              </w:rPr>
            </w:pPr>
            <w:r w:rsidRPr="00EA5132">
              <w:rPr>
                <w:sz w:val="20"/>
              </w:rPr>
              <w:t>c = clause(s)</w:t>
            </w:r>
          </w:p>
        </w:tc>
        <w:tc>
          <w:tcPr>
            <w:tcW w:w="3686" w:type="dxa"/>
            <w:shd w:val="clear" w:color="auto" w:fill="auto"/>
          </w:tcPr>
          <w:p w14:paraId="14BA2958" w14:textId="77777777" w:rsidR="000773A0" w:rsidRPr="00EA5132" w:rsidRDefault="000773A0" w:rsidP="00B9668B">
            <w:pPr>
              <w:spacing w:before="60"/>
              <w:ind w:left="34"/>
              <w:rPr>
                <w:sz w:val="20"/>
              </w:rPr>
            </w:pPr>
            <w:r w:rsidRPr="00EA5132">
              <w:rPr>
                <w:sz w:val="20"/>
              </w:rPr>
              <w:t>par = paragraph(s)/subparagraph(s)</w:t>
            </w:r>
          </w:p>
        </w:tc>
      </w:tr>
      <w:tr w:rsidR="000773A0" w:rsidRPr="00EA5132" w14:paraId="3C8D0C7B" w14:textId="77777777" w:rsidTr="00B9668B">
        <w:tc>
          <w:tcPr>
            <w:tcW w:w="4253" w:type="dxa"/>
            <w:shd w:val="clear" w:color="auto" w:fill="auto"/>
          </w:tcPr>
          <w:p w14:paraId="173F3F41" w14:textId="77777777" w:rsidR="000773A0" w:rsidRPr="00EA5132" w:rsidRDefault="000773A0" w:rsidP="00B9668B">
            <w:pPr>
              <w:spacing w:before="60"/>
              <w:ind w:left="34"/>
              <w:rPr>
                <w:sz w:val="20"/>
              </w:rPr>
            </w:pPr>
            <w:r w:rsidRPr="00EA5132">
              <w:rPr>
                <w:sz w:val="20"/>
              </w:rPr>
              <w:t>C[x] = Compilation No. x</w:t>
            </w:r>
          </w:p>
        </w:tc>
        <w:tc>
          <w:tcPr>
            <w:tcW w:w="3686" w:type="dxa"/>
            <w:shd w:val="clear" w:color="auto" w:fill="auto"/>
          </w:tcPr>
          <w:p w14:paraId="706A640C" w14:textId="31490112" w:rsidR="000773A0" w:rsidRPr="00EA5132" w:rsidRDefault="000773A0" w:rsidP="00B9668B">
            <w:pPr>
              <w:ind w:left="34" w:firstLine="249"/>
              <w:rPr>
                <w:sz w:val="20"/>
              </w:rPr>
            </w:pPr>
            <w:r w:rsidRPr="00EA5132">
              <w:rPr>
                <w:sz w:val="20"/>
              </w:rPr>
              <w:t>/sub</w:t>
            </w:r>
            <w:r w:rsidR="001F5C7F">
              <w:rPr>
                <w:sz w:val="20"/>
              </w:rPr>
              <w:noBreakHyphen/>
            </w:r>
            <w:r w:rsidRPr="00EA5132">
              <w:rPr>
                <w:sz w:val="20"/>
              </w:rPr>
              <w:t>subparagraph(s)</w:t>
            </w:r>
          </w:p>
        </w:tc>
      </w:tr>
      <w:tr w:rsidR="000773A0" w:rsidRPr="00EA5132" w14:paraId="5771D1F6" w14:textId="77777777" w:rsidTr="00B9668B">
        <w:tc>
          <w:tcPr>
            <w:tcW w:w="4253" w:type="dxa"/>
            <w:shd w:val="clear" w:color="auto" w:fill="auto"/>
          </w:tcPr>
          <w:p w14:paraId="0A24A8B9" w14:textId="77777777" w:rsidR="000773A0" w:rsidRPr="00EA5132" w:rsidRDefault="000773A0" w:rsidP="00B9668B">
            <w:pPr>
              <w:spacing w:before="60"/>
              <w:ind w:left="34"/>
              <w:rPr>
                <w:sz w:val="20"/>
              </w:rPr>
            </w:pPr>
            <w:r w:rsidRPr="00EA5132">
              <w:rPr>
                <w:sz w:val="20"/>
              </w:rPr>
              <w:t>Ch = Chapter(s)</w:t>
            </w:r>
          </w:p>
        </w:tc>
        <w:tc>
          <w:tcPr>
            <w:tcW w:w="3686" w:type="dxa"/>
            <w:shd w:val="clear" w:color="auto" w:fill="auto"/>
          </w:tcPr>
          <w:p w14:paraId="3B69731C" w14:textId="77777777" w:rsidR="000773A0" w:rsidRPr="00EA5132" w:rsidRDefault="000773A0" w:rsidP="00B9668B">
            <w:pPr>
              <w:spacing w:before="60"/>
              <w:ind w:left="34"/>
              <w:rPr>
                <w:sz w:val="20"/>
              </w:rPr>
            </w:pPr>
            <w:r w:rsidRPr="00EA5132">
              <w:rPr>
                <w:sz w:val="20"/>
              </w:rPr>
              <w:t>pres = present</w:t>
            </w:r>
          </w:p>
        </w:tc>
      </w:tr>
      <w:tr w:rsidR="000773A0" w:rsidRPr="00EA5132" w14:paraId="598D4FD2" w14:textId="77777777" w:rsidTr="00B9668B">
        <w:tc>
          <w:tcPr>
            <w:tcW w:w="4253" w:type="dxa"/>
            <w:shd w:val="clear" w:color="auto" w:fill="auto"/>
          </w:tcPr>
          <w:p w14:paraId="4490AD93" w14:textId="77777777" w:rsidR="000773A0" w:rsidRPr="00EA5132" w:rsidRDefault="000773A0" w:rsidP="00B9668B">
            <w:pPr>
              <w:spacing w:before="60"/>
              <w:ind w:left="34"/>
              <w:rPr>
                <w:sz w:val="20"/>
              </w:rPr>
            </w:pPr>
            <w:r w:rsidRPr="00EA5132">
              <w:rPr>
                <w:sz w:val="20"/>
              </w:rPr>
              <w:t>def = definition(s)</w:t>
            </w:r>
          </w:p>
        </w:tc>
        <w:tc>
          <w:tcPr>
            <w:tcW w:w="3686" w:type="dxa"/>
            <w:shd w:val="clear" w:color="auto" w:fill="auto"/>
          </w:tcPr>
          <w:p w14:paraId="7D5FA6C2" w14:textId="77777777" w:rsidR="000773A0" w:rsidRPr="00EA5132" w:rsidRDefault="000773A0" w:rsidP="00B9668B">
            <w:pPr>
              <w:spacing w:before="60"/>
              <w:ind w:left="34"/>
              <w:rPr>
                <w:sz w:val="20"/>
              </w:rPr>
            </w:pPr>
            <w:r w:rsidRPr="00EA5132">
              <w:rPr>
                <w:sz w:val="20"/>
              </w:rPr>
              <w:t>prev = previous</w:t>
            </w:r>
          </w:p>
        </w:tc>
      </w:tr>
      <w:tr w:rsidR="000773A0" w:rsidRPr="00EA5132" w14:paraId="575C6528" w14:textId="77777777" w:rsidTr="00B9668B">
        <w:tc>
          <w:tcPr>
            <w:tcW w:w="4253" w:type="dxa"/>
            <w:shd w:val="clear" w:color="auto" w:fill="auto"/>
          </w:tcPr>
          <w:p w14:paraId="1D3C0222" w14:textId="77777777" w:rsidR="000773A0" w:rsidRPr="00EA5132" w:rsidRDefault="000773A0" w:rsidP="00B9668B">
            <w:pPr>
              <w:spacing w:before="60"/>
              <w:ind w:left="34"/>
              <w:rPr>
                <w:sz w:val="20"/>
              </w:rPr>
            </w:pPr>
            <w:r w:rsidRPr="00EA5132">
              <w:rPr>
                <w:sz w:val="20"/>
              </w:rPr>
              <w:t>Dict = Dictionary</w:t>
            </w:r>
          </w:p>
        </w:tc>
        <w:tc>
          <w:tcPr>
            <w:tcW w:w="3686" w:type="dxa"/>
            <w:shd w:val="clear" w:color="auto" w:fill="auto"/>
          </w:tcPr>
          <w:p w14:paraId="222A99D6" w14:textId="77777777" w:rsidR="000773A0" w:rsidRPr="00EA5132" w:rsidRDefault="000773A0" w:rsidP="00B9668B">
            <w:pPr>
              <w:spacing w:before="60"/>
              <w:ind w:left="34"/>
              <w:rPr>
                <w:sz w:val="20"/>
              </w:rPr>
            </w:pPr>
            <w:r w:rsidRPr="00EA5132">
              <w:rPr>
                <w:sz w:val="20"/>
              </w:rPr>
              <w:t>(prev…) = previously</w:t>
            </w:r>
          </w:p>
        </w:tc>
      </w:tr>
      <w:tr w:rsidR="000773A0" w:rsidRPr="00EA5132" w14:paraId="0F247C4D" w14:textId="77777777" w:rsidTr="00B9668B">
        <w:tc>
          <w:tcPr>
            <w:tcW w:w="4253" w:type="dxa"/>
            <w:shd w:val="clear" w:color="auto" w:fill="auto"/>
          </w:tcPr>
          <w:p w14:paraId="0EA19523" w14:textId="77777777" w:rsidR="000773A0" w:rsidRPr="00EA5132" w:rsidRDefault="000773A0" w:rsidP="00B9668B">
            <w:pPr>
              <w:spacing w:before="60"/>
              <w:ind w:left="34"/>
              <w:rPr>
                <w:sz w:val="20"/>
              </w:rPr>
            </w:pPr>
            <w:r w:rsidRPr="00EA5132">
              <w:rPr>
                <w:sz w:val="20"/>
              </w:rPr>
              <w:t>disallowed = disallowed by Parliament</w:t>
            </w:r>
          </w:p>
        </w:tc>
        <w:tc>
          <w:tcPr>
            <w:tcW w:w="3686" w:type="dxa"/>
            <w:shd w:val="clear" w:color="auto" w:fill="auto"/>
          </w:tcPr>
          <w:p w14:paraId="67E31EE1" w14:textId="77777777" w:rsidR="000773A0" w:rsidRPr="00EA5132" w:rsidRDefault="000773A0" w:rsidP="00B9668B">
            <w:pPr>
              <w:spacing w:before="60"/>
              <w:ind w:left="34"/>
              <w:rPr>
                <w:sz w:val="20"/>
              </w:rPr>
            </w:pPr>
            <w:r w:rsidRPr="00EA5132">
              <w:rPr>
                <w:sz w:val="20"/>
              </w:rPr>
              <w:t>Pt = Part(s)</w:t>
            </w:r>
          </w:p>
        </w:tc>
      </w:tr>
      <w:tr w:rsidR="000773A0" w:rsidRPr="00EA5132" w14:paraId="6E12EE43" w14:textId="77777777" w:rsidTr="00B9668B">
        <w:tc>
          <w:tcPr>
            <w:tcW w:w="4253" w:type="dxa"/>
            <w:shd w:val="clear" w:color="auto" w:fill="auto"/>
          </w:tcPr>
          <w:p w14:paraId="05C1524B" w14:textId="77777777" w:rsidR="000773A0" w:rsidRPr="00EA5132" w:rsidRDefault="000773A0" w:rsidP="00B9668B">
            <w:pPr>
              <w:spacing w:before="60"/>
              <w:ind w:left="34"/>
              <w:rPr>
                <w:sz w:val="20"/>
              </w:rPr>
            </w:pPr>
            <w:r w:rsidRPr="00EA5132">
              <w:rPr>
                <w:sz w:val="20"/>
              </w:rPr>
              <w:t>Div = Division(s)</w:t>
            </w:r>
          </w:p>
        </w:tc>
        <w:tc>
          <w:tcPr>
            <w:tcW w:w="3686" w:type="dxa"/>
            <w:shd w:val="clear" w:color="auto" w:fill="auto"/>
          </w:tcPr>
          <w:p w14:paraId="647EC330" w14:textId="77777777" w:rsidR="000773A0" w:rsidRPr="00EA5132" w:rsidRDefault="000773A0" w:rsidP="00B9668B">
            <w:pPr>
              <w:spacing w:before="60"/>
              <w:ind w:left="34"/>
              <w:rPr>
                <w:sz w:val="20"/>
              </w:rPr>
            </w:pPr>
            <w:r w:rsidRPr="00EA5132">
              <w:rPr>
                <w:sz w:val="20"/>
              </w:rPr>
              <w:t>r = regulation(s)/rule(s)</w:t>
            </w:r>
          </w:p>
        </w:tc>
      </w:tr>
      <w:tr w:rsidR="000773A0" w:rsidRPr="00EA5132" w14:paraId="218FFF2C" w14:textId="77777777" w:rsidTr="00B9668B">
        <w:tc>
          <w:tcPr>
            <w:tcW w:w="4253" w:type="dxa"/>
            <w:shd w:val="clear" w:color="auto" w:fill="auto"/>
          </w:tcPr>
          <w:p w14:paraId="674B7AC5" w14:textId="77777777" w:rsidR="000773A0" w:rsidRPr="00EA5132" w:rsidRDefault="000773A0" w:rsidP="00B9668B">
            <w:pPr>
              <w:spacing w:before="60"/>
              <w:ind w:left="34"/>
              <w:rPr>
                <w:sz w:val="20"/>
              </w:rPr>
            </w:pPr>
            <w:r>
              <w:rPr>
                <w:sz w:val="20"/>
              </w:rPr>
              <w:t>ed = editorial change</w:t>
            </w:r>
          </w:p>
        </w:tc>
        <w:tc>
          <w:tcPr>
            <w:tcW w:w="3686" w:type="dxa"/>
            <w:shd w:val="clear" w:color="auto" w:fill="auto"/>
          </w:tcPr>
          <w:p w14:paraId="55B1D046" w14:textId="77777777" w:rsidR="000773A0" w:rsidRPr="00EA5132" w:rsidRDefault="000773A0" w:rsidP="00B9668B">
            <w:pPr>
              <w:spacing w:before="60"/>
              <w:ind w:left="34"/>
              <w:rPr>
                <w:sz w:val="20"/>
              </w:rPr>
            </w:pPr>
            <w:r w:rsidRPr="00EA5132">
              <w:rPr>
                <w:sz w:val="20"/>
              </w:rPr>
              <w:t>reloc = relocated</w:t>
            </w:r>
          </w:p>
        </w:tc>
      </w:tr>
      <w:tr w:rsidR="000773A0" w:rsidRPr="00EA5132" w14:paraId="60A198A1" w14:textId="77777777" w:rsidTr="00B9668B">
        <w:tc>
          <w:tcPr>
            <w:tcW w:w="4253" w:type="dxa"/>
            <w:shd w:val="clear" w:color="auto" w:fill="auto"/>
          </w:tcPr>
          <w:p w14:paraId="2C3D0A7C" w14:textId="77777777" w:rsidR="000773A0" w:rsidRPr="00EA5132" w:rsidRDefault="000773A0" w:rsidP="00B9668B">
            <w:pPr>
              <w:spacing w:before="60"/>
              <w:ind w:left="34"/>
              <w:rPr>
                <w:sz w:val="20"/>
              </w:rPr>
            </w:pPr>
            <w:r w:rsidRPr="00EA5132">
              <w:rPr>
                <w:sz w:val="20"/>
              </w:rPr>
              <w:t>exp = expires/expired or ceases/ceased to have</w:t>
            </w:r>
          </w:p>
        </w:tc>
        <w:tc>
          <w:tcPr>
            <w:tcW w:w="3686" w:type="dxa"/>
            <w:shd w:val="clear" w:color="auto" w:fill="auto"/>
          </w:tcPr>
          <w:p w14:paraId="3CC8062C" w14:textId="77777777" w:rsidR="000773A0" w:rsidRPr="00EA5132" w:rsidRDefault="000773A0" w:rsidP="00B9668B">
            <w:pPr>
              <w:spacing w:before="60"/>
              <w:ind w:left="34"/>
              <w:rPr>
                <w:sz w:val="20"/>
              </w:rPr>
            </w:pPr>
            <w:r w:rsidRPr="00EA5132">
              <w:rPr>
                <w:sz w:val="20"/>
              </w:rPr>
              <w:t>renum = renumbered</w:t>
            </w:r>
          </w:p>
        </w:tc>
      </w:tr>
      <w:tr w:rsidR="000773A0" w:rsidRPr="00EA5132" w14:paraId="607D1F41" w14:textId="77777777" w:rsidTr="00B9668B">
        <w:tc>
          <w:tcPr>
            <w:tcW w:w="4253" w:type="dxa"/>
            <w:shd w:val="clear" w:color="auto" w:fill="auto"/>
          </w:tcPr>
          <w:p w14:paraId="32693FBE" w14:textId="77777777" w:rsidR="000773A0" w:rsidRPr="00EA5132" w:rsidRDefault="000773A0" w:rsidP="00B9668B">
            <w:pPr>
              <w:ind w:left="34" w:firstLine="249"/>
              <w:rPr>
                <w:sz w:val="20"/>
              </w:rPr>
            </w:pPr>
            <w:r w:rsidRPr="00EA5132">
              <w:rPr>
                <w:sz w:val="20"/>
              </w:rPr>
              <w:t>effect</w:t>
            </w:r>
          </w:p>
        </w:tc>
        <w:tc>
          <w:tcPr>
            <w:tcW w:w="3686" w:type="dxa"/>
            <w:shd w:val="clear" w:color="auto" w:fill="auto"/>
          </w:tcPr>
          <w:p w14:paraId="0ABF1B0B" w14:textId="77777777" w:rsidR="000773A0" w:rsidRPr="00EA5132" w:rsidRDefault="000773A0" w:rsidP="00B9668B">
            <w:pPr>
              <w:spacing w:before="60"/>
              <w:ind w:left="34"/>
              <w:rPr>
                <w:sz w:val="20"/>
              </w:rPr>
            </w:pPr>
            <w:r w:rsidRPr="00EA5132">
              <w:rPr>
                <w:sz w:val="20"/>
              </w:rPr>
              <w:t>rep = repealed</w:t>
            </w:r>
          </w:p>
        </w:tc>
      </w:tr>
      <w:tr w:rsidR="000773A0" w:rsidRPr="00EA5132" w14:paraId="724E0505" w14:textId="77777777" w:rsidTr="00B9668B">
        <w:tc>
          <w:tcPr>
            <w:tcW w:w="4253" w:type="dxa"/>
            <w:shd w:val="clear" w:color="auto" w:fill="auto"/>
          </w:tcPr>
          <w:p w14:paraId="3B24EB89" w14:textId="77777777" w:rsidR="000773A0" w:rsidRPr="00EA5132" w:rsidRDefault="000773A0" w:rsidP="00B9668B">
            <w:pPr>
              <w:spacing w:before="60"/>
              <w:ind w:left="34"/>
              <w:rPr>
                <w:sz w:val="20"/>
              </w:rPr>
            </w:pPr>
            <w:r w:rsidRPr="00EA5132">
              <w:rPr>
                <w:sz w:val="20"/>
              </w:rPr>
              <w:t>F = Federal Register of Legislat</w:t>
            </w:r>
            <w:r>
              <w:rPr>
                <w:sz w:val="20"/>
              </w:rPr>
              <w:t>ion</w:t>
            </w:r>
          </w:p>
        </w:tc>
        <w:tc>
          <w:tcPr>
            <w:tcW w:w="3686" w:type="dxa"/>
            <w:shd w:val="clear" w:color="auto" w:fill="auto"/>
          </w:tcPr>
          <w:p w14:paraId="126CC854" w14:textId="77777777" w:rsidR="000773A0" w:rsidRPr="00EA5132" w:rsidRDefault="000773A0" w:rsidP="00B9668B">
            <w:pPr>
              <w:spacing w:before="60"/>
              <w:ind w:left="34"/>
              <w:rPr>
                <w:sz w:val="20"/>
              </w:rPr>
            </w:pPr>
            <w:r w:rsidRPr="00EA5132">
              <w:rPr>
                <w:sz w:val="20"/>
              </w:rPr>
              <w:t>rs = repealed and substituted</w:t>
            </w:r>
          </w:p>
        </w:tc>
      </w:tr>
      <w:tr w:rsidR="000773A0" w:rsidRPr="00EA5132" w14:paraId="18D2F911" w14:textId="77777777" w:rsidTr="00B9668B">
        <w:tc>
          <w:tcPr>
            <w:tcW w:w="4253" w:type="dxa"/>
            <w:shd w:val="clear" w:color="auto" w:fill="auto"/>
          </w:tcPr>
          <w:p w14:paraId="36238E19" w14:textId="77777777" w:rsidR="000773A0" w:rsidRPr="00EA5132" w:rsidRDefault="000773A0" w:rsidP="00B9668B">
            <w:pPr>
              <w:spacing w:before="60"/>
              <w:ind w:left="34"/>
              <w:rPr>
                <w:sz w:val="20"/>
              </w:rPr>
            </w:pPr>
            <w:r w:rsidRPr="00EA5132">
              <w:rPr>
                <w:sz w:val="20"/>
              </w:rPr>
              <w:t>gaz = gazette</w:t>
            </w:r>
          </w:p>
        </w:tc>
        <w:tc>
          <w:tcPr>
            <w:tcW w:w="3686" w:type="dxa"/>
            <w:shd w:val="clear" w:color="auto" w:fill="auto"/>
          </w:tcPr>
          <w:p w14:paraId="0D0F2389" w14:textId="77777777" w:rsidR="000773A0" w:rsidRPr="00EA5132" w:rsidRDefault="000773A0" w:rsidP="00B9668B">
            <w:pPr>
              <w:spacing w:before="60"/>
              <w:ind w:left="34"/>
              <w:rPr>
                <w:sz w:val="20"/>
              </w:rPr>
            </w:pPr>
            <w:r w:rsidRPr="00EA5132">
              <w:rPr>
                <w:sz w:val="20"/>
              </w:rPr>
              <w:t>s = section(s)/subsection(s)</w:t>
            </w:r>
          </w:p>
        </w:tc>
      </w:tr>
      <w:tr w:rsidR="000773A0" w:rsidRPr="00EA5132" w14:paraId="699AB148" w14:textId="77777777" w:rsidTr="00B9668B">
        <w:tc>
          <w:tcPr>
            <w:tcW w:w="4253" w:type="dxa"/>
            <w:shd w:val="clear" w:color="auto" w:fill="auto"/>
          </w:tcPr>
          <w:p w14:paraId="70A9C0CA" w14:textId="77777777" w:rsidR="000773A0" w:rsidRPr="00EA5132" w:rsidRDefault="000773A0" w:rsidP="00B9668B">
            <w:pPr>
              <w:spacing w:before="60"/>
              <w:ind w:left="34"/>
              <w:rPr>
                <w:sz w:val="20"/>
              </w:rPr>
            </w:pPr>
            <w:r>
              <w:rPr>
                <w:sz w:val="20"/>
              </w:rPr>
              <w:t xml:space="preserve">LA = </w:t>
            </w:r>
            <w:r w:rsidRPr="00FB4AD4">
              <w:rPr>
                <w:i/>
                <w:sz w:val="20"/>
              </w:rPr>
              <w:t>Legislation Act 2003</w:t>
            </w:r>
          </w:p>
        </w:tc>
        <w:tc>
          <w:tcPr>
            <w:tcW w:w="3686" w:type="dxa"/>
            <w:shd w:val="clear" w:color="auto" w:fill="auto"/>
          </w:tcPr>
          <w:p w14:paraId="3B55E764" w14:textId="77777777" w:rsidR="000773A0" w:rsidRPr="00EA5132" w:rsidRDefault="000773A0" w:rsidP="00B9668B">
            <w:pPr>
              <w:spacing w:before="60"/>
              <w:ind w:left="34"/>
              <w:rPr>
                <w:sz w:val="20"/>
              </w:rPr>
            </w:pPr>
            <w:r w:rsidRPr="00EA5132">
              <w:rPr>
                <w:sz w:val="20"/>
              </w:rPr>
              <w:t>Sch = Schedule(s)</w:t>
            </w:r>
          </w:p>
        </w:tc>
      </w:tr>
      <w:tr w:rsidR="000773A0" w:rsidRPr="00EA5132" w14:paraId="4C5B2E87" w14:textId="77777777" w:rsidTr="00B9668B">
        <w:tc>
          <w:tcPr>
            <w:tcW w:w="4253" w:type="dxa"/>
            <w:shd w:val="clear" w:color="auto" w:fill="auto"/>
          </w:tcPr>
          <w:p w14:paraId="6E8FFBB5" w14:textId="77777777" w:rsidR="000773A0" w:rsidRPr="00EA5132" w:rsidRDefault="000773A0" w:rsidP="00B9668B">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14:paraId="24B845D1" w14:textId="77777777" w:rsidR="000773A0" w:rsidRPr="00EA5132" w:rsidRDefault="000773A0" w:rsidP="00B9668B">
            <w:pPr>
              <w:spacing w:before="60"/>
              <w:ind w:left="34"/>
              <w:rPr>
                <w:sz w:val="20"/>
              </w:rPr>
            </w:pPr>
            <w:r w:rsidRPr="00EA5132">
              <w:rPr>
                <w:sz w:val="20"/>
              </w:rPr>
              <w:t>Sdiv = Subdivision(s)</w:t>
            </w:r>
          </w:p>
        </w:tc>
      </w:tr>
      <w:tr w:rsidR="000773A0" w:rsidRPr="00EA5132" w14:paraId="6E5704E6" w14:textId="77777777" w:rsidTr="00B9668B">
        <w:tc>
          <w:tcPr>
            <w:tcW w:w="4253" w:type="dxa"/>
            <w:shd w:val="clear" w:color="auto" w:fill="auto"/>
          </w:tcPr>
          <w:p w14:paraId="6114D572" w14:textId="77777777" w:rsidR="000773A0" w:rsidRPr="00EA5132" w:rsidRDefault="000773A0" w:rsidP="00B9668B">
            <w:pPr>
              <w:spacing w:before="60"/>
              <w:ind w:left="34"/>
              <w:rPr>
                <w:sz w:val="20"/>
              </w:rPr>
            </w:pPr>
            <w:r w:rsidRPr="00EA5132">
              <w:rPr>
                <w:sz w:val="20"/>
              </w:rPr>
              <w:t>(md) = misdescribed amendment can be given</w:t>
            </w:r>
          </w:p>
        </w:tc>
        <w:tc>
          <w:tcPr>
            <w:tcW w:w="3686" w:type="dxa"/>
            <w:shd w:val="clear" w:color="auto" w:fill="auto"/>
          </w:tcPr>
          <w:p w14:paraId="774D5F89" w14:textId="77777777" w:rsidR="000773A0" w:rsidRPr="00EA5132" w:rsidRDefault="000773A0" w:rsidP="00B9668B">
            <w:pPr>
              <w:spacing w:before="60"/>
              <w:ind w:left="34"/>
              <w:rPr>
                <w:sz w:val="20"/>
              </w:rPr>
            </w:pPr>
            <w:r w:rsidRPr="00EA5132">
              <w:rPr>
                <w:sz w:val="20"/>
              </w:rPr>
              <w:t>SLI = Select Legislative Instrument</w:t>
            </w:r>
          </w:p>
        </w:tc>
      </w:tr>
      <w:tr w:rsidR="000773A0" w:rsidRPr="00EA5132" w14:paraId="07184DB2" w14:textId="77777777" w:rsidTr="00B9668B">
        <w:tc>
          <w:tcPr>
            <w:tcW w:w="4253" w:type="dxa"/>
            <w:shd w:val="clear" w:color="auto" w:fill="auto"/>
          </w:tcPr>
          <w:p w14:paraId="1B63EEC2" w14:textId="77777777" w:rsidR="000773A0" w:rsidRPr="00EA5132" w:rsidRDefault="000773A0" w:rsidP="00B9668B">
            <w:pPr>
              <w:ind w:left="34" w:firstLine="249"/>
              <w:rPr>
                <w:sz w:val="20"/>
              </w:rPr>
            </w:pPr>
            <w:r w:rsidRPr="00EA5132">
              <w:rPr>
                <w:sz w:val="20"/>
              </w:rPr>
              <w:t>effect</w:t>
            </w:r>
          </w:p>
        </w:tc>
        <w:tc>
          <w:tcPr>
            <w:tcW w:w="3686" w:type="dxa"/>
            <w:shd w:val="clear" w:color="auto" w:fill="auto"/>
          </w:tcPr>
          <w:p w14:paraId="63CB3E0C" w14:textId="77777777" w:rsidR="000773A0" w:rsidRPr="00EA5132" w:rsidRDefault="000773A0" w:rsidP="00B9668B">
            <w:pPr>
              <w:spacing w:before="60"/>
              <w:ind w:left="34"/>
              <w:rPr>
                <w:sz w:val="20"/>
              </w:rPr>
            </w:pPr>
            <w:r w:rsidRPr="00EA5132">
              <w:rPr>
                <w:sz w:val="20"/>
              </w:rPr>
              <w:t>SR = Statutory Rules</w:t>
            </w:r>
          </w:p>
        </w:tc>
      </w:tr>
      <w:tr w:rsidR="000773A0" w:rsidRPr="00EA5132" w14:paraId="7076FB3B" w14:textId="77777777" w:rsidTr="00B9668B">
        <w:tc>
          <w:tcPr>
            <w:tcW w:w="4253" w:type="dxa"/>
            <w:shd w:val="clear" w:color="auto" w:fill="auto"/>
          </w:tcPr>
          <w:p w14:paraId="4A695864" w14:textId="77777777" w:rsidR="000773A0" w:rsidRPr="00EA5132" w:rsidRDefault="000773A0" w:rsidP="00B9668B">
            <w:pPr>
              <w:spacing w:before="60"/>
              <w:ind w:left="34"/>
              <w:rPr>
                <w:sz w:val="20"/>
              </w:rPr>
            </w:pPr>
            <w:r w:rsidRPr="00EA5132">
              <w:rPr>
                <w:sz w:val="20"/>
              </w:rPr>
              <w:t>(md not incorp) = misdescribed amendment</w:t>
            </w:r>
          </w:p>
        </w:tc>
        <w:tc>
          <w:tcPr>
            <w:tcW w:w="3686" w:type="dxa"/>
            <w:shd w:val="clear" w:color="auto" w:fill="auto"/>
          </w:tcPr>
          <w:p w14:paraId="4670CD0B" w14:textId="62AC307C" w:rsidR="000773A0" w:rsidRPr="00EA5132" w:rsidRDefault="000773A0" w:rsidP="00B9668B">
            <w:pPr>
              <w:spacing w:before="60"/>
              <w:ind w:left="34"/>
              <w:rPr>
                <w:sz w:val="20"/>
              </w:rPr>
            </w:pPr>
            <w:r w:rsidRPr="00EA5132">
              <w:rPr>
                <w:sz w:val="20"/>
              </w:rPr>
              <w:t>Sub</w:t>
            </w:r>
            <w:r w:rsidR="001F5C7F">
              <w:rPr>
                <w:sz w:val="20"/>
              </w:rPr>
              <w:noBreakHyphen/>
            </w:r>
            <w:r w:rsidRPr="00EA5132">
              <w:rPr>
                <w:sz w:val="20"/>
              </w:rPr>
              <w:t>Ch = Sub</w:t>
            </w:r>
            <w:r w:rsidR="001F5C7F">
              <w:rPr>
                <w:sz w:val="20"/>
              </w:rPr>
              <w:noBreakHyphen/>
            </w:r>
            <w:r w:rsidRPr="00EA5132">
              <w:rPr>
                <w:sz w:val="20"/>
              </w:rPr>
              <w:t>Chapter(s)</w:t>
            </w:r>
          </w:p>
        </w:tc>
      </w:tr>
      <w:tr w:rsidR="000773A0" w:rsidRPr="00EA5132" w14:paraId="04D90E03" w14:textId="77777777" w:rsidTr="00B9668B">
        <w:tc>
          <w:tcPr>
            <w:tcW w:w="4253" w:type="dxa"/>
            <w:shd w:val="clear" w:color="auto" w:fill="auto"/>
          </w:tcPr>
          <w:p w14:paraId="1F90F747" w14:textId="77777777" w:rsidR="000773A0" w:rsidRPr="00EA5132" w:rsidRDefault="000773A0" w:rsidP="00B9668B">
            <w:pPr>
              <w:ind w:left="34" w:firstLine="249"/>
              <w:rPr>
                <w:sz w:val="20"/>
              </w:rPr>
            </w:pPr>
            <w:r w:rsidRPr="00EA5132">
              <w:rPr>
                <w:sz w:val="20"/>
              </w:rPr>
              <w:t>cannot be given effect</w:t>
            </w:r>
          </w:p>
        </w:tc>
        <w:tc>
          <w:tcPr>
            <w:tcW w:w="3686" w:type="dxa"/>
            <w:shd w:val="clear" w:color="auto" w:fill="auto"/>
          </w:tcPr>
          <w:p w14:paraId="176B278D" w14:textId="77777777" w:rsidR="000773A0" w:rsidRPr="00EA5132" w:rsidRDefault="000773A0" w:rsidP="00B9668B">
            <w:pPr>
              <w:spacing w:before="60"/>
              <w:ind w:left="34"/>
              <w:rPr>
                <w:sz w:val="20"/>
              </w:rPr>
            </w:pPr>
            <w:r w:rsidRPr="00EA5132">
              <w:rPr>
                <w:sz w:val="20"/>
              </w:rPr>
              <w:t>SubPt = Subpart(s)</w:t>
            </w:r>
          </w:p>
        </w:tc>
      </w:tr>
      <w:tr w:rsidR="000773A0" w:rsidRPr="00EA5132" w14:paraId="10A6E8D4" w14:textId="77777777" w:rsidTr="00B9668B">
        <w:tc>
          <w:tcPr>
            <w:tcW w:w="4253" w:type="dxa"/>
            <w:shd w:val="clear" w:color="auto" w:fill="auto"/>
          </w:tcPr>
          <w:p w14:paraId="15FB4F00" w14:textId="77777777" w:rsidR="000773A0" w:rsidRPr="00EA5132" w:rsidRDefault="000773A0" w:rsidP="00B9668B">
            <w:pPr>
              <w:spacing w:before="60"/>
              <w:ind w:left="34"/>
              <w:rPr>
                <w:sz w:val="20"/>
              </w:rPr>
            </w:pPr>
            <w:r w:rsidRPr="00EA5132">
              <w:rPr>
                <w:sz w:val="20"/>
              </w:rPr>
              <w:t>mod = modified/modification</w:t>
            </w:r>
          </w:p>
        </w:tc>
        <w:tc>
          <w:tcPr>
            <w:tcW w:w="3686" w:type="dxa"/>
            <w:shd w:val="clear" w:color="auto" w:fill="auto"/>
          </w:tcPr>
          <w:p w14:paraId="65127888" w14:textId="77777777" w:rsidR="000773A0" w:rsidRPr="00EA5132" w:rsidRDefault="000773A0" w:rsidP="00B9668B">
            <w:pPr>
              <w:spacing w:before="60"/>
              <w:ind w:left="34"/>
              <w:rPr>
                <w:sz w:val="20"/>
              </w:rPr>
            </w:pPr>
            <w:r w:rsidRPr="00C5426A">
              <w:rPr>
                <w:sz w:val="20"/>
                <w:u w:val="single"/>
              </w:rPr>
              <w:t>underlining</w:t>
            </w:r>
            <w:r w:rsidRPr="00EA5132">
              <w:rPr>
                <w:sz w:val="20"/>
              </w:rPr>
              <w:t xml:space="preserve"> = whole or part not</w:t>
            </w:r>
          </w:p>
        </w:tc>
      </w:tr>
      <w:tr w:rsidR="000773A0" w:rsidRPr="00EA5132" w14:paraId="453FCE4D" w14:textId="77777777" w:rsidTr="00B9668B">
        <w:tc>
          <w:tcPr>
            <w:tcW w:w="4253" w:type="dxa"/>
            <w:shd w:val="clear" w:color="auto" w:fill="auto"/>
          </w:tcPr>
          <w:p w14:paraId="6E3EC44F" w14:textId="77777777" w:rsidR="000773A0" w:rsidRPr="00EA5132" w:rsidRDefault="000773A0" w:rsidP="00B9668B">
            <w:pPr>
              <w:spacing w:before="60"/>
              <w:ind w:left="34"/>
              <w:rPr>
                <w:sz w:val="20"/>
              </w:rPr>
            </w:pPr>
            <w:r w:rsidRPr="00EA5132">
              <w:rPr>
                <w:sz w:val="20"/>
              </w:rPr>
              <w:t>No. = Number(s)</w:t>
            </w:r>
          </w:p>
        </w:tc>
        <w:tc>
          <w:tcPr>
            <w:tcW w:w="3686" w:type="dxa"/>
            <w:shd w:val="clear" w:color="auto" w:fill="auto"/>
          </w:tcPr>
          <w:p w14:paraId="78FE0CD9" w14:textId="77777777" w:rsidR="000773A0" w:rsidRPr="00EA5132" w:rsidRDefault="000773A0" w:rsidP="00B9668B">
            <w:pPr>
              <w:ind w:left="34" w:firstLine="249"/>
              <w:rPr>
                <w:sz w:val="20"/>
              </w:rPr>
            </w:pPr>
            <w:r w:rsidRPr="00EA5132">
              <w:rPr>
                <w:sz w:val="20"/>
              </w:rPr>
              <w:t>commenced or to be commenced</w:t>
            </w:r>
          </w:p>
        </w:tc>
      </w:tr>
    </w:tbl>
    <w:p w14:paraId="3BDA4859" w14:textId="77777777" w:rsidR="000773A0" w:rsidRDefault="000773A0" w:rsidP="00B9668B"/>
    <w:p w14:paraId="7B2F9D71" w14:textId="181BDEE0" w:rsidR="000773A0" w:rsidRPr="00CA63D9" w:rsidRDefault="000773A0" w:rsidP="00CA63D9">
      <w:pPr>
        <w:pStyle w:val="ENotesHeading2"/>
        <w:pageBreakBefore/>
      </w:pPr>
      <w:bookmarkStart w:id="68" w:name="_Toc187396053"/>
      <w:r w:rsidRPr="00CA63D9">
        <w:lastRenderedPageBreak/>
        <w:t>Endnote 3—Legislation history</w:t>
      </w:r>
      <w:bookmarkEnd w:id="68"/>
    </w:p>
    <w:p w14:paraId="6CB7EA8A" w14:textId="77777777" w:rsidR="000773A0" w:rsidRDefault="000773A0" w:rsidP="00FD65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860"/>
        <w:gridCol w:w="1003"/>
        <w:gridCol w:w="1003"/>
        <w:gridCol w:w="1865"/>
        <w:gridCol w:w="1572"/>
      </w:tblGrid>
      <w:tr w:rsidR="000773A0" w:rsidRPr="0098546F" w14:paraId="1EDE9662" w14:textId="77777777" w:rsidTr="00EF6F76">
        <w:trPr>
          <w:cantSplit/>
          <w:tblHeader/>
        </w:trPr>
        <w:tc>
          <w:tcPr>
            <w:tcW w:w="1273" w:type="pct"/>
            <w:tcBorders>
              <w:top w:val="single" w:sz="12" w:space="0" w:color="auto"/>
              <w:bottom w:val="single" w:sz="12" w:space="0" w:color="auto"/>
            </w:tcBorders>
            <w:shd w:val="clear" w:color="auto" w:fill="auto"/>
          </w:tcPr>
          <w:p w14:paraId="14D262CB" w14:textId="77777777" w:rsidR="000773A0" w:rsidRPr="00E117A3" w:rsidRDefault="000773A0" w:rsidP="00FD6560">
            <w:pPr>
              <w:pStyle w:val="ENoteTableHeading"/>
            </w:pPr>
            <w:r w:rsidRPr="00E117A3">
              <w:t>Act</w:t>
            </w:r>
          </w:p>
        </w:tc>
        <w:tc>
          <w:tcPr>
            <w:tcW w:w="687" w:type="pct"/>
            <w:tcBorders>
              <w:top w:val="single" w:sz="12" w:space="0" w:color="auto"/>
              <w:bottom w:val="single" w:sz="12" w:space="0" w:color="auto"/>
            </w:tcBorders>
            <w:shd w:val="clear" w:color="auto" w:fill="auto"/>
          </w:tcPr>
          <w:p w14:paraId="6624C56F" w14:textId="77777777" w:rsidR="000773A0" w:rsidRPr="00E117A3" w:rsidRDefault="000773A0" w:rsidP="00FD6560">
            <w:pPr>
              <w:pStyle w:val="ENoteTableHeading"/>
            </w:pPr>
            <w:r w:rsidRPr="00E117A3">
              <w:t>Number and year</w:t>
            </w:r>
          </w:p>
        </w:tc>
        <w:tc>
          <w:tcPr>
            <w:tcW w:w="687" w:type="pct"/>
            <w:tcBorders>
              <w:top w:val="single" w:sz="12" w:space="0" w:color="auto"/>
              <w:bottom w:val="single" w:sz="12" w:space="0" w:color="auto"/>
            </w:tcBorders>
            <w:shd w:val="clear" w:color="auto" w:fill="auto"/>
          </w:tcPr>
          <w:p w14:paraId="2BB71C4D" w14:textId="77777777" w:rsidR="000773A0" w:rsidRPr="00E117A3" w:rsidRDefault="000773A0" w:rsidP="00FD6560">
            <w:pPr>
              <w:pStyle w:val="ENoteTableHeading"/>
            </w:pPr>
            <w:r>
              <w:t>Assent</w:t>
            </w:r>
          </w:p>
        </w:tc>
        <w:tc>
          <w:tcPr>
            <w:tcW w:w="1277" w:type="pct"/>
            <w:tcBorders>
              <w:top w:val="single" w:sz="12" w:space="0" w:color="auto"/>
              <w:bottom w:val="single" w:sz="12" w:space="0" w:color="auto"/>
            </w:tcBorders>
            <w:shd w:val="clear" w:color="auto" w:fill="auto"/>
          </w:tcPr>
          <w:p w14:paraId="2AC57BCF" w14:textId="77777777" w:rsidR="000773A0" w:rsidRPr="00E117A3" w:rsidRDefault="000773A0" w:rsidP="00FD6560">
            <w:pPr>
              <w:pStyle w:val="ENoteTableHeading"/>
            </w:pPr>
            <w:r>
              <w:t>Commencement</w:t>
            </w:r>
          </w:p>
        </w:tc>
        <w:tc>
          <w:tcPr>
            <w:tcW w:w="1076" w:type="pct"/>
            <w:tcBorders>
              <w:top w:val="single" w:sz="12" w:space="0" w:color="auto"/>
              <w:bottom w:val="single" w:sz="12" w:space="0" w:color="auto"/>
            </w:tcBorders>
            <w:shd w:val="clear" w:color="auto" w:fill="auto"/>
          </w:tcPr>
          <w:p w14:paraId="752B72C3" w14:textId="77777777" w:rsidR="000773A0" w:rsidRPr="00E117A3" w:rsidRDefault="000773A0" w:rsidP="00FD6560">
            <w:pPr>
              <w:pStyle w:val="ENoteTableHeading"/>
            </w:pPr>
            <w:r w:rsidRPr="00E117A3">
              <w:t>Application, saving and transitional provisions</w:t>
            </w:r>
          </w:p>
        </w:tc>
      </w:tr>
      <w:tr w:rsidR="000773A0" w:rsidRPr="00E117A3" w14:paraId="5E953C30" w14:textId="77777777" w:rsidTr="00EF6F76">
        <w:trPr>
          <w:cantSplit/>
        </w:trPr>
        <w:tc>
          <w:tcPr>
            <w:tcW w:w="1273" w:type="pct"/>
            <w:tcBorders>
              <w:top w:val="single" w:sz="12" w:space="0" w:color="auto"/>
              <w:bottom w:val="single" w:sz="4" w:space="0" w:color="auto"/>
            </w:tcBorders>
            <w:shd w:val="clear" w:color="auto" w:fill="auto"/>
          </w:tcPr>
          <w:p w14:paraId="5C3BE4AC" w14:textId="5A523682" w:rsidR="000773A0" w:rsidRPr="00E117A3" w:rsidRDefault="00AB5DEB" w:rsidP="00FD6560">
            <w:pPr>
              <w:pStyle w:val="ENoteTableText"/>
            </w:pPr>
            <w:r w:rsidRPr="0097620F">
              <w:t>Horticulture Marketing and Research and Development Services (Repeals and Consequential Provisions) Act 2000</w:t>
            </w:r>
          </w:p>
        </w:tc>
        <w:tc>
          <w:tcPr>
            <w:tcW w:w="687" w:type="pct"/>
            <w:tcBorders>
              <w:top w:val="single" w:sz="12" w:space="0" w:color="auto"/>
              <w:bottom w:val="single" w:sz="4" w:space="0" w:color="auto"/>
            </w:tcBorders>
            <w:shd w:val="clear" w:color="auto" w:fill="auto"/>
          </w:tcPr>
          <w:p w14:paraId="00C087BC" w14:textId="3082C2FF" w:rsidR="000773A0" w:rsidRPr="00E117A3" w:rsidRDefault="00AB5DEB" w:rsidP="00FD6560">
            <w:pPr>
              <w:pStyle w:val="ENoteTableText"/>
            </w:pPr>
            <w:r w:rsidRPr="0097620F">
              <w:t>163, 2000</w:t>
            </w:r>
          </w:p>
        </w:tc>
        <w:tc>
          <w:tcPr>
            <w:tcW w:w="687" w:type="pct"/>
            <w:tcBorders>
              <w:top w:val="single" w:sz="12" w:space="0" w:color="auto"/>
              <w:bottom w:val="single" w:sz="4" w:space="0" w:color="auto"/>
            </w:tcBorders>
            <w:shd w:val="clear" w:color="auto" w:fill="auto"/>
          </w:tcPr>
          <w:p w14:paraId="7523E453" w14:textId="18730AD1" w:rsidR="000773A0" w:rsidRPr="00E117A3" w:rsidRDefault="00AB5DEB" w:rsidP="00FD6560">
            <w:pPr>
              <w:pStyle w:val="ENoteTableText"/>
            </w:pPr>
            <w:r w:rsidRPr="00AB5DEB">
              <w:t>1 Dec 2000</w:t>
            </w:r>
          </w:p>
        </w:tc>
        <w:tc>
          <w:tcPr>
            <w:tcW w:w="1277" w:type="pct"/>
            <w:tcBorders>
              <w:top w:val="single" w:sz="12" w:space="0" w:color="auto"/>
              <w:bottom w:val="single" w:sz="4" w:space="0" w:color="auto"/>
            </w:tcBorders>
            <w:shd w:val="clear" w:color="auto" w:fill="auto"/>
          </w:tcPr>
          <w:p w14:paraId="7CFB4AB9" w14:textId="304C8CBF" w:rsidR="000773A0" w:rsidRPr="00E117A3" w:rsidRDefault="00AB5DEB" w:rsidP="00D541F2">
            <w:pPr>
              <w:pStyle w:val="ENoteTableText"/>
            </w:pPr>
            <w:r>
              <w:t>Sch 1 and 2: 1 Feb 2001 (</w:t>
            </w:r>
            <w:r w:rsidR="001022BA" w:rsidRPr="001022BA">
              <w:rPr>
                <w:i/>
                <w:iCs/>
              </w:rPr>
              <w:t xml:space="preserve">see </w:t>
            </w:r>
            <w:r>
              <w:t>Gaz 2001, No. GN6)</w:t>
            </w:r>
            <w:r w:rsidR="00D541F2">
              <w:t xml:space="preserve"> (s 2(2))</w:t>
            </w:r>
            <w:r w:rsidR="00D541F2">
              <w:br/>
            </w:r>
            <w:r>
              <w:t xml:space="preserve">Sch 3: </w:t>
            </w:r>
            <w:r w:rsidR="006D2538">
              <w:t xml:space="preserve">never commenced </w:t>
            </w:r>
            <w:r>
              <w:t>(s 2(3))</w:t>
            </w:r>
            <w:r w:rsidR="00D541F2">
              <w:br/>
            </w:r>
            <w:r>
              <w:t>Sch 4: 21 Dec 2001 (s 2(4))</w:t>
            </w:r>
            <w:r w:rsidR="00D541F2">
              <w:br/>
            </w:r>
            <w:r>
              <w:t>Remainder: 21 Dec 2000 (s 2(1))</w:t>
            </w:r>
          </w:p>
        </w:tc>
        <w:tc>
          <w:tcPr>
            <w:tcW w:w="1076" w:type="pct"/>
            <w:tcBorders>
              <w:top w:val="single" w:sz="12" w:space="0" w:color="auto"/>
              <w:bottom w:val="single" w:sz="4" w:space="0" w:color="auto"/>
            </w:tcBorders>
            <w:shd w:val="clear" w:color="auto" w:fill="auto"/>
          </w:tcPr>
          <w:p w14:paraId="4F6E8947" w14:textId="77777777" w:rsidR="000773A0" w:rsidRPr="00E117A3" w:rsidRDefault="000773A0" w:rsidP="00FD6560">
            <w:pPr>
              <w:pStyle w:val="ENoteTableText"/>
            </w:pPr>
          </w:p>
        </w:tc>
      </w:tr>
      <w:tr w:rsidR="000773A0" w:rsidRPr="00B81A8B" w14:paraId="0BBB9CCA" w14:textId="77777777" w:rsidTr="00EF6F76">
        <w:trPr>
          <w:cantSplit/>
        </w:trPr>
        <w:tc>
          <w:tcPr>
            <w:tcW w:w="1273" w:type="pct"/>
            <w:shd w:val="clear" w:color="auto" w:fill="auto"/>
          </w:tcPr>
          <w:p w14:paraId="1E32DDA6" w14:textId="1E45AA68" w:rsidR="000773A0" w:rsidRPr="00E117A3" w:rsidRDefault="00EF6F76" w:rsidP="00FD6560">
            <w:pPr>
              <w:pStyle w:val="ENoteTableText"/>
            </w:pPr>
            <w:r w:rsidRPr="0097620F">
              <w:t>Agriculture, Fisheries and Forestry Legislation Amendment (Application of Criminal Code) Act 2001</w:t>
            </w:r>
          </w:p>
        </w:tc>
        <w:tc>
          <w:tcPr>
            <w:tcW w:w="687" w:type="pct"/>
            <w:shd w:val="clear" w:color="auto" w:fill="auto"/>
          </w:tcPr>
          <w:p w14:paraId="206DE579" w14:textId="64C7DDA6" w:rsidR="000773A0" w:rsidRPr="00E117A3" w:rsidRDefault="00EF6F76" w:rsidP="00FD6560">
            <w:pPr>
              <w:pStyle w:val="ENoteTableText"/>
            </w:pPr>
            <w:r w:rsidRPr="0097620F">
              <w:t>115, 2001</w:t>
            </w:r>
          </w:p>
        </w:tc>
        <w:tc>
          <w:tcPr>
            <w:tcW w:w="687" w:type="pct"/>
            <w:shd w:val="clear" w:color="auto" w:fill="auto"/>
          </w:tcPr>
          <w:p w14:paraId="33092754" w14:textId="565BD02B" w:rsidR="000773A0" w:rsidRPr="00E117A3" w:rsidRDefault="00EF6F76" w:rsidP="00FD6560">
            <w:pPr>
              <w:pStyle w:val="ENoteTableText"/>
            </w:pPr>
            <w:smartTag w:uri="urn:schemas-microsoft-com:office:smarttags" w:element="date">
              <w:smartTagPr>
                <w:attr w:name="Year" w:val="2001"/>
                <w:attr w:name="Day" w:val="18"/>
                <w:attr w:name="Month" w:val="9"/>
              </w:smartTagPr>
              <w:r w:rsidRPr="0097620F">
                <w:t>18 Sept 2001</w:t>
              </w:r>
            </w:smartTag>
          </w:p>
        </w:tc>
        <w:tc>
          <w:tcPr>
            <w:tcW w:w="1277" w:type="pct"/>
            <w:shd w:val="clear" w:color="auto" w:fill="auto"/>
          </w:tcPr>
          <w:p w14:paraId="0136893A" w14:textId="5D2BEC14" w:rsidR="000773A0" w:rsidRPr="00E117A3" w:rsidRDefault="00EF6F76" w:rsidP="00FD6560">
            <w:pPr>
              <w:pStyle w:val="ENoteTableText"/>
            </w:pPr>
            <w:smartTag w:uri="urn:schemas-microsoft-com:office:smarttags" w:element="date">
              <w:smartTagPr>
                <w:attr w:name="Year" w:val="2001"/>
                <w:attr w:name="Day" w:val="16"/>
                <w:attr w:name="Month" w:val="10"/>
              </w:smartTagPr>
              <w:r w:rsidRPr="0097620F">
                <w:t>16 Oct 2001</w:t>
              </w:r>
            </w:smartTag>
            <w:r w:rsidR="0037299E">
              <w:t xml:space="preserve"> (s 2)</w:t>
            </w:r>
          </w:p>
        </w:tc>
        <w:tc>
          <w:tcPr>
            <w:tcW w:w="1076" w:type="pct"/>
            <w:shd w:val="clear" w:color="auto" w:fill="auto"/>
          </w:tcPr>
          <w:p w14:paraId="243B2308" w14:textId="7F923F13" w:rsidR="000773A0" w:rsidRPr="00E117A3" w:rsidRDefault="00EF6F76" w:rsidP="00FD6560">
            <w:pPr>
              <w:pStyle w:val="ENoteTableText"/>
            </w:pPr>
            <w:r>
              <w:t>s 4</w:t>
            </w:r>
          </w:p>
        </w:tc>
      </w:tr>
      <w:tr w:rsidR="00EF6F76" w:rsidRPr="00B81A8B" w14:paraId="78F8891F" w14:textId="77777777" w:rsidTr="00EF6F76">
        <w:trPr>
          <w:cantSplit/>
        </w:trPr>
        <w:tc>
          <w:tcPr>
            <w:tcW w:w="1273" w:type="pct"/>
            <w:shd w:val="clear" w:color="auto" w:fill="auto"/>
          </w:tcPr>
          <w:p w14:paraId="6262B50F" w14:textId="51643364" w:rsidR="00EF6F76" w:rsidRPr="0097620F" w:rsidRDefault="00EF6F76" w:rsidP="00EF6F76">
            <w:pPr>
              <w:pStyle w:val="ENoteTableText"/>
            </w:pPr>
            <w:r w:rsidRPr="0097620F">
              <w:t>Fair Work (State Referral and Consequential and Other Amendments) Act 2009</w:t>
            </w:r>
          </w:p>
        </w:tc>
        <w:tc>
          <w:tcPr>
            <w:tcW w:w="687" w:type="pct"/>
            <w:shd w:val="clear" w:color="auto" w:fill="auto"/>
          </w:tcPr>
          <w:p w14:paraId="7FC8E9F2" w14:textId="33086F8E" w:rsidR="00EF6F76" w:rsidRPr="0097620F" w:rsidRDefault="00EF6F76" w:rsidP="00EF6F76">
            <w:pPr>
              <w:pStyle w:val="ENoteTableText"/>
            </w:pPr>
            <w:r w:rsidRPr="00EF6F76">
              <w:t>54, 2009</w:t>
            </w:r>
          </w:p>
        </w:tc>
        <w:tc>
          <w:tcPr>
            <w:tcW w:w="687" w:type="pct"/>
            <w:shd w:val="clear" w:color="auto" w:fill="auto"/>
          </w:tcPr>
          <w:p w14:paraId="59C3DF86" w14:textId="2A01F659" w:rsidR="00EF6F76" w:rsidRPr="0097620F" w:rsidRDefault="001F5C7F" w:rsidP="00EF6F76">
            <w:pPr>
              <w:pStyle w:val="ENoteTableText"/>
            </w:pPr>
            <w:r>
              <w:t>25 June</w:t>
            </w:r>
            <w:r w:rsidR="00EF6F76" w:rsidRPr="00EF6F76">
              <w:t xml:space="preserve"> 2009</w:t>
            </w:r>
          </w:p>
        </w:tc>
        <w:tc>
          <w:tcPr>
            <w:tcW w:w="1277" w:type="pct"/>
            <w:shd w:val="clear" w:color="auto" w:fill="auto"/>
          </w:tcPr>
          <w:p w14:paraId="4A630633" w14:textId="6D7C04D2" w:rsidR="00EF6F76" w:rsidRPr="0097620F" w:rsidRDefault="00EF6F76" w:rsidP="00EF6F76">
            <w:pPr>
              <w:pStyle w:val="ENoteTableText"/>
            </w:pPr>
            <w:r w:rsidRPr="0097620F">
              <w:t>Sch</w:t>
            </w:r>
            <w:r>
              <w:t xml:space="preserve"> </w:t>
            </w:r>
            <w:r w:rsidRPr="0097620F">
              <w:t>4 (</w:t>
            </w:r>
            <w:r w:rsidR="001F5C7F">
              <w:t>item 4</w:t>
            </w:r>
            <w:r w:rsidRPr="0097620F">
              <w:t xml:space="preserve">): </w:t>
            </w:r>
            <w:r w:rsidR="001F5C7F">
              <w:rPr>
                <w:iCs/>
              </w:rPr>
              <w:t>1 July</w:t>
            </w:r>
            <w:r w:rsidR="006D2538">
              <w:rPr>
                <w:iCs/>
              </w:rPr>
              <w:t xml:space="preserve"> 2009 (s 2(1) </w:t>
            </w:r>
            <w:r w:rsidR="001F5C7F">
              <w:rPr>
                <w:iCs/>
              </w:rPr>
              <w:t>item 1</w:t>
            </w:r>
            <w:r w:rsidR="006D2538">
              <w:rPr>
                <w:iCs/>
              </w:rPr>
              <w:t>0)</w:t>
            </w:r>
          </w:p>
        </w:tc>
        <w:tc>
          <w:tcPr>
            <w:tcW w:w="1076" w:type="pct"/>
            <w:shd w:val="clear" w:color="auto" w:fill="auto"/>
          </w:tcPr>
          <w:p w14:paraId="53F1A94B" w14:textId="4C0A9CDA" w:rsidR="00EF6F76" w:rsidRDefault="00EF6F76" w:rsidP="00EF6F76">
            <w:pPr>
              <w:pStyle w:val="ENoteTableText"/>
            </w:pPr>
            <w:r w:rsidRPr="0097620F">
              <w:t>—</w:t>
            </w:r>
          </w:p>
        </w:tc>
      </w:tr>
      <w:tr w:rsidR="00113845" w:rsidRPr="00B81A8B" w14:paraId="3BA29CAE" w14:textId="77777777" w:rsidTr="00EF6F76">
        <w:trPr>
          <w:cantSplit/>
        </w:trPr>
        <w:tc>
          <w:tcPr>
            <w:tcW w:w="1273" w:type="pct"/>
            <w:shd w:val="clear" w:color="auto" w:fill="auto"/>
          </w:tcPr>
          <w:p w14:paraId="413208D2" w14:textId="3661A2FB" w:rsidR="00113845" w:rsidRPr="0097620F" w:rsidRDefault="00113845" w:rsidP="00113845">
            <w:pPr>
              <w:pStyle w:val="ENoteTableText"/>
            </w:pPr>
            <w:r w:rsidRPr="0097620F">
              <w:t>Statute Stocktake (Regulatory and Other Laws) Act 2009</w:t>
            </w:r>
          </w:p>
        </w:tc>
        <w:tc>
          <w:tcPr>
            <w:tcW w:w="687" w:type="pct"/>
            <w:shd w:val="clear" w:color="auto" w:fill="auto"/>
          </w:tcPr>
          <w:p w14:paraId="37894345" w14:textId="5AB643AF" w:rsidR="00113845" w:rsidRPr="0097620F" w:rsidRDefault="00113845" w:rsidP="00113845">
            <w:pPr>
              <w:pStyle w:val="ENoteTableText"/>
            </w:pPr>
            <w:r w:rsidRPr="0097620F">
              <w:t>111, 2009</w:t>
            </w:r>
          </w:p>
        </w:tc>
        <w:tc>
          <w:tcPr>
            <w:tcW w:w="687" w:type="pct"/>
            <w:shd w:val="clear" w:color="auto" w:fill="auto"/>
          </w:tcPr>
          <w:p w14:paraId="27E69159" w14:textId="1D4F7BE0" w:rsidR="00113845" w:rsidRPr="0097620F" w:rsidRDefault="00113845" w:rsidP="00113845">
            <w:pPr>
              <w:pStyle w:val="ENoteTableText"/>
            </w:pPr>
            <w:r w:rsidRPr="0097620F">
              <w:t>16 Nov 2009</w:t>
            </w:r>
          </w:p>
        </w:tc>
        <w:tc>
          <w:tcPr>
            <w:tcW w:w="1277" w:type="pct"/>
            <w:shd w:val="clear" w:color="auto" w:fill="auto"/>
          </w:tcPr>
          <w:p w14:paraId="5362D0A8" w14:textId="758D6889" w:rsidR="00113845" w:rsidRPr="0097620F" w:rsidRDefault="00113845" w:rsidP="00113845">
            <w:pPr>
              <w:pStyle w:val="ENoteTableText"/>
            </w:pPr>
            <w:r w:rsidRPr="0097620F">
              <w:t>Sch</w:t>
            </w:r>
            <w:r>
              <w:t xml:space="preserve"> </w:t>
            </w:r>
            <w:r w:rsidRPr="0097620F">
              <w:t>1 (</w:t>
            </w:r>
            <w:r w:rsidR="001F5C7F">
              <w:t>item 1</w:t>
            </w:r>
            <w:r w:rsidRPr="0097620F">
              <w:t>7): 17 Nov 2009</w:t>
            </w:r>
            <w:r w:rsidR="00FA319D">
              <w:t xml:space="preserve"> (s 2)</w:t>
            </w:r>
          </w:p>
        </w:tc>
        <w:tc>
          <w:tcPr>
            <w:tcW w:w="1076" w:type="pct"/>
            <w:shd w:val="clear" w:color="auto" w:fill="auto"/>
          </w:tcPr>
          <w:p w14:paraId="10EBA842" w14:textId="4FEBBCA0" w:rsidR="00113845" w:rsidRDefault="00113845" w:rsidP="00113845">
            <w:pPr>
              <w:pStyle w:val="ENoteTableText"/>
            </w:pPr>
            <w:r w:rsidRPr="0097620F">
              <w:t>—</w:t>
            </w:r>
          </w:p>
        </w:tc>
      </w:tr>
      <w:tr w:rsidR="00113845" w:rsidRPr="00B81A8B" w14:paraId="3DABF092" w14:textId="77777777" w:rsidTr="00EF6F76">
        <w:trPr>
          <w:cantSplit/>
        </w:trPr>
        <w:tc>
          <w:tcPr>
            <w:tcW w:w="1273" w:type="pct"/>
            <w:shd w:val="clear" w:color="auto" w:fill="auto"/>
          </w:tcPr>
          <w:p w14:paraId="43BE95D7" w14:textId="0435DA4B" w:rsidR="00113845" w:rsidRPr="0097620F" w:rsidRDefault="00113845" w:rsidP="00113845">
            <w:pPr>
              <w:pStyle w:val="ENoteTableText"/>
            </w:pPr>
            <w:r w:rsidRPr="001865DE">
              <w:t>Statute Law Revision Act 2013</w:t>
            </w:r>
          </w:p>
        </w:tc>
        <w:tc>
          <w:tcPr>
            <w:tcW w:w="687" w:type="pct"/>
            <w:shd w:val="clear" w:color="auto" w:fill="auto"/>
          </w:tcPr>
          <w:p w14:paraId="01873E56" w14:textId="21041D41" w:rsidR="00113845" w:rsidRPr="0097620F" w:rsidRDefault="00113845" w:rsidP="00113845">
            <w:pPr>
              <w:pStyle w:val="ENoteTableText"/>
            </w:pPr>
            <w:r>
              <w:t>103, 2013</w:t>
            </w:r>
          </w:p>
        </w:tc>
        <w:tc>
          <w:tcPr>
            <w:tcW w:w="687" w:type="pct"/>
            <w:shd w:val="clear" w:color="auto" w:fill="auto"/>
          </w:tcPr>
          <w:p w14:paraId="3C6F2BEE" w14:textId="14BDF748" w:rsidR="00113845" w:rsidRPr="0097620F" w:rsidRDefault="001F5C7F" w:rsidP="00113845">
            <w:pPr>
              <w:pStyle w:val="ENoteTableText"/>
            </w:pPr>
            <w:r>
              <w:t>29 June</w:t>
            </w:r>
            <w:r w:rsidR="00113845">
              <w:t xml:space="preserve"> 2013</w:t>
            </w:r>
          </w:p>
        </w:tc>
        <w:tc>
          <w:tcPr>
            <w:tcW w:w="1277" w:type="pct"/>
            <w:shd w:val="clear" w:color="auto" w:fill="auto"/>
          </w:tcPr>
          <w:p w14:paraId="0FF51644" w14:textId="4446E7C9" w:rsidR="00113845" w:rsidRPr="0097620F" w:rsidRDefault="00113845" w:rsidP="00113845">
            <w:pPr>
              <w:pStyle w:val="ENoteTableText"/>
            </w:pPr>
            <w:r>
              <w:t xml:space="preserve">Sch 4 (items 11–13): </w:t>
            </w:r>
            <w:r w:rsidR="001F5C7F">
              <w:t>29 June</w:t>
            </w:r>
            <w:r>
              <w:t xml:space="preserve"> 2013</w:t>
            </w:r>
            <w:r w:rsidR="00425DDC">
              <w:t xml:space="preserve"> (s 2(1) </w:t>
            </w:r>
            <w:r w:rsidR="001F5C7F">
              <w:t>item 1</w:t>
            </w:r>
            <w:r w:rsidR="00425DDC">
              <w:t>6)</w:t>
            </w:r>
          </w:p>
        </w:tc>
        <w:tc>
          <w:tcPr>
            <w:tcW w:w="1076" w:type="pct"/>
            <w:shd w:val="clear" w:color="auto" w:fill="auto"/>
          </w:tcPr>
          <w:p w14:paraId="4863F49C" w14:textId="101A926A" w:rsidR="00113845" w:rsidRDefault="00113845" w:rsidP="00113845">
            <w:pPr>
              <w:pStyle w:val="ENoteTableText"/>
            </w:pPr>
            <w:r>
              <w:t>—</w:t>
            </w:r>
          </w:p>
        </w:tc>
      </w:tr>
      <w:tr w:rsidR="00EF6F76" w:rsidRPr="00B81A8B" w14:paraId="22799DCA" w14:textId="77777777" w:rsidTr="00EF6F76">
        <w:trPr>
          <w:cantSplit/>
        </w:trPr>
        <w:tc>
          <w:tcPr>
            <w:tcW w:w="1273" w:type="pct"/>
            <w:tcBorders>
              <w:bottom w:val="single" w:sz="12" w:space="0" w:color="auto"/>
            </w:tcBorders>
            <w:shd w:val="clear" w:color="auto" w:fill="auto"/>
          </w:tcPr>
          <w:p w14:paraId="7B716F9F" w14:textId="5422FE8D" w:rsidR="00EF6F76" w:rsidRPr="0097620F" w:rsidRDefault="00B14704" w:rsidP="00FD6560">
            <w:pPr>
              <w:pStyle w:val="ENoteTableText"/>
            </w:pPr>
            <w:r w:rsidRPr="00B14704">
              <w:lastRenderedPageBreak/>
              <w:t>Primary Industries (Consequential Amendments and Transitional Provisions) Act 2024</w:t>
            </w:r>
          </w:p>
        </w:tc>
        <w:tc>
          <w:tcPr>
            <w:tcW w:w="687" w:type="pct"/>
            <w:tcBorders>
              <w:bottom w:val="single" w:sz="12" w:space="0" w:color="auto"/>
            </w:tcBorders>
            <w:shd w:val="clear" w:color="auto" w:fill="auto"/>
          </w:tcPr>
          <w:p w14:paraId="49D41249" w14:textId="067E6F2F" w:rsidR="00EF6F76" w:rsidRPr="0097620F" w:rsidRDefault="00B14704" w:rsidP="00FD6560">
            <w:pPr>
              <w:pStyle w:val="ENoteTableText"/>
            </w:pPr>
            <w:r>
              <w:t>60, 2024</w:t>
            </w:r>
          </w:p>
        </w:tc>
        <w:tc>
          <w:tcPr>
            <w:tcW w:w="687" w:type="pct"/>
            <w:tcBorders>
              <w:bottom w:val="single" w:sz="12" w:space="0" w:color="auto"/>
            </w:tcBorders>
            <w:shd w:val="clear" w:color="auto" w:fill="auto"/>
          </w:tcPr>
          <w:p w14:paraId="67CE472B" w14:textId="28AD96A3" w:rsidR="00EF6F76" w:rsidRPr="0097620F" w:rsidRDefault="001F5C7F" w:rsidP="00FD6560">
            <w:pPr>
              <w:pStyle w:val="ENoteTableText"/>
            </w:pPr>
            <w:r>
              <w:t>9 July</w:t>
            </w:r>
            <w:r w:rsidR="00B14704">
              <w:t xml:space="preserve"> 2024</w:t>
            </w:r>
          </w:p>
        </w:tc>
        <w:tc>
          <w:tcPr>
            <w:tcW w:w="1277" w:type="pct"/>
            <w:tcBorders>
              <w:bottom w:val="single" w:sz="12" w:space="0" w:color="auto"/>
            </w:tcBorders>
            <w:shd w:val="clear" w:color="auto" w:fill="auto"/>
          </w:tcPr>
          <w:p w14:paraId="6F8D35DA" w14:textId="270B327E" w:rsidR="00EF6F76" w:rsidRPr="0097620F" w:rsidRDefault="00B14704" w:rsidP="00FD6560">
            <w:pPr>
              <w:pStyle w:val="ENoteTableText"/>
            </w:pPr>
            <w:r>
              <w:t>Sch 2 (</w:t>
            </w:r>
            <w:r w:rsidR="001F5C7F">
              <w:t>item 4</w:t>
            </w:r>
            <w:r>
              <w:t xml:space="preserve">): 1 Jan 2025 (s 2(1) </w:t>
            </w:r>
            <w:r w:rsidR="001F5C7F">
              <w:t>item 3</w:t>
            </w:r>
            <w:r>
              <w:t>)</w:t>
            </w:r>
          </w:p>
        </w:tc>
        <w:tc>
          <w:tcPr>
            <w:tcW w:w="1076" w:type="pct"/>
            <w:tcBorders>
              <w:bottom w:val="single" w:sz="12" w:space="0" w:color="auto"/>
            </w:tcBorders>
            <w:shd w:val="clear" w:color="auto" w:fill="auto"/>
          </w:tcPr>
          <w:p w14:paraId="1757E85B" w14:textId="5023EC15" w:rsidR="00EF6F76" w:rsidRDefault="00B14704" w:rsidP="00FD6560">
            <w:pPr>
              <w:pStyle w:val="ENoteTableText"/>
            </w:pPr>
            <w:r w:rsidRPr="00B14704">
              <w:t>—</w:t>
            </w:r>
          </w:p>
        </w:tc>
      </w:tr>
    </w:tbl>
    <w:p w14:paraId="377A96CF" w14:textId="77777777" w:rsidR="000773A0" w:rsidRPr="00113845" w:rsidRDefault="000773A0" w:rsidP="00113845">
      <w:pPr>
        <w:pStyle w:val="Tabletext"/>
      </w:pPr>
    </w:p>
    <w:tbl>
      <w:tblPr>
        <w:tblW w:w="7229"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11"/>
        <w:gridCol w:w="1806"/>
        <w:gridCol w:w="1806"/>
        <w:gridCol w:w="1806"/>
      </w:tblGrid>
      <w:tr w:rsidR="00113845" w:rsidRPr="009D1F55" w14:paraId="61CD7176" w14:textId="77777777" w:rsidTr="00F97C2C">
        <w:trPr>
          <w:tblHeader/>
        </w:trPr>
        <w:tc>
          <w:tcPr>
            <w:tcW w:w="1811" w:type="dxa"/>
            <w:tcBorders>
              <w:top w:val="single" w:sz="12" w:space="0" w:color="auto"/>
              <w:bottom w:val="single" w:sz="12" w:space="0" w:color="auto"/>
            </w:tcBorders>
            <w:shd w:val="clear" w:color="auto" w:fill="auto"/>
          </w:tcPr>
          <w:p w14:paraId="3E540687" w14:textId="77777777" w:rsidR="00113845" w:rsidRPr="0036425D" w:rsidRDefault="00113845" w:rsidP="00344DC1">
            <w:pPr>
              <w:pStyle w:val="ENoteTableHeading"/>
            </w:pPr>
            <w:r w:rsidRPr="0036425D">
              <w:t>Number and year</w:t>
            </w:r>
          </w:p>
        </w:tc>
        <w:tc>
          <w:tcPr>
            <w:tcW w:w="1806" w:type="dxa"/>
            <w:tcBorders>
              <w:top w:val="single" w:sz="12" w:space="0" w:color="auto"/>
              <w:bottom w:val="single" w:sz="12" w:space="0" w:color="auto"/>
            </w:tcBorders>
            <w:shd w:val="clear" w:color="auto" w:fill="auto"/>
          </w:tcPr>
          <w:p w14:paraId="388B33E6" w14:textId="77777777" w:rsidR="00113845" w:rsidRPr="0036425D" w:rsidRDefault="00113845" w:rsidP="00344DC1">
            <w:pPr>
              <w:pStyle w:val="ENoteTableHeading"/>
            </w:pPr>
            <w:r w:rsidRPr="0036425D">
              <w:t>FRLI registration date</w:t>
            </w:r>
          </w:p>
        </w:tc>
        <w:tc>
          <w:tcPr>
            <w:tcW w:w="1806" w:type="dxa"/>
            <w:tcBorders>
              <w:top w:val="single" w:sz="12" w:space="0" w:color="auto"/>
              <w:bottom w:val="single" w:sz="12" w:space="0" w:color="auto"/>
            </w:tcBorders>
            <w:shd w:val="clear" w:color="auto" w:fill="auto"/>
          </w:tcPr>
          <w:p w14:paraId="4F52C3A3" w14:textId="77777777" w:rsidR="00113845" w:rsidRPr="0036425D" w:rsidRDefault="00113845" w:rsidP="00344DC1">
            <w:pPr>
              <w:pStyle w:val="ENoteTableHeading"/>
            </w:pPr>
            <w:r w:rsidRPr="0036425D">
              <w:t>Commencement</w:t>
            </w:r>
            <w:r w:rsidRPr="0036425D">
              <w:br/>
              <w:t>date</w:t>
            </w:r>
          </w:p>
        </w:tc>
        <w:tc>
          <w:tcPr>
            <w:tcW w:w="1806" w:type="dxa"/>
            <w:tcBorders>
              <w:top w:val="single" w:sz="12" w:space="0" w:color="auto"/>
              <w:bottom w:val="single" w:sz="12" w:space="0" w:color="auto"/>
            </w:tcBorders>
            <w:shd w:val="clear" w:color="auto" w:fill="auto"/>
          </w:tcPr>
          <w:p w14:paraId="35283030" w14:textId="77777777" w:rsidR="00113845" w:rsidRPr="0036425D" w:rsidRDefault="00113845" w:rsidP="00344DC1">
            <w:pPr>
              <w:pStyle w:val="ENoteTableHeading"/>
            </w:pPr>
            <w:r w:rsidRPr="0036425D">
              <w:t>Application, saving and transitional provisions</w:t>
            </w:r>
          </w:p>
        </w:tc>
      </w:tr>
      <w:tr w:rsidR="00113845" w:rsidRPr="00AB5D0E" w14:paraId="140CFCFF" w14:textId="77777777" w:rsidTr="00F97C2C">
        <w:tc>
          <w:tcPr>
            <w:tcW w:w="1811" w:type="dxa"/>
            <w:tcBorders>
              <w:top w:val="single" w:sz="12" w:space="0" w:color="auto"/>
              <w:bottom w:val="single" w:sz="12" w:space="0" w:color="auto"/>
            </w:tcBorders>
            <w:shd w:val="clear" w:color="auto" w:fill="auto"/>
          </w:tcPr>
          <w:p w14:paraId="21869569" w14:textId="4180CC4E" w:rsidR="00113845" w:rsidRPr="0036425D" w:rsidRDefault="00113845" w:rsidP="00B14704">
            <w:pPr>
              <w:pStyle w:val="ENoteTableText"/>
              <w:spacing w:after="60"/>
            </w:pPr>
            <w:r w:rsidRPr="0036425D">
              <w:t>No</w:t>
            </w:r>
            <w:r w:rsidR="007D1EBD">
              <w:t xml:space="preserve"> </w:t>
            </w:r>
            <w:r w:rsidRPr="0036425D">
              <w:t>50</w:t>
            </w:r>
            <w:r w:rsidR="00B14704">
              <w:t>, 2006</w:t>
            </w:r>
          </w:p>
        </w:tc>
        <w:tc>
          <w:tcPr>
            <w:tcW w:w="1806" w:type="dxa"/>
            <w:tcBorders>
              <w:top w:val="single" w:sz="12" w:space="0" w:color="auto"/>
              <w:bottom w:val="single" w:sz="12" w:space="0" w:color="auto"/>
            </w:tcBorders>
            <w:shd w:val="clear" w:color="auto" w:fill="auto"/>
          </w:tcPr>
          <w:p w14:paraId="431E92F1" w14:textId="1BA3D737" w:rsidR="00113845" w:rsidRPr="0036425D" w:rsidRDefault="00113845" w:rsidP="00B14704">
            <w:pPr>
              <w:pStyle w:val="ENoteTableText"/>
              <w:spacing w:after="60"/>
            </w:pPr>
            <w:r>
              <w:t>17 Mar 2006 (F2006L00820)</w:t>
            </w:r>
          </w:p>
        </w:tc>
        <w:tc>
          <w:tcPr>
            <w:tcW w:w="1806" w:type="dxa"/>
            <w:tcBorders>
              <w:top w:val="single" w:sz="12" w:space="0" w:color="auto"/>
              <w:bottom w:val="single" w:sz="12" w:space="0" w:color="auto"/>
            </w:tcBorders>
            <w:shd w:val="clear" w:color="auto" w:fill="auto"/>
          </w:tcPr>
          <w:p w14:paraId="06F8116E" w14:textId="0A1BE559" w:rsidR="00113845" w:rsidRPr="0036425D" w:rsidRDefault="00113845" w:rsidP="00B14704">
            <w:pPr>
              <w:pStyle w:val="ENoteTableText"/>
              <w:spacing w:after="60"/>
            </w:pPr>
            <w:r>
              <w:t>Sch 26: 27 Mar 2006 (r 2(b))</w:t>
            </w:r>
          </w:p>
        </w:tc>
        <w:tc>
          <w:tcPr>
            <w:tcW w:w="1806" w:type="dxa"/>
            <w:tcBorders>
              <w:top w:val="single" w:sz="12" w:space="0" w:color="auto"/>
              <w:bottom w:val="single" w:sz="12" w:space="0" w:color="auto"/>
            </w:tcBorders>
            <w:shd w:val="clear" w:color="auto" w:fill="auto"/>
          </w:tcPr>
          <w:p w14:paraId="75C14F52" w14:textId="77777777" w:rsidR="00113845" w:rsidRPr="0036425D" w:rsidRDefault="00113845" w:rsidP="00B14704">
            <w:pPr>
              <w:pStyle w:val="ENoteTableText"/>
              <w:spacing w:after="60"/>
            </w:pPr>
            <w:r>
              <w:t>—</w:t>
            </w:r>
          </w:p>
        </w:tc>
      </w:tr>
    </w:tbl>
    <w:p w14:paraId="55A3F986" w14:textId="77777777" w:rsidR="00113845" w:rsidRPr="00B81A8B" w:rsidRDefault="00113845" w:rsidP="00D37EEB">
      <w:pPr>
        <w:pStyle w:val="Tabletext"/>
      </w:pPr>
    </w:p>
    <w:p w14:paraId="3C669DE8" w14:textId="77777777" w:rsidR="007D1EBD" w:rsidRPr="00D30CA1" w:rsidRDefault="007D1EBD" w:rsidP="007D1EBD">
      <w:pPr>
        <w:pStyle w:val="ENotesHeading2"/>
        <w:pageBreakBefore/>
        <w:outlineLvl w:val="9"/>
      </w:pPr>
      <w:bookmarkStart w:id="69" w:name="_Toc187396054"/>
      <w:r w:rsidRPr="00D30CA1">
        <w:lastRenderedPageBreak/>
        <w:t>Endnote 4—Amendment history</w:t>
      </w:r>
      <w:bookmarkEnd w:id="69"/>
    </w:p>
    <w:p w14:paraId="47C4A5C5" w14:textId="77777777" w:rsidR="007D1EBD" w:rsidRPr="00D30CA1" w:rsidRDefault="007D1EBD" w:rsidP="007D1EBD">
      <w:pPr>
        <w:pStyle w:val="Tabletext"/>
      </w:pPr>
    </w:p>
    <w:tbl>
      <w:tblPr>
        <w:tblW w:w="6804" w:type="dxa"/>
        <w:tblInd w:w="108" w:type="dxa"/>
        <w:tblLayout w:type="fixed"/>
        <w:tblLook w:val="0000" w:firstRow="0" w:lastRow="0" w:firstColumn="0" w:lastColumn="0" w:noHBand="0" w:noVBand="0"/>
      </w:tblPr>
      <w:tblGrid>
        <w:gridCol w:w="2509"/>
        <w:gridCol w:w="43"/>
        <w:gridCol w:w="4252"/>
      </w:tblGrid>
      <w:tr w:rsidR="007D1EBD" w:rsidRPr="00D30CA1" w14:paraId="56C4138E" w14:textId="77777777" w:rsidTr="0002281F">
        <w:trPr>
          <w:cantSplit/>
          <w:tblHeader/>
        </w:trPr>
        <w:tc>
          <w:tcPr>
            <w:tcW w:w="2509" w:type="dxa"/>
            <w:tcBorders>
              <w:top w:val="single" w:sz="12" w:space="0" w:color="auto"/>
              <w:bottom w:val="single" w:sz="12" w:space="0" w:color="auto"/>
            </w:tcBorders>
            <w:shd w:val="clear" w:color="auto" w:fill="auto"/>
          </w:tcPr>
          <w:p w14:paraId="5E186443" w14:textId="77777777" w:rsidR="007D1EBD" w:rsidRPr="00D30CA1" w:rsidRDefault="007D1EBD" w:rsidP="00344DC1">
            <w:pPr>
              <w:pStyle w:val="ENoteTableHeading"/>
            </w:pPr>
            <w:r w:rsidRPr="00D30CA1">
              <w:t>Provision affected</w:t>
            </w:r>
          </w:p>
        </w:tc>
        <w:tc>
          <w:tcPr>
            <w:tcW w:w="4295" w:type="dxa"/>
            <w:gridSpan w:val="2"/>
            <w:tcBorders>
              <w:top w:val="single" w:sz="12" w:space="0" w:color="auto"/>
              <w:bottom w:val="single" w:sz="12" w:space="0" w:color="auto"/>
            </w:tcBorders>
            <w:shd w:val="clear" w:color="auto" w:fill="auto"/>
          </w:tcPr>
          <w:p w14:paraId="68CB352E" w14:textId="77777777" w:rsidR="007D1EBD" w:rsidRPr="00D30CA1" w:rsidRDefault="007D1EBD" w:rsidP="00344DC1">
            <w:pPr>
              <w:pStyle w:val="ENoteTableHeading"/>
            </w:pPr>
            <w:r w:rsidRPr="00D30CA1">
              <w:t>How affected</w:t>
            </w:r>
          </w:p>
        </w:tc>
      </w:tr>
      <w:tr w:rsidR="007D1EBD" w:rsidRPr="0097620F" w14:paraId="7FEC9E1F" w14:textId="77777777" w:rsidTr="0002281F">
        <w:trPr>
          <w:cantSplit/>
        </w:trPr>
        <w:tc>
          <w:tcPr>
            <w:tcW w:w="2552" w:type="dxa"/>
            <w:gridSpan w:val="2"/>
            <w:tcBorders>
              <w:top w:val="single" w:sz="12" w:space="0" w:color="auto"/>
            </w:tcBorders>
            <w:shd w:val="clear" w:color="auto" w:fill="auto"/>
          </w:tcPr>
          <w:p w14:paraId="3C9BA3E1" w14:textId="77777777" w:rsidR="007D1EBD" w:rsidRPr="0097620F" w:rsidRDefault="007D1EBD" w:rsidP="00344DC1">
            <w:pPr>
              <w:pStyle w:val="ENoteTableText"/>
              <w:ind w:left="46"/>
            </w:pPr>
            <w:r w:rsidRPr="0097620F">
              <w:rPr>
                <w:b/>
              </w:rPr>
              <w:t>Part</w:t>
            </w:r>
            <w:r>
              <w:rPr>
                <w:b/>
              </w:rPr>
              <w:t> </w:t>
            </w:r>
            <w:r w:rsidRPr="0097620F">
              <w:rPr>
                <w:b/>
              </w:rPr>
              <w:t>1</w:t>
            </w:r>
          </w:p>
        </w:tc>
        <w:tc>
          <w:tcPr>
            <w:tcW w:w="4252" w:type="dxa"/>
            <w:tcBorders>
              <w:top w:val="single" w:sz="12" w:space="0" w:color="auto"/>
            </w:tcBorders>
            <w:shd w:val="clear" w:color="auto" w:fill="auto"/>
          </w:tcPr>
          <w:p w14:paraId="39EACDF9" w14:textId="77777777" w:rsidR="007D1EBD" w:rsidRPr="0097620F" w:rsidRDefault="007D1EBD" w:rsidP="003A7D95">
            <w:pPr>
              <w:pStyle w:val="ENoteTableText"/>
              <w:ind w:left="-2140"/>
            </w:pPr>
          </w:p>
        </w:tc>
      </w:tr>
      <w:tr w:rsidR="007D1EBD" w:rsidRPr="0097620F" w14:paraId="79750DF6" w14:textId="77777777" w:rsidTr="0002281F">
        <w:trPr>
          <w:cantSplit/>
        </w:trPr>
        <w:tc>
          <w:tcPr>
            <w:tcW w:w="2552" w:type="dxa"/>
            <w:gridSpan w:val="2"/>
            <w:shd w:val="clear" w:color="auto" w:fill="auto"/>
          </w:tcPr>
          <w:p w14:paraId="337B1535" w14:textId="77777777" w:rsidR="007D1EBD" w:rsidRDefault="007D1EBD" w:rsidP="00344DC1">
            <w:pPr>
              <w:pStyle w:val="ENoteTableText"/>
              <w:tabs>
                <w:tab w:val="center" w:leader="dot" w:pos="2268"/>
              </w:tabs>
              <w:ind w:left="46"/>
            </w:pPr>
            <w:r>
              <w:t>s 3</w:t>
            </w:r>
            <w:r>
              <w:tab/>
            </w:r>
          </w:p>
        </w:tc>
        <w:tc>
          <w:tcPr>
            <w:tcW w:w="4252" w:type="dxa"/>
            <w:shd w:val="clear" w:color="auto" w:fill="auto"/>
          </w:tcPr>
          <w:p w14:paraId="13E9552B" w14:textId="77777777" w:rsidR="007D1EBD" w:rsidRPr="0097620F" w:rsidRDefault="007D1EBD" w:rsidP="00344DC1">
            <w:pPr>
              <w:pStyle w:val="ENoteTableText"/>
            </w:pPr>
            <w:r>
              <w:t>am No 103, 2013</w:t>
            </w:r>
          </w:p>
        </w:tc>
      </w:tr>
      <w:tr w:rsidR="007D1EBD" w:rsidRPr="0097620F" w14:paraId="2F24A740" w14:textId="77777777" w:rsidTr="0002281F">
        <w:trPr>
          <w:cantSplit/>
        </w:trPr>
        <w:tc>
          <w:tcPr>
            <w:tcW w:w="2552" w:type="dxa"/>
            <w:gridSpan w:val="2"/>
            <w:shd w:val="clear" w:color="auto" w:fill="auto"/>
          </w:tcPr>
          <w:p w14:paraId="1AA5912D" w14:textId="77777777" w:rsidR="007D1EBD" w:rsidRPr="0097620F" w:rsidRDefault="007D1EBD" w:rsidP="00344DC1">
            <w:pPr>
              <w:pStyle w:val="ENoteTableText"/>
              <w:tabs>
                <w:tab w:val="center" w:leader="dot" w:pos="2268"/>
              </w:tabs>
              <w:ind w:left="46"/>
            </w:pPr>
            <w:r>
              <w:t>s</w:t>
            </w:r>
            <w:r w:rsidRPr="0097620F">
              <w:t xml:space="preserve"> 4</w:t>
            </w:r>
            <w:r w:rsidRPr="0097620F">
              <w:tab/>
            </w:r>
          </w:p>
        </w:tc>
        <w:tc>
          <w:tcPr>
            <w:tcW w:w="4252" w:type="dxa"/>
            <w:shd w:val="clear" w:color="auto" w:fill="auto"/>
          </w:tcPr>
          <w:p w14:paraId="5CBF3A19" w14:textId="77777777" w:rsidR="007D1EBD" w:rsidRPr="0097620F" w:rsidRDefault="007D1EBD" w:rsidP="00344DC1">
            <w:pPr>
              <w:pStyle w:val="ENoteTableText"/>
            </w:pPr>
            <w:r w:rsidRPr="0097620F">
              <w:t>am No</w:t>
            </w:r>
            <w:r>
              <w:t> </w:t>
            </w:r>
            <w:r w:rsidRPr="0097620F">
              <w:t>54, 2009</w:t>
            </w:r>
            <w:r>
              <w:t>; No 60, 2024</w:t>
            </w:r>
          </w:p>
        </w:tc>
      </w:tr>
      <w:tr w:rsidR="007D1EBD" w:rsidRPr="0097620F" w14:paraId="36559846" w14:textId="77777777" w:rsidTr="0002281F">
        <w:trPr>
          <w:cantSplit/>
        </w:trPr>
        <w:tc>
          <w:tcPr>
            <w:tcW w:w="2552" w:type="dxa"/>
            <w:gridSpan w:val="2"/>
            <w:shd w:val="clear" w:color="auto" w:fill="auto"/>
          </w:tcPr>
          <w:p w14:paraId="2C3117BF" w14:textId="77777777" w:rsidR="007D1EBD" w:rsidRDefault="007D1EBD" w:rsidP="00344DC1">
            <w:pPr>
              <w:pStyle w:val="ENoteTableText"/>
              <w:tabs>
                <w:tab w:val="center" w:leader="dot" w:pos="2268"/>
              </w:tabs>
              <w:ind w:left="46"/>
            </w:pPr>
            <w:r>
              <w:t>s 7</w:t>
            </w:r>
            <w:r>
              <w:tab/>
            </w:r>
          </w:p>
        </w:tc>
        <w:tc>
          <w:tcPr>
            <w:tcW w:w="4252" w:type="dxa"/>
            <w:shd w:val="clear" w:color="auto" w:fill="auto"/>
          </w:tcPr>
          <w:p w14:paraId="7268B787" w14:textId="77777777" w:rsidR="007D1EBD" w:rsidRPr="0097620F" w:rsidRDefault="007D1EBD" w:rsidP="00344DC1">
            <w:pPr>
              <w:pStyle w:val="ENoteTableText"/>
            </w:pPr>
            <w:r>
              <w:t>rep No 103, 2013</w:t>
            </w:r>
          </w:p>
        </w:tc>
      </w:tr>
      <w:tr w:rsidR="007D1EBD" w:rsidRPr="0097620F" w14:paraId="4D311B9D" w14:textId="77777777" w:rsidTr="0002281F">
        <w:trPr>
          <w:cantSplit/>
        </w:trPr>
        <w:tc>
          <w:tcPr>
            <w:tcW w:w="2552" w:type="dxa"/>
            <w:gridSpan w:val="2"/>
            <w:shd w:val="clear" w:color="auto" w:fill="auto"/>
          </w:tcPr>
          <w:p w14:paraId="0CBF945E" w14:textId="77777777" w:rsidR="007D1EBD" w:rsidRPr="0097620F" w:rsidRDefault="007D1EBD" w:rsidP="00344DC1">
            <w:pPr>
              <w:pStyle w:val="ENoteTableText"/>
              <w:ind w:left="46"/>
            </w:pPr>
            <w:r w:rsidRPr="0097620F">
              <w:rPr>
                <w:b/>
              </w:rPr>
              <w:t>Part</w:t>
            </w:r>
            <w:r>
              <w:rPr>
                <w:b/>
              </w:rPr>
              <w:t> </w:t>
            </w:r>
            <w:r w:rsidRPr="0097620F">
              <w:rPr>
                <w:b/>
              </w:rPr>
              <w:t>2</w:t>
            </w:r>
          </w:p>
        </w:tc>
        <w:tc>
          <w:tcPr>
            <w:tcW w:w="4252" w:type="dxa"/>
            <w:shd w:val="clear" w:color="auto" w:fill="auto"/>
          </w:tcPr>
          <w:p w14:paraId="2CAB92F2" w14:textId="77777777" w:rsidR="007D1EBD" w:rsidRPr="0097620F" w:rsidRDefault="007D1EBD" w:rsidP="00344DC1">
            <w:pPr>
              <w:pStyle w:val="ENoteTableText"/>
            </w:pPr>
          </w:p>
        </w:tc>
      </w:tr>
      <w:tr w:rsidR="00F85996" w:rsidRPr="0097620F" w14:paraId="23D43B78" w14:textId="77777777" w:rsidTr="0002281F">
        <w:trPr>
          <w:cantSplit/>
        </w:trPr>
        <w:tc>
          <w:tcPr>
            <w:tcW w:w="2552" w:type="dxa"/>
            <w:gridSpan w:val="2"/>
            <w:shd w:val="clear" w:color="auto" w:fill="auto"/>
          </w:tcPr>
          <w:p w14:paraId="70B1B9E2" w14:textId="750FE8BD" w:rsidR="00F85996" w:rsidRPr="0097620F" w:rsidRDefault="001F5C7F" w:rsidP="00A3201E">
            <w:pPr>
              <w:pStyle w:val="ENoteTableText"/>
              <w:tabs>
                <w:tab w:val="center" w:leader="dot" w:pos="2268"/>
              </w:tabs>
              <w:ind w:left="46"/>
              <w:rPr>
                <w:b/>
              </w:rPr>
            </w:pPr>
            <w:r>
              <w:rPr>
                <w:b/>
              </w:rPr>
              <w:t>Division 1</w:t>
            </w:r>
          </w:p>
        </w:tc>
        <w:tc>
          <w:tcPr>
            <w:tcW w:w="4252" w:type="dxa"/>
            <w:shd w:val="clear" w:color="auto" w:fill="auto"/>
          </w:tcPr>
          <w:p w14:paraId="6D34F628" w14:textId="47B9A866" w:rsidR="00F85996" w:rsidRPr="0097620F" w:rsidRDefault="00F85996" w:rsidP="00A3201E">
            <w:pPr>
              <w:pStyle w:val="ENoteTableText"/>
              <w:tabs>
                <w:tab w:val="center" w:leader="dot" w:pos="2268"/>
              </w:tabs>
            </w:pPr>
          </w:p>
        </w:tc>
      </w:tr>
      <w:tr w:rsidR="00A3201E" w:rsidRPr="0097620F" w14:paraId="4626CC8A" w14:textId="77777777" w:rsidTr="0002281F">
        <w:trPr>
          <w:cantSplit/>
        </w:trPr>
        <w:tc>
          <w:tcPr>
            <w:tcW w:w="2552" w:type="dxa"/>
            <w:gridSpan w:val="2"/>
            <w:shd w:val="clear" w:color="auto" w:fill="auto"/>
          </w:tcPr>
          <w:p w14:paraId="137118D5" w14:textId="58D77C6A" w:rsidR="00A3201E" w:rsidRDefault="001F5C7F" w:rsidP="00A3201E">
            <w:pPr>
              <w:pStyle w:val="ENoteTableText"/>
              <w:tabs>
                <w:tab w:val="center" w:leader="dot" w:pos="2268"/>
              </w:tabs>
              <w:ind w:left="46"/>
              <w:rPr>
                <w:bCs/>
              </w:rPr>
            </w:pPr>
            <w:r>
              <w:rPr>
                <w:bCs/>
              </w:rPr>
              <w:t>Division 1</w:t>
            </w:r>
            <w:r w:rsidR="00A3201E">
              <w:rPr>
                <w:bCs/>
              </w:rPr>
              <w:tab/>
            </w:r>
          </w:p>
        </w:tc>
        <w:tc>
          <w:tcPr>
            <w:tcW w:w="4252" w:type="dxa"/>
            <w:shd w:val="clear" w:color="auto" w:fill="auto"/>
          </w:tcPr>
          <w:p w14:paraId="74D262D7" w14:textId="4B3722AB" w:rsidR="00A3201E" w:rsidRPr="0097620F" w:rsidRDefault="002D6D6E" w:rsidP="00A3201E">
            <w:pPr>
              <w:pStyle w:val="ENoteTableText"/>
              <w:tabs>
                <w:tab w:val="center" w:leader="dot" w:pos="2268"/>
              </w:tabs>
            </w:pPr>
            <w:r>
              <w:t>rep 1 Feb 2001 (s 10)</w:t>
            </w:r>
          </w:p>
        </w:tc>
      </w:tr>
      <w:tr w:rsidR="00F85996" w:rsidRPr="0097620F" w14:paraId="7E624C0E" w14:textId="77777777" w:rsidTr="0002281F">
        <w:trPr>
          <w:cantSplit/>
        </w:trPr>
        <w:tc>
          <w:tcPr>
            <w:tcW w:w="2552" w:type="dxa"/>
            <w:gridSpan w:val="2"/>
            <w:shd w:val="clear" w:color="auto" w:fill="auto"/>
          </w:tcPr>
          <w:p w14:paraId="6C4C0191" w14:textId="64555372" w:rsidR="00F85996" w:rsidRPr="00F85996" w:rsidRDefault="00F85996" w:rsidP="00A3201E">
            <w:pPr>
              <w:pStyle w:val="ENoteTableText"/>
              <w:tabs>
                <w:tab w:val="center" w:leader="dot" w:pos="2268"/>
              </w:tabs>
              <w:ind w:left="46"/>
              <w:rPr>
                <w:bCs/>
              </w:rPr>
            </w:pPr>
            <w:r>
              <w:rPr>
                <w:bCs/>
              </w:rPr>
              <w:t>s 8</w:t>
            </w:r>
            <w:r w:rsidR="00A3201E">
              <w:rPr>
                <w:bCs/>
              </w:rPr>
              <w:tab/>
            </w:r>
          </w:p>
        </w:tc>
        <w:tc>
          <w:tcPr>
            <w:tcW w:w="4252" w:type="dxa"/>
            <w:shd w:val="clear" w:color="auto" w:fill="auto"/>
          </w:tcPr>
          <w:p w14:paraId="3AE500F3" w14:textId="368C67A8" w:rsidR="00F85996" w:rsidRPr="0097620F" w:rsidRDefault="006E4728" w:rsidP="00A3201E">
            <w:pPr>
              <w:pStyle w:val="ENoteTableText"/>
              <w:tabs>
                <w:tab w:val="center" w:leader="dot" w:pos="2268"/>
              </w:tabs>
            </w:pPr>
            <w:r>
              <w:t>rep 1 Feb 2001 (s 10)</w:t>
            </w:r>
          </w:p>
        </w:tc>
      </w:tr>
      <w:tr w:rsidR="00F85996" w:rsidRPr="0097620F" w14:paraId="3404CC13" w14:textId="77777777" w:rsidTr="0002281F">
        <w:trPr>
          <w:cantSplit/>
        </w:trPr>
        <w:tc>
          <w:tcPr>
            <w:tcW w:w="2552" w:type="dxa"/>
            <w:gridSpan w:val="2"/>
            <w:shd w:val="clear" w:color="auto" w:fill="auto"/>
          </w:tcPr>
          <w:p w14:paraId="79310BBE" w14:textId="6F949363" w:rsidR="00F85996" w:rsidRPr="00F85996" w:rsidRDefault="00F85996" w:rsidP="00A3201E">
            <w:pPr>
              <w:pStyle w:val="ENoteTableText"/>
              <w:tabs>
                <w:tab w:val="center" w:leader="dot" w:pos="2268"/>
              </w:tabs>
              <w:ind w:left="46"/>
              <w:rPr>
                <w:bCs/>
              </w:rPr>
            </w:pPr>
            <w:r>
              <w:rPr>
                <w:bCs/>
              </w:rPr>
              <w:t>s 9</w:t>
            </w:r>
            <w:r w:rsidR="00A3201E">
              <w:rPr>
                <w:bCs/>
              </w:rPr>
              <w:tab/>
            </w:r>
          </w:p>
        </w:tc>
        <w:tc>
          <w:tcPr>
            <w:tcW w:w="4252" w:type="dxa"/>
            <w:shd w:val="clear" w:color="auto" w:fill="auto"/>
          </w:tcPr>
          <w:p w14:paraId="699C80C4" w14:textId="1D9DC65C" w:rsidR="00F85996" w:rsidRPr="0097620F" w:rsidRDefault="006E4728" w:rsidP="00A3201E">
            <w:pPr>
              <w:pStyle w:val="ENoteTableText"/>
              <w:tabs>
                <w:tab w:val="center" w:leader="dot" w:pos="2268"/>
              </w:tabs>
            </w:pPr>
            <w:r>
              <w:t>rep 1 Feb 2001 (s 10)</w:t>
            </w:r>
          </w:p>
        </w:tc>
      </w:tr>
      <w:tr w:rsidR="00F85996" w:rsidRPr="0097620F" w14:paraId="18132526" w14:textId="77777777" w:rsidTr="0002281F">
        <w:trPr>
          <w:cantSplit/>
        </w:trPr>
        <w:tc>
          <w:tcPr>
            <w:tcW w:w="2552" w:type="dxa"/>
            <w:gridSpan w:val="2"/>
            <w:shd w:val="clear" w:color="auto" w:fill="auto"/>
          </w:tcPr>
          <w:p w14:paraId="145A2BB8" w14:textId="74628A07" w:rsidR="00F85996" w:rsidRPr="00F85996" w:rsidRDefault="00582DBB" w:rsidP="00A3201E">
            <w:pPr>
              <w:pStyle w:val="ENoteTableText"/>
              <w:tabs>
                <w:tab w:val="center" w:leader="dot" w:pos="2268"/>
              </w:tabs>
              <w:ind w:left="46"/>
              <w:rPr>
                <w:bCs/>
              </w:rPr>
            </w:pPr>
            <w:r>
              <w:rPr>
                <w:bCs/>
              </w:rPr>
              <w:t>s</w:t>
            </w:r>
            <w:r w:rsidR="00F85996">
              <w:rPr>
                <w:bCs/>
              </w:rPr>
              <w:t xml:space="preserve"> 10</w:t>
            </w:r>
            <w:r w:rsidR="00A3201E">
              <w:rPr>
                <w:bCs/>
              </w:rPr>
              <w:tab/>
            </w:r>
          </w:p>
        </w:tc>
        <w:tc>
          <w:tcPr>
            <w:tcW w:w="4252" w:type="dxa"/>
            <w:shd w:val="clear" w:color="auto" w:fill="auto"/>
          </w:tcPr>
          <w:p w14:paraId="624BFC19" w14:textId="61568390" w:rsidR="00F85996" w:rsidRPr="0097620F" w:rsidRDefault="006E4728" w:rsidP="00A3201E">
            <w:pPr>
              <w:pStyle w:val="ENoteTableText"/>
              <w:tabs>
                <w:tab w:val="center" w:leader="dot" w:pos="2268"/>
              </w:tabs>
            </w:pPr>
            <w:r>
              <w:t>rep 1 Feb 2001 (s 10)</w:t>
            </w:r>
          </w:p>
        </w:tc>
      </w:tr>
      <w:tr w:rsidR="007D1EBD" w:rsidRPr="0097620F" w14:paraId="78FA0998" w14:textId="77777777" w:rsidTr="0002281F">
        <w:trPr>
          <w:cantSplit/>
        </w:trPr>
        <w:tc>
          <w:tcPr>
            <w:tcW w:w="2552" w:type="dxa"/>
            <w:gridSpan w:val="2"/>
            <w:shd w:val="clear" w:color="auto" w:fill="auto"/>
          </w:tcPr>
          <w:p w14:paraId="6FFD3DBC" w14:textId="77777777" w:rsidR="007D1EBD" w:rsidRPr="0097620F" w:rsidRDefault="007D1EBD" w:rsidP="00344DC1">
            <w:pPr>
              <w:pStyle w:val="ENoteTableText"/>
              <w:ind w:left="46"/>
            </w:pPr>
            <w:r w:rsidRPr="0097620F">
              <w:rPr>
                <w:b/>
              </w:rPr>
              <w:t>Division</w:t>
            </w:r>
            <w:r>
              <w:rPr>
                <w:b/>
              </w:rPr>
              <w:t> </w:t>
            </w:r>
            <w:r w:rsidRPr="0097620F">
              <w:rPr>
                <w:b/>
              </w:rPr>
              <w:t>3</w:t>
            </w:r>
          </w:p>
        </w:tc>
        <w:tc>
          <w:tcPr>
            <w:tcW w:w="4252" w:type="dxa"/>
            <w:shd w:val="clear" w:color="auto" w:fill="auto"/>
          </w:tcPr>
          <w:p w14:paraId="61363E1F" w14:textId="77777777" w:rsidR="007D1EBD" w:rsidRPr="0097620F" w:rsidRDefault="007D1EBD" w:rsidP="00344DC1">
            <w:pPr>
              <w:pStyle w:val="ENoteTableText"/>
            </w:pPr>
          </w:p>
        </w:tc>
      </w:tr>
      <w:tr w:rsidR="007D1EBD" w:rsidRPr="0097620F" w14:paraId="39623104" w14:textId="77777777" w:rsidTr="0002281F">
        <w:trPr>
          <w:cantSplit/>
        </w:trPr>
        <w:tc>
          <w:tcPr>
            <w:tcW w:w="2552" w:type="dxa"/>
            <w:gridSpan w:val="2"/>
            <w:shd w:val="clear" w:color="auto" w:fill="auto"/>
          </w:tcPr>
          <w:p w14:paraId="2B4F005C" w14:textId="77777777" w:rsidR="007D1EBD" w:rsidRPr="0097620F" w:rsidRDefault="007D1EBD" w:rsidP="00344DC1">
            <w:pPr>
              <w:pStyle w:val="ENoteTableText"/>
              <w:tabs>
                <w:tab w:val="center" w:leader="dot" w:pos="2268"/>
              </w:tabs>
              <w:ind w:left="46"/>
            </w:pPr>
            <w:r>
              <w:t>s</w:t>
            </w:r>
            <w:r w:rsidRPr="0097620F">
              <w:t xml:space="preserve"> 22</w:t>
            </w:r>
            <w:r w:rsidRPr="0097620F">
              <w:tab/>
            </w:r>
          </w:p>
        </w:tc>
        <w:tc>
          <w:tcPr>
            <w:tcW w:w="4252" w:type="dxa"/>
            <w:shd w:val="clear" w:color="auto" w:fill="auto"/>
          </w:tcPr>
          <w:p w14:paraId="10CD91E1" w14:textId="77777777" w:rsidR="007D1EBD" w:rsidRPr="0097620F" w:rsidRDefault="007D1EBD" w:rsidP="00344DC1">
            <w:pPr>
              <w:pStyle w:val="ENoteTableText"/>
            </w:pPr>
            <w:r w:rsidRPr="0097620F">
              <w:t>rep No</w:t>
            </w:r>
            <w:r>
              <w:t> </w:t>
            </w:r>
            <w:r w:rsidRPr="0097620F">
              <w:t>111, 2009</w:t>
            </w:r>
          </w:p>
        </w:tc>
      </w:tr>
      <w:tr w:rsidR="007D1EBD" w:rsidRPr="0097620F" w14:paraId="65035FCA" w14:textId="77777777" w:rsidTr="0002281F">
        <w:trPr>
          <w:cantSplit/>
        </w:trPr>
        <w:tc>
          <w:tcPr>
            <w:tcW w:w="2552" w:type="dxa"/>
            <w:gridSpan w:val="2"/>
            <w:shd w:val="clear" w:color="auto" w:fill="auto"/>
          </w:tcPr>
          <w:p w14:paraId="06FF3CD9" w14:textId="77777777" w:rsidR="007D1EBD" w:rsidRPr="0097620F" w:rsidRDefault="007D1EBD" w:rsidP="00344DC1">
            <w:pPr>
              <w:pStyle w:val="ENoteTableText"/>
              <w:ind w:left="46"/>
            </w:pPr>
            <w:r w:rsidRPr="0097620F">
              <w:rPr>
                <w:b/>
              </w:rPr>
              <w:t>Division</w:t>
            </w:r>
            <w:r>
              <w:rPr>
                <w:b/>
              </w:rPr>
              <w:t> </w:t>
            </w:r>
            <w:r w:rsidRPr="0097620F">
              <w:rPr>
                <w:b/>
              </w:rPr>
              <w:t>4</w:t>
            </w:r>
          </w:p>
        </w:tc>
        <w:tc>
          <w:tcPr>
            <w:tcW w:w="4252" w:type="dxa"/>
            <w:shd w:val="clear" w:color="auto" w:fill="auto"/>
          </w:tcPr>
          <w:p w14:paraId="08CE14DF" w14:textId="77777777" w:rsidR="007D1EBD" w:rsidRPr="0097620F" w:rsidRDefault="007D1EBD" w:rsidP="00344DC1">
            <w:pPr>
              <w:pStyle w:val="ENoteTableText"/>
            </w:pPr>
          </w:p>
        </w:tc>
      </w:tr>
      <w:tr w:rsidR="007D1EBD" w:rsidRPr="0097620F" w14:paraId="067B88BF" w14:textId="77777777" w:rsidTr="0002281F">
        <w:trPr>
          <w:cantSplit/>
        </w:trPr>
        <w:tc>
          <w:tcPr>
            <w:tcW w:w="2552" w:type="dxa"/>
            <w:gridSpan w:val="2"/>
            <w:shd w:val="clear" w:color="auto" w:fill="auto"/>
          </w:tcPr>
          <w:p w14:paraId="4D7EABBD" w14:textId="77777777" w:rsidR="007D1EBD" w:rsidRPr="0097620F" w:rsidRDefault="007D1EBD" w:rsidP="00344DC1">
            <w:pPr>
              <w:pStyle w:val="ENoteTableText"/>
              <w:ind w:left="46"/>
            </w:pPr>
            <w:r w:rsidRPr="0097620F">
              <w:rPr>
                <w:b/>
              </w:rPr>
              <w:t>Subdivision A</w:t>
            </w:r>
          </w:p>
        </w:tc>
        <w:tc>
          <w:tcPr>
            <w:tcW w:w="4252" w:type="dxa"/>
            <w:shd w:val="clear" w:color="auto" w:fill="auto"/>
          </w:tcPr>
          <w:p w14:paraId="0F8F45F5" w14:textId="77777777" w:rsidR="007D1EBD" w:rsidRPr="0097620F" w:rsidRDefault="007D1EBD" w:rsidP="00344DC1">
            <w:pPr>
              <w:pStyle w:val="ENoteTableText"/>
            </w:pPr>
          </w:p>
        </w:tc>
      </w:tr>
      <w:tr w:rsidR="007D1EBD" w:rsidRPr="0097620F" w14:paraId="413330E4" w14:textId="77777777" w:rsidTr="0002281F">
        <w:trPr>
          <w:cantSplit/>
        </w:trPr>
        <w:tc>
          <w:tcPr>
            <w:tcW w:w="2552" w:type="dxa"/>
            <w:gridSpan w:val="2"/>
            <w:shd w:val="clear" w:color="auto" w:fill="auto"/>
          </w:tcPr>
          <w:p w14:paraId="4C39B877" w14:textId="77777777" w:rsidR="007D1EBD" w:rsidRPr="0097620F" w:rsidRDefault="007D1EBD" w:rsidP="00344DC1">
            <w:pPr>
              <w:pStyle w:val="ENoteTableText"/>
              <w:tabs>
                <w:tab w:val="center" w:leader="dot" w:pos="2268"/>
              </w:tabs>
              <w:ind w:left="46"/>
            </w:pPr>
            <w:r>
              <w:t>s</w:t>
            </w:r>
            <w:r w:rsidRPr="0097620F">
              <w:t xml:space="preserve"> 25</w:t>
            </w:r>
            <w:r w:rsidRPr="0097620F">
              <w:tab/>
            </w:r>
          </w:p>
        </w:tc>
        <w:tc>
          <w:tcPr>
            <w:tcW w:w="4252" w:type="dxa"/>
            <w:shd w:val="clear" w:color="auto" w:fill="auto"/>
          </w:tcPr>
          <w:p w14:paraId="5D668618" w14:textId="77777777" w:rsidR="007D1EBD" w:rsidRPr="0097620F" w:rsidRDefault="007D1EBD" w:rsidP="00344DC1">
            <w:pPr>
              <w:pStyle w:val="ENoteTableText"/>
            </w:pPr>
            <w:r w:rsidRPr="0097620F">
              <w:t>am No</w:t>
            </w:r>
            <w:r>
              <w:t> </w:t>
            </w:r>
            <w:r w:rsidRPr="0097620F">
              <w:t>50</w:t>
            </w:r>
            <w:r>
              <w:t>, 2006</w:t>
            </w:r>
          </w:p>
        </w:tc>
      </w:tr>
      <w:tr w:rsidR="007D1EBD" w:rsidRPr="0097620F" w14:paraId="6675E298" w14:textId="77777777" w:rsidTr="0002281F">
        <w:trPr>
          <w:cantSplit/>
        </w:trPr>
        <w:tc>
          <w:tcPr>
            <w:tcW w:w="2552" w:type="dxa"/>
            <w:gridSpan w:val="2"/>
            <w:shd w:val="clear" w:color="auto" w:fill="auto"/>
          </w:tcPr>
          <w:p w14:paraId="63E7836D" w14:textId="77777777" w:rsidR="007D1EBD" w:rsidRPr="0097620F" w:rsidRDefault="007D1EBD" w:rsidP="00344DC1">
            <w:pPr>
              <w:pStyle w:val="ENoteTableText"/>
              <w:ind w:left="46"/>
            </w:pPr>
            <w:r w:rsidRPr="0097620F">
              <w:rPr>
                <w:b/>
              </w:rPr>
              <w:t>Division</w:t>
            </w:r>
            <w:r>
              <w:rPr>
                <w:b/>
              </w:rPr>
              <w:t> </w:t>
            </w:r>
            <w:r w:rsidRPr="0097620F">
              <w:rPr>
                <w:b/>
              </w:rPr>
              <w:t>5</w:t>
            </w:r>
          </w:p>
        </w:tc>
        <w:tc>
          <w:tcPr>
            <w:tcW w:w="4252" w:type="dxa"/>
            <w:shd w:val="clear" w:color="auto" w:fill="auto"/>
          </w:tcPr>
          <w:p w14:paraId="43A9DC51" w14:textId="77777777" w:rsidR="007D1EBD" w:rsidRPr="0097620F" w:rsidRDefault="007D1EBD" w:rsidP="00344DC1">
            <w:pPr>
              <w:pStyle w:val="ENoteTableText"/>
            </w:pPr>
          </w:p>
        </w:tc>
      </w:tr>
      <w:tr w:rsidR="007D1EBD" w:rsidRPr="0097620F" w14:paraId="423C07E2" w14:textId="77777777" w:rsidTr="0002281F">
        <w:trPr>
          <w:cantSplit/>
        </w:trPr>
        <w:tc>
          <w:tcPr>
            <w:tcW w:w="2552" w:type="dxa"/>
            <w:gridSpan w:val="2"/>
            <w:shd w:val="clear" w:color="auto" w:fill="auto"/>
          </w:tcPr>
          <w:p w14:paraId="5382D2E2" w14:textId="77777777" w:rsidR="007D1EBD" w:rsidRPr="0097620F" w:rsidRDefault="007D1EBD" w:rsidP="00344DC1">
            <w:pPr>
              <w:pStyle w:val="ENoteTableText"/>
              <w:tabs>
                <w:tab w:val="center" w:leader="dot" w:pos="2268"/>
              </w:tabs>
              <w:ind w:left="46"/>
            </w:pPr>
            <w:r>
              <w:t>s</w:t>
            </w:r>
            <w:r w:rsidRPr="0097620F">
              <w:t xml:space="preserve"> 45</w:t>
            </w:r>
            <w:r w:rsidRPr="0097620F">
              <w:tab/>
            </w:r>
          </w:p>
        </w:tc>
        <w:tc>
          <w:tcPr>
            <w:tcW w:w="4252" w:type="dxa"/>
            <w:shd w:val="clear" w:color="auto" w:fill="auto"/>
          </w:tcPr>
          <w:p w14:paraId="5CE116FE" w14:textId="77777777" w:rsidR="007D1EBD" w:rsidRPr="0097620F" w:rsidRDefault="007D1EBD" w:rsidP="00344DC1">
            <w:pPr>
              <w:pStyle w:val="ENoteTableText"/>
            </w:pPr>
            <w:r w:rsidRPr="0097620F">
              <w:t>am No</w:t>
            </w:r>
            <w:r>
              <w:t> </w:t>
            </w:r>
            <w:r w:rsidRPr="0097620F">
              <w:t>115, 2001</w:t>
            </w:r>
          </w:p>
        </w:tc>
      </w:tr>
      <w:tr w:rsidR="007D1EBD" w:rsidRPr="0097620F" w14:paraId="10FB4225" w14:textId="77777777" w:rsidTr="0002281F">
        <w:trPr>
          <w:cantSplit/>
        </w:trPr>
        <w:tc>
          <w:tcPr>
            <w:tcW w:w="2552" w:type="dxa"/>
            <w:gridSpan w:val="2"/>
            <w:shd w:val="clear" w:color="auto" w:fill="auto"/>
          </w:tcPr>
          <w:p w14:paraId="14073B60" w14:textId="062B7644" w:rsidR="007D1EBD" w:rsidRDefault="001F5C7F" w:rsidP="00344DC1">
            <w:pPr>
              <w:pStyle w:val="ENoteTableText"/>
              <w:tabs>
                <w:tab w:val="center" w:leader="dot" w:pos="2268"/>
              </w:tabs>
              <w:ind w:left="46"/>
            </w:pPr>
            <w:r>
              <w:t>Schedule 1</w:t>
            </w:r>
            <w:r w:rsidR="007D1EBD">
              <w:tab/>
            </w:r>
          </w:p>
        </w:tc>
        <w:tc>
          <w:tcPr>
            <w:tcW w:w="4252" w:type="dxa"/>
            <w:shd w:val="clear" w:color="auto" w:fill="auto"/>
          </w:tcPr>
          <w:p w14:paraId="747D9648" w14:textId="77777777" w:rsidR="007D1EBD" w:rsidRPr="0097620F" w:rsidRDefault="007D1EBD" w:rsidP="00344DC1">
            <w:pPr>
              <w:pStyle w:val="ENoteTableText"/>
            </w:pPr>
            <w:r>
              <w:t>rep No 103, 2013</w:t>
            </w:r>
          </w:p>
        </w:tc>
      </w:tr>
      <w:tr w:rsidR="007D1EBD" w14:paraId="5DB38491" w14:textId="77777777" w:rsidTr="0002281F">
        <w:trPr>
          <w:cantSplit/>
        </w:trPr>
        <w:tc>
          <w:tcPr>
            <w:tcW w:w="2552" w:type="dxa"/>
            <w:gridSpan w:val="2"/>
            <w:shd w:val="clear" w:color="auto" w:fill="auto"/>
          </w:tcPr>
          <w:p w14:paraId="12252DD5" w14:textId="4E244B48" w:rsidR="007D1EBD" w:rsidRDefault="001F5C7F" w:rsidP="00344DC1">
            <w:pPr>
              <w:pStyle w:val="ENoteTableText"/>
              <w:tabs>
                <w:tab w:val="center" w:leader="dot" w:pos="2268"/>
              </w:tabs>
              <w:ind w:left="46"/>
            </w:pPr>
            <w:r>
              <w:t>Schedule 2</w:t>
            </w:r>
            <w:r w:rsidR="007D1EBD">
              <w:tab/>
            </w:r>
          </w:p>
        </w:tc>
        <w:tc>
          <w:tcPr>
            <w:tcW w:w="4252" w:type="dxa"/>
            <w:shd w:val="clear" w:color="auto" w:fill="auto"/>
          </w:tcPr>
          <w:p w14:paraId="375BF42F" w14:textId="77777777" w:rsidR="007D1EBD" w:rsidRDefault="007D1EBD" w:rsidP="00344DC1">
            <w:pPr>
              <w:pStyle w:val="ENoteTableText"/>
            </w:pPr>
            <w:r>
              <w:t>rep No 103, 2013</w:t>
            </w:r>
          </w:p>
        </w:tc>
      </w:tr>
      <w:tr w:rsidR="007D1EBD" w14:paraId="7F398C68" w14:textId="77777777" w:rsidTr="0002281F">
        <w:trPr>
          <w:cantSplit/>
        </w:trPr>
        <w:tc>
          <w:tcPr>
            <w:tcW w:w="2552" w:type="dxa"/>
            <w:gridSpan w:val="2"/>
            <w:shd w:val="clear" w:color="auto" w:fill="auto"/>
          </w:tcPr>
          <w:p w14:paraId="4AF1922E" w14:textId="6B6B250C" w:rsidR="007D1EBD" w:rsidRDefault="001F5C7F" w:rsidP="00344DC1">
            <w:pPr>
              <w:pStyle w:val="ENoteTableText"/>
              <w:tabs>
                <w:tab w:val="center" w:leader="dot" w:pos="2268"/>
              </w:tabs>
              <w:ind w:left="46"/>
            </w:pPr>
            <w:r>
              <w:t>Schedule 3</w:t>
            </w:r>
            <w:r w:rsidR="007D1EBD">
              <w:tab/>
            </w:r>
          </w:p>
        </w:tc>
        <w:tc>
          <w:tcPr>
            <w:tcW w:w="4252" w:type="dxa"/>
            <w:shd w:val="clear" w:color="auto" w:fill="auto"/>
          </w:tcPr>
          <w:p w14:paraId="3081D0F1" w14:textId="77777777" w:rsidR="007D1EBD" w:rsidRDefault="007D1EBD" w:rsidP="00344DC1">
            <w:pPr>
              <w:pStyle w:val="ENoteTableText"/>
            </w:pPr>
            <w:r>
              <w:t>rep No 103, 2013</w:t>
            </w:r>
          </w:p>
        </w:tc>
      </w:tr>
      <w:tr w:rsidR="007D1EBD" w14:paraId="687ADE02" w14:textId="77777777" w:rsidTr="0002281F">
        <w:trPr>
          <w:cantSplit/>
        </w:trPr>
        <w:tc>
          <w:tcPr>
            <w:tcW w:w="2552" w:type="dxa"/>
            <w:gridSpan w:val="2"/>
            <w:tcBorders>
              <w:bottom w:val="single" w:sz="12" w:space="0" w:color="auto"/>
            </w:tcBorders>
            <w:shd w:val="clear" w:color="auto" w:fill="auto"/>
          </w:tcPr>
          <w:p w14:paraId="5DCC7055" w14:textId="52C6BC24" w:rsidR="007D1EBD" w:rsidRDefault="001F5C7F" w:rsidP="00344DC1">
            <w:pPr>
              <w:pStyle w:val="ENoteTableText"/>
              <w:tabs>
                <w:tab w:val="center" w:leader="dot" w:pos="2268"/>
              </w:tabs>
              <w:spacing w:after="60"/>
              <w:ind w:left="46"/>
            </w:pPr>
            <w:r>
              <w:t>Schedule 4</w:t>
            </w:r>
            <w:r w:rsidR="007D1EBD">
              <w:tab/>
            </w:r>
          </w:p>
        </w:tc>
        <w:tc>
          <w:tcPr>
            <w:tcW w:w="4252" w:type="dxa"/>
            <w:tcBorders>
              <w:bottom w:val="single" w:sz="12" w:space="0" w:color="auto"/>
            </w:tcBorders>
            <w:shd w:val="clear" w:color="auto" w:fill="auto"/>
          </w:tcPr>
          <w:p w14:paraId="06FE6525" w14:textId="77777777" w:rsidR="007D1EBD" w:rsidRDefault="007D1EBD" w:rsidP="00344DC1">
            <w:pPr>
              <w:pStyle w:val="ENoteTableText"/>
              <w:spacing w:after="60"/>
            </w:pPr>
            <w:r>
              <w:t>rep No 103, 2013</w:t>
            </w:r>
          </w:p>
        </w:tc>
      </w:tr>
    </w:tbl>
    <w:p w14:paraId="5409387B" w14:textId="77777777" w:rsidR="000773A0" w:rsidRDefault="000773A0" w:rsidP="005838A0">
      <w:pPr>
        <w:sectPr w:rsidR="000773A0" w:rsidSect="00BC32B7">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2" w:left="2410" w:header="720" w:footer="3402" w:gutter="0"/>
          <w:cols w:space="708"/>
          <w:docGrid w:linePitch="360"/>
        </w:sectPr>
      </w:pPr>
    </w:p>
    <w:p w14:paraId="4A3FC603" w14:textId="58FFCDA9" w:rsidR="00BD2B41" w:rsidRDefault="00BD2B41" w:rsidP="006D2538"/>
    <w:sectPr w:rsidR="00BD2B41" w:rsidSect="00BC32B7">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451D1" w14:textId="77777777" w:rsidR="0036425D" w:rsidRDefault="0036425D">
      <w:pPr>
        <w:spacing w:line="240" w:lineRule="auto"/>
      </w:pPr>
      <w:r>
        <w:separator/>
      </w:r>
    </w:p>
  </w:endnote>
  <w:endnote w:type="continuationSeparator" w:id="0">
    <w:p w14:paraId="09A77472" w14:textId="77777777" w:rsidR="0036425D" w:rsidRDefault="003642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95C30" w14:textId="77777777" w:rsidR="002F5A10" w:rsidRDefault="002F5A10">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259DD" w14:textId="77777777" w:rsidR="001814D2" w:rsidRPr="007B3B51" w:rsidRDefault="001814D2"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1814D2" w:rsidRPr="007B3B51" w14:paraId="4352DA6C" w14:textId="77777777" w:rsidTr="001814D2">
      <w:tc>
        <w:tcPr>
          <w:tcW w:w="854" w:type="pct"/>
        </w:tcPr>
        <w:p w14:paraId="441E57EA" w14:textId="77777777" w:rsidR="001814D2" w:rsidRPr="007B3B51" w:rsidRDefault="001814D2" w:rsidP="00C94853">
          <w:pPr>
            <w:rPr>
              <w:i/>
              <w:sz w:val="16"/>
              <w:szCs w:val="16"/>
            </w:rPr>
          </w:pPr>
        </w:p>
      </w:tc>
      <w:tc>
        <w:tcPr>
          <w:tcW w:w="3688" w:type="pct"/>
          <w:gridSpan w:val="3"/>
        </w:tcPr>
        <w:p w14:paraId="5B1F83AC" w14:textId="67EB9FB4" w:rsidR="001814D2" w:rsidRPr="007B3B51" w:rsidRDefault="001814D2"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32B7">
            <w:rPr>
              <w:i/>
              <w:noProof/>
              <w:sz w:val="16"/>
              <w:szCs w:val="16"/>
            </w:rPr>
            <w:t>Horticulture Marketing and Research and Development Services (Repeals and Consequential Provisions) Act 2000</w:t>
          </w:r>
          <w:r w:rsidRPr="007B3B51">
            <w:rPr>
              <w:i/>
              <w:sz w:val="16"/>
              <w:szCs w:val="16"/>
            </w:rPr>
            <w:fldChar w:fldCharType="end"/>
          </w:r>
        </w:p>
      </w:tc>
      <w:tc>
        <w:tcPr>
          <w:tcW w:w="458" w:type="pct"/>
        </w:tcPr>
        <w:p w14:paraId="630B4B41" w14:textId="77777777" w:rsidR="001814D2" w:rsidRPr="007B3B51" w:rsidRDefault="001814D2"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814D2" w:rsidRPr="00130F37" w14:paraId="330AA609" w14:textId="77777777" w:rsidTr="001814D2">
      <w:tc>
        <w:tcPr>
          <w:tcW w:w="1499" w:type="pct"/>
          <w:gridSpan w:val="2"/>
        </w:tcPr>
        <w:p w14:paraId="5C924AF5" w14:textId="52AD94A2" w:rsidR="001814D2" w:rsidRPr="00130F37" w:rsidRDefault="001814D2"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6</w:t>
          </w:r>
          <w:r w:rsidRPr="00A02D20">
            <w:rPr>
              <w:sz w:val="16"/>
              <w:szCs w:val="16"/>
            </w:rPr>
            <w:fldChar w:fldCharType="end"/>
          </w:r>
        </w:p>
      </w:tc>
      <w:tc>
        <w:tcPr>
          <w:tcW w:w="1703" w:type="pct"/>
        </w:tcPr>
        <w:p w14:paraId="73527E27" w14:textId="77777777" w:rsidR="001814D2" w:rsidRPr="00130F37" w:rsidRDefault="001814D2" w:rsidP="006D2C4C">
          <w:pPr>
            <w:spacing w:before="120"/>
            <w:rPr>
              <w:sz w:val="16"/>
              <w:szCs w:val="16"/>
            </w:rPr>
          </w:pPr>
        </w:p>
      </w:tc>
      <w:tc>
        <w:tcPr>
          <w:tcW w:w="1798" w:type="pct"/>
          <w:gridSpan w:val="2"/>
        </w:tcPr>
        <w:p w14:paraId="3EBEA69D" w14:textId="7486DCF2" w:rsidR="001814D2" w:rsidRPr="00130F37" w:rsidRDefault="001814D2"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01/01/2025</w:t>
          </w:r>
          <w:r w:rsidRPr="00A02D20">
            <w:rPr>
              <w:sz w:val="16"/>
              <w:szCs w:val="16"/>
            </w:rPr>
            <w:fldChar w:fldCharType="end"/>
          </w:r>
        </w:p>
      </w:tc>
    </w:tr>
  </w:tbl>
  <w:p w14:paraId="5E1D7E01" w14:textId="0E11CFEC" w:rsidR="000773A0" w:rsidRPr="00D90ABA" w:rsidRDefault="000773A0" w:rsidP="005838A0">
    <w:pPr>
      <w:rPr>
        <w:i/>
        <w:sz w:val="18"/>
      </w:rPr>
    </w:pPr>
  </w:p>
  <w:p w14:paraId="1AEFFB33" w14:textId="77777777" w:rsidR="003A7D95" w:rsidRDefault="003A7D9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DBDDC" w14:textId="77777777" w:rsidR="000773A0" w:rsidRPr="007A1328" w:rsidRDefault="000773A0" w:rsidP="005838A0">
    <w:pPr>
      <w:pBdr>
        <w:top w:val="single" w:sz="6" w:space="1" w:color="auto"/>
      </w:pBdr>
      <w:spacing w:before="120"/>
      <w:rPr>
        <w:sz w:val="18"/>
      </w:rPr>
    </w:pPr>
  </w:p>
  <w:p w14:paraId="4969810E" w14:textId="254CAD1E" w:rsidR="000773A0" w:rsidRPr="007A1328" w:rsidRDefault="000773A0" w:rsidP="005838A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814D2">
      <w:rPr>
        <w:i/>
        <w:noProof/>
        <w:sz w:val="18"/>
      </w:rPr>
      <w:t>Horticulture Marketing and Research and Development Services (Repeals and Consequential Provisions) Act 2000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814D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6F88D1A5" w14:textId="586881D7" w:rsidR="000773A0" w:rsidRPr="007A1328" w:rsidRDefault="000773A0" w:rsidP="005838A0">
    <w:pPr>
      <w:rPr>
        <w:i/>
        <w:sz w:val="18"/>
      </w:rPr>
    </w:pPr>
    <w:r w:rsidRPr="007A1328">
      <w:rPr>
        <w:i/>
        <w:sz w:val="18"/>
      </w:rPr>
      <w:t xml:space="preserve"> </w:t>
    </w:r>
  </w:p>
  <w:p w14:paraId="1FEFC1C7" w14:textId="77777777" w:rsidR="003A7D95" w:rsidRDefault="003A7D95"/>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3750A" w14:textId="77777777" w:rsidR="001814D2" w:rsidRPr="007B3B51" w:rsidRDefault="001814D2"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1814D2" w:rsidRPr="007B3B51" w14:paraId="105B9427" w14:textId="77777777" w:rsidTr="001814D2">
      <w:tc>
        <w:tcPr>
          <w:tcW w:w="854" w:type="pct"/>
        </w:tcPr>
        <w:p w14:paraId="5FDDE4E3" w14:textId="77777777" w:rsidR="001814D2" w:rsidRPr="007B3B51" w:rsidRDefault="001814D2"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EA2B3A7" w14:textId="239847BD" w:rsidR="001814D2" w:rsidRPr="007B3B51" w:rsidRDefault="001814D2"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Horticulture Marketing and Research and Development Services (Repeals and Consequential Provisions) Act 2000</w:t>
          </w:r>
          <w:r w:rsidRPr="007B3B51">
            <w:rPr>
              <w:i/>
              <w:sz w:val="16"/>
              <w:szCs w:val="16"/>
            </w:rPr>
            <w:fldChar w:fldCharType="end"/>
          </w:r>
        </w:p>
      </w:tc>
      <w:tc>
        <w:tcPr>
          <w:tcW w:w="458" w:type="pct"/>
        </w:tcPr>
        <w:p w14:paraId="22D2E9AF" w14:textId="77777777" w:rsidR="001814D2" w:rsidRPr="007B3B51" w:rsidRDefault="001814D2" w:rsidP="00C94853">
          <w:pPr>
            <w:jc w:val="right"/>
            <w:rPr>
              <w:sz w:val="16"/>
              <w:szCs w:val="16"/>
            </w:rPr>
          </w:pPr>
        </w:p>
      </w:tc>
    </w:tr>
    <w:tr w:rsidR="001814D2" w:rsidRPr="0055472E" w14:paraId="0C9154A5" w14:textId="77777777" w:rsidTr="001814D2">
      <w:tc>
        <w:tcPr>
          <w:tcW w:w="1498" w:type="pct"/>
          <w:gridSpan w:val="2"/>
        </w:tcPr>
        <w:p w14:paraId="244F4AC6" w14:textId="6AAF3CAA" w:rsidR="001814D2" w:rsidRPr="0055472E" w:rsidRDefault="001814D2"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w:t>
          </w:r>
          <w:r w:rsidRPr="0055472E">
            <w:rPr>
              <w:sz w:val="16"/>
              <w:szCs w:val="16"/>
            </w:rPr>
            <w:fldChar w:fldCharType="end"/>
          </w:r>
        </w:p>
      </w:tc>
      <w:tc>
        <w:tcPr>
          <w:tcW w:w="1703" w:type="pct"/>
        </w:tcPr>
        <w:p w14:paraId="10F46706" w14:textId="77777777" w:rsidR="001814D2" w:rsidRPr="0055472E" w:rsidRDefault="001814D2" w:rsidP="006D2C4C">
          <w:pPr>
            <w:spacing w:before="120"/>
            <w:rPr>
              <w:sz w:val="16"/>
              <w:szCs w:val="16"/>
            </w:rPr>
          </w:pPr>
        </w:p>
      </w:tc>
      <w:tc>
        <w:tcPr>
          <w:tcW w:w="1799" w:type="pct"/>
          <w:gridSpan w:val="2"/>
        </w:tcPr>
        <w:p w14:paraId="0B210389" w14:textId="25DD1ED4" w:rsidR="001814D2" w:rsidRPr="0055472E" w:rsidRDefault="001814D2"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01/01/2025</w:t>
          </w:r>
          <w:r w:rsidRPr="0055472E">
            <w:rPr>
              <w:sz w:val="16"/>
              <w:szCs w:val="16"/>
            </w:rPr>
            <w:fldChar w:fldCharType="end"/>
          </w:r>
        </w:p>
      </w:tc>
    </w:tr>
  </w:tbl>
  <w:p w14:paraId="01BDD976" w14:textId="1C21F652" w:rsidR="0036425D" w:rsidRPr="0097620F" w:rsidRDefault="0036425D" w:rsidP="00C85125">
    <w:pPr>
      <w:pStyle w:val="Foote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DE301" w14:textId="77777777" w:rsidR="001814D2" w:rsidRPr="007B3B51" w:rsidRDefault="001814D2"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1814D2" w:rsidRPr="007B3B51" w14:paraId="18441A7E" w14:textId="77777777" w:rsidTr="001814D2">
      <w:tc>
        <w:tcPr>
          <w:tcW w:w="854" w:type="pct"/>
        </w:tcPr>
        <w:p w14:paraId="410A6392" w14:textId="77777777" w:rsidR="001814D2" w:rsidRPr="007B3B51" w:rsidRDefault="001814D2" w:rsidP="00C94853">
          <w:pPr>
            <w:rPr>
              <w:i/>
              <w:sz w:val="16"/>
              <w:szCs w:val="16"/>
            </w:rPr>
          </w:pPr>
        </w:p>
      </w:tc>
      <w:tc>
        <w:tcPr>
          <w:tcW w:w="3688" w:type="pct"/>
          <w:gridSpan w:val="3"/>
        </w:tcPr>
        <w:p w14:paraId="469AB972" w14:textId="38B890AF" w:rsidR="001814D2" w:rsidRPr="007B3B51" w:rsidRDefault="001814D2"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1EBD">
            <w:rPr>
              <w:i/>
              <w:noProof/>
              <w:sz w:val="16"/>
              <w:szCs w:val="16"/>
            </w:rPr>
            <w:t>Horticulture Marketing and Research and Development Services (Repeals and Consequential Provisions) Act 2000</w:t>
          </w:r>
          <w:r w:rsidRPr="007B3B51">
            <w:rPr>
              <w:i/>
              <w:sz w:val="16"/>
              <w:szCs w:val="16"/>
            </w:rPr>
            <w:fldChar w:fldCharType="end"/>
          </w:r>
        </w:p>
      </w:tc>
      <w:tc>
        <w:tcPr>
          <w:tcW w:w="458" w:type="pct"/>
        </w:tcPr>
        <w:p w14:paraId="38C92959" w14:textId="77777777" w:rsidR="001814D2" w:rsidRPr="007B3B51" w:rsidRDefault="001814D2"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814D2" w:rsidRPr="00130F37" w14:paraId="068A06D2" w14:textId="77777777" w:rsidTr="001814D2">
      <w:tc>
        <w:tcPr>
          <w:tcW w:w="1499" w:type="pct"/>
          <w:gridSpan w:val="2"/>
        </w:tcPr>
        <w:p w14:paraId="07B9217A" w14:textId="3509911B" w:rsidR="001814D2" w:rsidRPr="00130F37" w:rsidRDefault="001814D2"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6</w:t>
          </w:r>
          <w:r w:rsidRPr="00A02D20">
            <w:rPr>
              <w:sz w:val="16"/>
              <w:szCs w:val="16"/>
            </w:rPr>
            <w:fldChar w:fldCharType="end"/>
          </w:r>
        </w:p>
      </w:tc>
      <w:tc>
        <w:tcPr>
          <w:tcW w:w="1703" w:type="pct"/>
        </w:tcPr>
        <w:p w14:paraId="644606A8" w14:textId="77777777" w:rsidR="001814D2" w:rsidRPr="00130F37" w:rsidRDefault="001814D2" w:rsidP="006D2C4C">
          <w:pPr>
            <w:spacing w:before="120"/>
            <w:rPr>
              <w:sz w:val="16"/>
              <w:szCs w:val="16"/>
            </w:rPr>
          </w:pPr>
        </w:p>
      </w:tc>
      <w:tc>
        <w:tcPr>
          <w:tcW w:w="1798" w:type="pct"/>
          <w:gridSpan w:val="2"/>
        </w:tcPr>
        <w:p w14:paraId="6D7A43DA" w14:textId="24FFE94B" w:rsidR="001814D2" w:rsidRPr="00130F37" w:rsidRDefault="001814D2"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01/01/2025</w:t>
          </w:r>
          <w:r w:rsidRPr="00A02D20">
            <w:rPr>
              <w:sz w:val="16"/>
              <w:szCs w:val="16"/>
            </w:rPr>
            <w:fldChar w:fldCharType="end"/>
          </w:r>
        </w:p>
      </w:tc>
    </w:tr>
  </w:tbl>
  <w:p w14:paraId="20D22D07" w14:textId="5E00085E" w:rsidR="0036425D" w:rsidRPr="0097620F" w:rsidRDefault="0036425D">
    <w:pPr>
      <w:ind w:right="26"/>
      <w:jc w:val="right"/>
      <w:rPr>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68E0F" w14:textId="77777777" w:rsidR="0036425D" w:rsidRDefault="0036425D">
    <w:pPr>
      <w:pBdr>
        <w:top w:val="single" w:sz="6" w:space="1" w:color="auto"/>
      </w:pBdr>
      <w:rPr>
        <w:sz w:val="18"/>
      </w:rPr>
    </w:pPr>
  </w:p>
  <w:p w14:paraId="3564CF0F" w14:textId="15EE326B" w:rsidR="0036425D" w:rsidRDefault="0036425D">
    <w:pPr>
      <w:jc w:val="right"/>
      <w:rPr>
        <w:i/>
        <w:sz w:val="18"/>
      </w:rPr>
    </w:pPr>
    <w:r>
      <w:rPr>
        <w:i/>
        <w:sz w:val="18"/>
      </w:rPr>
      <w:fldChar w:fldCharType="begin"/>
    </w:r>
    <w:r>
      <w:rPr>
        <w:i/>
        <w:sz w:val="18"/>
      </w:rPr>
      <w:instrText xml:space="preserve"> STYLEREF ShortT </w:instrText>
    </w:r>
    <w:r>
      <w:rPr>
        <w:i/>
        <w:sz w:val="18"/>
      </w:rPr>
      <w:fldChar w:fldCharType="separate"/>
    </w:r>
    <w:r w:rsidR="001814D2">
      <w:rPr>
        <w:i/>
        <w:noProof/>
        <w:sz w:val="18"/>
      </w:rPr>
      <w:t>Horticulture Marketing and Research and Development Services (Repeals and Consequential Provisions) Act 2000</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1814D2">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42</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1F5C9" w14:textId="77777777" w:rsidR="002F5A10" w:rsidRDefault="002F5A10" w:rsidP="00900B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26FE1" w14:textId="77777777" w:rsidR="002F5A10" w:rsidRPr="00ED79B6" w:rsidRDefault="002F5A10"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64756" w14:textId="77777777" w:rsidR="001814D2" w:rsidRPr="007B3B51" w:rsidRDefault="001814D2"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1814D2" w:rsidRPr="007B3B51" w14:paraId="29E420B2" w14:textId="77777777" w:rsidTr="001814D2">
      <w:tc>
        <w:tcPr>
          <w:tcW w:w="854" w:type="pct"/>
        </w:tcPr>
        <w:p w14:paraId="3BEBA5FA" w14:textId="77777777" w:rsidR="001814D2" w:rsidRPr="007B3B51" w:rsidRDefault="001814D2"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A4B4BD9" w14:textId="327A46FD" w:rsidR="001814D2" w:rsidRPr="007B3B51" w:rsidRDefault="001814D2"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32B7">
            <w:rPr>
              <w:i/>
              <w:noProof/>
              <w:sz w:val="16"/>
              <w:szCs w:val="16"/>
            </w:rPr>
            <w:t>Horticulture Marketing and Research and Development Services (Repeals and Consequential Provisions) Act 2000</w:t>
          </w:r>
          <w:r w:rsidRPr="007B3B51">
            <w:rPr>
              <w:i/>
              <w:sz w:val="16"/>
              <w:szCs w:val="16"/>
            </w:rPr>
            <w:fldChar w:fldCharType="end"/>
          </w:r>
        </w:p>
      </w:tc>
      <w:tc>
        <w:tcPr>
          <w:tcW w:w="458" w:type="pct"/>
        </w:tcPr>
        <w:p w14:paraId="15A9B07B" w14:textId="77777777" w:rsidR="001814D2" w:rsidRPr="007B3B51" w:rsidRDefault="001814D2" w:rsidP="00C94853">
          <w:pPr>
            <w:jc w:val="right"/>
            <w:rPr>
              <w:sz w:val="16"/>
              <w:szCs w:val="16"/>
            </w:rPr>
          </w:pPr>
        </w:p>
      </w:tc>
    </w:tr>
    <w:tr w:rsidR="001814D2" w:rsidRPr="0055472E" w14:paraId="4E58D6C1" w14:textId="77777777" w:rsidTr="001814D2">
      <w:tc>
        <w:tcPr>
          <w:tcW w:w="1498" w:type="pct"/>
          <w:gridSpan w:val="2"/>
        </w:tcPr>
        <w:p w14:paraId="2FC7277A" w14:textId="02970308" w:rsidR="001814D2" w:rsidRPr="0055472E" w:rsidRDefault="001814D2"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w:t>
          </w:r>
          <w:r w:rsidRPr="0055472E">
            <w:rPr>
              <w:sz w:val="16"/>
              <w:szCs w:val="16"/>
            </w:rPr>
            <w:fldChar w:fldCharType="end"/>
          </w:r>
        </w:p>
      </w:tc>
      <w:tc>
        <w:tcPr>
          <w:tcW w:w="1703" w:type="pct"/>
        </w:tcPr>
        <w:p w14:paraId="064252DC" w14:textId="77777777" w:rsidR="001814D2" w:rsidRPr="0055472E" w:rsidRDefault="001814D2" w:rsidP="006D2C4C">
          <w:pPr>
            <w:spacing w:before="120"/>
            <w:rPr>
              <w:sz w:val="16"/>
              <w:szCs w:val="16"/>
            </w:rPr>
          </w:pPr>
        </w:p>
      </w:tc>
      <w:tc>
        <w:tcPr>
          <w:tcW w:w="1799" w:type="pct"/>
          <w:gridSpan w:val="2"/>
        </w:tcPr>
        <w:p w14:paraId="397165BD" w14:textId="2B1FB3FD" w:rsidR="001814D2" w:rsidRPr="0055472E" w:rsidRDefault="001814D2"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01/01/2025</w:t>
          </w:r>
          <w:r w:rsidRPr="0055472E">
            <w:rPr>
              <w:sz w:val="16"/>
              <w:szCs w:val="16"/>
            </w:rPr>
            <w:fldChar w:fldCharType="end"/>
          </w:r>
        </w:p>
      </w:tc>
    </w:tr>
  </w:tbl>
  <w:p w14:paraId="5C04396A" w14:textId="571587C4" w:rsidR="0036425D" w:rsidRDefault="0036425D" w:rsidP="0036425D">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9EE84" w14:textId="77777777" w:rsidR="001814D2" w:rsidRPr="007B3B51" w:rsidRDefault="001814D2"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1814D2" w:rsidRPr="007B3B51" w14:paraId="04489D30" w14:textId="77777777" w:rsidTr="001814D2">
      <w:tc>
        <w:tcPr>
          <w:tcW w:w="854" w:type="pct"/>
        </w:tcPr>
        <w:p w14:paraId="776012D8" w14:textId="77777777" w:rsidR="001814D2" w:rsidRPr="007B3B51" w:rsidRDefault="001814D2" w:rsidP="00C94853">
          <w:pPr>
            <w:rPr>
              <w:i/>
              <w:sz w:val="16"/>
              <w:szCs w:val="16"/>
            </w:rPr>
          </w:pPr>
        </w:p>
      </w:tc>
      <w:tc>
        <w:tcPr>
          <w:tcW w:w="3688" w:type="pct"/>
          <w:gridSpan w:val="3"/>
        </w:tcPr>
        <w:p w14:paraId="3BBFE0F4" w14:textId="2DE9F6C9" w:rsidR="001814D2" w:rsidRPr="007B3B51" w:rsidRDefault="001814D2"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32B7">
            <w:rPr>
              <w:i/>
              <w:noProof/>
              <w:sz w:val="16"/>
              <w:szCs w:val="16"/>
            </w:rPr>
            <w:t>Horticulture Marketing and Research and Development Services (Repeals and Consequential Provisions) Act 2000</w:t>
          </w:r>
          <w:r w:rsidRPr="007B3B51">
            <w:rPr>
              <w:i/>
              <w:sz w:val="16"/>
              <w:szCs w:val="16"/>
            </w:rPr>
            <w:fldChar w:fldCharType="end"/>
          </w:r>
        </w:p>
      </w:tc>
      <w:tc>
        <w:tcPr>
          <w:tcW w:w="458" w:type="pct"/>
        </w:tcPr>
        <w:p w14:paraId="4B25CD7A" w14:textId="77777777" w:rsidR="001814D2" w:rsidRPr="007B3B51" w:rsidRDefault="001814D2"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814D2" w:rsidRPr="00130F37" w14:paraId="5A9F3135" w14:textId="77777777" w:rsidTr="001814D2">
      <w:tc>
        <w:tcPr>
          <w:tcW w:w="1499" w:type="pct"/>
          <w:gridSpan w:val="2"/>
        </w:tcPr>
        <w:p w14:paraId="70C2E212" w14:textId="6A010AFA" w:rsidR="001814D2" w:rsidRPr="00130F37" w:rsidRDefault="001814D2"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6</w:t>
          </w:r>
          <w:r w:rsidRPr="00A02D20">
            <w:rPr>
              <w:sz w:val="16"/>
              <w:szCs w:val="16"/>
            </w:rPr>
            <w:fldChar w:fldCharType="end"/>
          </w:r>
        </w:p>
      </w:tc>
      <w:tc>
        <w:tcPr>
          <w:tcW w:w="1703" w:type="pct"/>
        </w:tcPr>
        <w:p w14:paraId="7F67D01C" w14:textId="77777777" w:rsidR="001814D2" w:rsidRPr="00130F37" w:rsidRDefault="001814D2" w:rsidP="006D2C4C">
          <w:pPr>
            <w:spacing w:before="120"/>
            <w:rPr>
              <w:sz w:val="16"/>
              <w:szCs w:val="16"/>
            </w:rPr>
          </w:pPr>
        </w:p>
      </w:tc>
      <w:tc>
        <w:tcPr>
          <w:tcW w:w="1798" w:type="pct"/>
          <w:gridSpan w:val="2"/>
        </w:tcPr>
        <w:p w14:paraId="4CA7C0E0" w14:textId="73EDF0F9" w:rsidR="001814D2" w:rsidRPr="00130F37" w:rsidRDefault="001814D2"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01/01/2025</w:t>
          </w:r>
          <w:r w:rsidRPr="00A02D20">
            <w:rPr>
              <w:sz w:val="16"/>
              <w:szCs w:val="16"/>
            </w:rPr>
            <w:fldChar w:fldCharType="end"/>
          </w:r>
        </w:p>
      </w:tc>
    </w:tr>
  </w:tbl>
  <w:p w14:paraId="2F1EEA9B" w14:textId="75CCA9C5" w:rsidR="0036425D" w:rsidRPr="00ED79B6" w:rsidRDefault="0036425D" w:rsidP="0036425D">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A0590" w14:textId="77777777" w:rsidR="001814D2" w:rsidRPr="007B3B51" w:rsidRDefault="001814D2"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1814D2" w:rsidRPr="007B3B51" w14:paraId="2D65E00C" w14:textId="77777777" w:rsidTr="001814D2">
      <w:tc>
        <w:tcPr>
          <w:tcW w:w="854" w:type="pct"/>
        </w:tcPr>
        <w:p w14:paraId="1B54570E" w14:textId="77777777" w:rsidR="001814D2" w:rsidRPr="007B3B51" w:rsidRDefault="001814D2"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D9C8397" w14:textId="328BF39E" w:rsidR="001814D2" w:rsidRPr="007B3B51" w:rsidRDefault="001814D2"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32B7">
            <w:rPr>
              <w:i/>
              <w:noProof/>
              <w:sz w:val="16"/>
              <w:szCs w:val="16"/>
            </w:rPr>
            <w:t>Horticulture Marketing and Research and Development Services (Repeals and Consequential Provisions) Act 2000</w:t>
          </w:r>
          <w:r w:rsidRPr="007B3B51">
            <w:rPr>
              <w:i/>
              <w:sz w:val="16"/>
              <w:szCs w:val="16"/>
            </w:rPr>
            <w:fldChar w:fldCharType="end"/>
          </w:r>
        </w:p>
      </w:tc>
      <w:tc>
        <w:tcPr>
          <w:tcW w:w="458" w:type="pct"/>
        </w:tcPr>
        <w:p w14:paraId="4870E09E" w14:textId="77777777" w:rsidR="001814D2" w:rsidRPr="007B3B51" w:rsidRDefault="001814D2" w:rsidP="00C94853">
          <w:pPr>
            <w:jc w:val="right"/>
            <w:rPr>
              <w:sz w:val="16"/>
              <w:szCs w:val="16"/>
            </w:rPr>
          </w:pPr>
        </w:p>
      </w:tc>
    </w:tr>
    <w:tr w:rsidR="001814D2" w:rsidRPr="0055472E" w14:paraId="725EDF13" w14:textId="77777777" w:rsidTr="001814D2">
      <w:tc>
        <w:tcPr>
          <w:tcW w:w="1498" w:type="pct"/>
          <w:gridSpan w:val="2"/>
        </w:tcPr>
        <w:p w14:paraId="3850ED40" w14:textId="152D5461" w:rsidR="001814D2" w:rsidRPr="0055472E" w:rsidRDefault="001814D2"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w:t>
          </w:r>
          <w:r w:rsidRPr="0055472E">
            <w:rPr>
              <w:sz w:val="16"/>
              <w:szCs w:val="16"/>
            </w:rPr>
            <w:fldChar w:fldCharType="end"/>
          </w:r>
        </w:p>
      </w:tc>
      <w:tc>
        <w:tcPr>
          <w:tcW w:w="1703" w:type="pct"/>
        </w:tcPr>
        <w:p w14:paraId="13AA6F45" w14:textId="77777777" w:rsidR="001814D2" w:rsidRPr="0055472E" w:rsidRDefault="001814D2" w:rsidP="006D2C4C">
          <w:pPr>
            <w:spacing w:before="120"/>
            <w:rPr>
              <w:sz w:val="16"/>
              <w:szCs w:val="16"/>
            </w:rPr>
          </w:pPr>
        </w:p>
      </w:tc>
      <w:tc>
        <w:tcPr>
          <w:tcW w:w="1799" w:type="pct"/>
          <w:gridSpan w:val="2"/>
        </w:tcPr>
        <w:p w14:paraId="0C7B5454" w14:textId="78AADE9D" w:rsidR="001814D2" w:rsidRPr="0055472E" w:rsidRDefault="001814D2"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01/01/2025</w:t>
          </w:r>
          <w:r w:rsidRPr="0055472E">
            <w:rPr>
              <w:sz w:val="16"/>
              <w:szCs w:val="16"/>
            </w:rPr>
            <w:fldChar w:fldCharType="end"/>
          </w:r>
        </w:p>
      </w:tc>
    </w:tr>
  </w:tbl>
  <w:p w14:paraId="42F84432" w14:textId="11115C99" w:rsidR="0036425D" w:rsidRPr="007A1328" w:rsidRDefault="0036425D" w:rsidP="0036425D">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66632" w14:textId="77777777" w:rsidR="001814D2" w:rsidRPr="007B3B51" w:rsidRDefault="001814D2"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1814D2" w:rsidRPr="007B3B51" w14:paraId="4A07DD2D" w14:textId="77777777" w:rsidTr="001814D2">
      <w:tc>
        <w:tcPr>
          <w:tcW w:w="854" w:type="pct"/>
        </w:tcPr>
        <w:p w14:paraId="56AB6A46" w14:textId="77777777" w:rsidR="001814D2" w:rsidRPr="007B3B51" w:rsidRDefault="001814D2" w:rsidP="00C94853">
          <w:pPr>
            <w:rPr>
              <w:i/>
              <w:sz w:val="16"/>
              <w:szCs w:val="16"/>
            </w:rPr>
          </w:pPr>
        </w:p>
      </w:tc>
      <w:tc>
        <w:tcPr>
          <w:tcW w:w="3688" w:type="pct"/>
          <w:gridSpan w:val="3"/>
        </w:tcPr>
        <w:p w14:paraId="0918DEAB" w14:textId="23FB4F1C" w:rsidR="001814D2" w:rsidRPr="007B3B51" w:rsidRDefault="001814D2"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32B7">
            <w:rPr>
              <w:i/>
              <w:noProof/>
              <w:sz w:val="16"/>
              <w:szCs w:val="16"/>
            </w:rPr>
            <w:t>Horticulture Marketing and Research and Development Services (Repeals and Consequential Provisions) Act 2000</w:t>
          </w:r>
          <w:r w:rsidRPr="007B3B51">
            <w:rPr>
              <w:i/>
              <w:sz w:val="16"/>
              <w:szCs w:val="16"/>
            </w:rPr>
            <w:fldChar w:fldCharType="end"/>
          </w:r>
        </w:p>
      </w:tc>
      <w:tc>
        <w:tcPr>
          <w:tcW w:w="458" w:type="pct"/>
        </w:tcPr>
        <w:p w14:paraId="1A22F46E" w14:textId="77777777" w:rsidR="001814D2" w:rsidRPr="007B3B51" w:rsidRDefault="001814D2"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814D2" w:rsidRPr="00130F37" w14:paraId="3A775B1B" w14:textId="77777777" w:rsidTr="001814D2">
      <w:tc>
        <w:tcPr>
          <w:tcW w:w="1499" w:type="pct"/>
          <w:gridSpan w:val="2"/>
        </w:tcPr>
        <w:p w14:paraId="2ABCF08C" w14:textId="531A321A" w:rsidR="001814D2" w:rsidRPr="00130F37" w:rsidRDefault="001814D2"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6</w:t>
          </w:r>
          <w:r w:rsidRPr="00A02D20">
            <w:rPr>
              <w:sz w:val="16"/>
              <w:szCs w:val="16"/>
            </w:rPr>
            <w:fldChar w:fldCharType="end"/>
          </w:r>
        </w:p>
      </w:tc>
      <w:tc>
        <w:tcPr>
          <w:tcW w:w="1703" w:type="pct"/>
        </w:tcPr>
        <w:p w14:paraId="2D650599" w14:textId="77777777" w:rsidR="001814D2" w:rsidRPr="00130F37" w:rsidRDefault="001814D2" w:rsidP="006D2C4C">
          <w:pPr>
            <w:spacing w:before="120"/>
            <w:rPr>
              <w:sz w:val="16"/>
              <w:szCs w:val="16"/>
            </w:rPr>
          </w:pPr>
        </w:p>
      </w:tc>
      <w:tc>
        <w:tcPr>
          <w:tcW w:w="1798" w:type="pct"/>
          <w:gridSpan w:val="2"/>
        </w:tcPr>
        <w:p w14:paraId="17949726" w14:textId="5EE00390" w:rsidR="001814D2" w:rsidRPr="00130F37" w:rsidRDefault="001814D2"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01/01/2025</w:t>
          </w:r>
          <w:r w:rsidRPr="00A02D20">
            <w:rPr>
              <w:sz w:val="16"/>
              <w:szCs w:val="16"/>
            </w:rPr>
            <w:fldChar w:fldCharType="end"/>
          </w:r>
        </w:p>
      </w:tc>
    </w:tr>
  </w:tbl>
  <w:p w14:paraId="156CB326" w14:textId="604B1D0D" w:rsidR="0036425D" w:rsidRPr="007A1328" w:rsidRDefault="0036425D" w:rsidP="0036425D">
    <w:pPr>
      <w:jc w:val="right"/>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C51C8" w14:textId="77777777" w:rsidR="0036425D" w:rsidRPr="007A1328" w:rsidRDefault="0036425D" w:rsidP="0036425D">
    <w:pPr>
      <w:pBdr>
        <w:top w:val="single" w:sz="6" w:space="1" w:color="auto"/>
      </w:pBdr>
      <w:spacing w:before="120"/>
      <w:rPr>
        <w:sz w:val="18"/>
      </w:rPr>
    </w:pPr>
  </w:p>
  <w:p w14:paraId="411A3CCC" w14:textId="54EBA4E8" w:rsidR="0036425D" w:rsidRPr="007A1328" w:rsidRDefault="0036425D" w:rsidP="0036425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814D2">
      <w:rPr>
        <w:i/>
        <w:noProof/>
        <w:sz w:val="18"/>
      </w:rPr>
      <w:t>Horticulture Marketing and Research and Development Services (Repeals and Consequential Provisions) Act 2000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814D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D6933" w14:textId="77777777" w:rsidR="001814D2" w:rsidRPr="007B3B51" w:rsidRDefault="001814D2"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1814D2" w:rsidRPr="007B3B51" w14:paraId="600CED69" w14:textId="77777777" w:rsidTr="001814D2">
      <w:tc>
        <w:tcPr>
          <w:tcW w:w="854" w:type="pct"/>
        </w:tcPr>
        <w:p w14:paraId="627997E7" w14:textId="77777777" w:rsidR="001814D2" w:rsidRPr="007B3B51" w:rsidRDefault="001814D2"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DC5529B" w14:textId="646FDFF5" w:rsidR="001814D2" w:rsidRPr="007B3B51" w:rsidRDefault="001814D2"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32B7">
            <w:rPr>
              <w:i/>
              <w:noProof/>
              <w:sz w:val="16"/>
              <w:szCs w:val="16"/>
            </w:rPr>
            <w:t>Horticulture Marketing and Research and Development Services (Repeals and Consequential Provisions) Act 2000</w:t>
          </w:r>
          <w:r w:rsidRPr="007B3B51">
            <w:rPr>
              <w:i/>
              <w:sz w:val="16"/>
              <w:szCs w:val="16"/>
            </w:rPr>
            <w:fldChar w:fldCharType="end"/>
          </w:r>
        </w:p>
      </w:tc>
      <w:tc>
        <w:tcPr>
          <w:tcW w:w="458" w:type="pct"/>
        </w:tcPr>
        <w:p w14:paraId="45FEEE68" w14:textId="77777777" w:rsidR="001814D2" w:rsidRPr="007B3B51" w:rsidRDefault="001814D2" w:rsidP="00C94853">
          <w:pPr>
            <w:jc w:val="right"/>
            <w:rPr>
              <w:sz w:val="16"/>
              <w:szCs w:val="16"/>
            </w:rPr>
          </w:pPr>
        </w:p>
      </w:tc>
    </w:tr>
    <w:tr w:rsidR="001814D2" w:rsidRPr="0055472E" w14:paraId="57F91CD4" w14:textId="77777777" w:rsidTr="001814D2">
      <w:tc>
        <w:tcPr>
          <w:tcW w:w="1498" w:type="pct"/>
          <w:gridSpan w:val="2"/>
        </w:tcPr>
        <w:p w14:paraId="6AFCC8FB" w14:textId="3AC1BC40" w:rsidR="001814D2" w:rsidRPr="0055472E" w:rsidRDefault="001814D2"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w:t>
          </w:r>
          <w:r w:rsidRPr="0055472E">
            <w:rPr>
              <w:sz w:val="16"/>
              <w:szCs w:val="16"/>
            </w:rPr>
            <w:fldChar w:fldCharType="end"/>
          </w:r>
        </w:p>
      </w:tc>
      <w:tc>
        <w:tcPr>
          <w:tcW w:w="1703" w:type="pct"/>
        </w:tcPr>
        <w:p w14:paraId="7EB73E57" w14:textId="77777777" w:rsidR="001814D2" w:rsidRPr="0055472E" w:rsidRDefault="001814D2" w:rsidP="006D2C4C">
          <w:pPr>
            <w:spacing w:before="120"/>
            <w:rPr>
              <w:sz w:val="16"/>
              <w:szCs w:val="16"/>
            </w:rPr>
          </w:pPr>
        </w:p>
      </w:tc>
      <w:tc>
        <w:tcPr>
          <w:tcW w:w="1799" w:type="pct"/>
          <w:gridSpan w:val="2"/>
        </w:tcPr>
        <w:p w14:paraId="56DF84DE" w14:textId="5F5316D4" w:rsidR="001814D2" w:rsidRPr="0055472E" w:rsidRDefault="001814D2"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01/01/2025</w:t>
          </w:r>
          <w:r w:rsidRPr="0055472E">
            <w:rPr>
              <w:sz w:val="16"/>
              <w:szCs w:val="16"/>
            </w:rPr>
            <w:fldChar w:fldCharType="end"/>
          </w:r>
        </w:p>
      </w:tc>
    </w:tr>
  </w:tbl>
  <w:p w14:paraId="7B56A96B" w14:textId="436235F9" w:rsidR="000773A0" w:rsidRDefault="000773A0" w:rsidP="005838A0">
    <w:pPr>
      <w:rPr>
        <w:sz w:val="18"/>
      </w:rPr>
    </w:pPr>
  </w:p>
  <w:p w14:paraId="2FF4900A" w14:textId="77777777" w:rsidR="003A7D95" w:rsidRDefault="003A7D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AFBA1" w14:textId="77777777" w:rsidR="0036425D" w:rsidRDefault="0036425D">
      <w:pPr>
        <w:spacing w:line="240" w:lineRule="auto"/>
      </w:pPr>
      <w:r>
        <w:separator/>
      </w:r>
    </w:p>
  </w:footnote>
  <w:footnote w:type="continuationSeparator" w:id="0">
    <w:p w14:paraId="5D154203" w14:textId="77777777" w:rsidR="0036425D" w:rsidRDefault="003642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7D99D" w14:textId="77777777" w:rsidR="002F5A10" w:rsidRDefault="002F5A10" w:rsidP="00900BC8">
    <w:pPr>
      <w:pStyle w:val="Header"/>
      <w:pBdr>
        <w:bottom w:val="single" w:sz="6" w:space="1" w:color="auto"/>
      </w:pBdr>
    </w:pPr>
  </w:p>
  <w:p w14:paraId="011444A4" w14:textId="77777777" w:rsidR="002F5A10" w:rsidRDefault="002F5A10" w:rsidP="00900BC8">
    <w:pPr>
      <w:pStyle w:val="Header"/>
      <w:pBdr>
        <w:bottom w:val="single" w:sz="6" w:space="1" w:color="auto"/>
      </w:pBdr>
    </w:pPr>
  </w:p>
  <w:p w14:paraId="0199EA93" w14:textId="77777777" w:rsidR="002F5A10" w:rsidRPr="001E77D2" w:rsidRDefault="002F5A10" w:rsidP="00900BC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8AAB8" w14:textId="77777777" w:rsidR="000773A0" w:rsidRPr="007E528B" w:rsidRDefault="000773A0" w:rsidP="005838A0">
    <w:pPr>
      <w:rPr>
        <w:sz w:val="26"/>
        <w:szCs w:val="26"/>
      </w:rPr>
    </w:pPr>
  </w:p>
  <w:p w14:paraId="2D49F4C4" w14:textId="77777777" w:rsidR="000773A0" w:rsidRPr="00750516" w:rsidRDefault="000773A0" w:rsidP="005838A0">
    <w:pPr>
      <w:rPr>
        <w:b/>
        <w:sz w:val="20"/>
      </w:rPr>
    </w:pPr>
    <w:r w:rsidRPr="00750516">
      <w:rPr>
        <w:b/>
        <w:sz w:val="20"/>
      </w:rPr>
      <w:t>Endnotes</w:t>
    </w:r>
  </w:p>
  <w:p w14:paraId="093FC538" w14:textId="77777777" w:rsidR="000773A0" w:rsidRPr="007A1328" w:rsidRDefault="000773A0" w:rsidP="005838A0">
    <w:pPr>
      <w:rPr>
        <w:sz w:val="20"/>
      </w:rPr>
    </w:pPr>
  </w:p>
  <w:p w14:paraId="6E7DB54B" w14:textId="77777777" w:rsidR="000773A0" w:rsidRPr="007A1328" w:rsidRDefault="000773A0" w:rsidP="005838A0">
    <w:pPr>
      <w:rPr>
        <w:b/>
        <w:sz w:val="24"/>
      </w:rPr>
    </w:pPr>
  </w:p>
  <w:p w14:paraId="67A0EC6D" w14:textId="1721B437" w:rsidR="000773A0" w:rsidRPr="000B5E62" w:rsidRDefault="000773A0" w:rsidP="005838A0">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BC32B7">
      <w:rPr>
        <w:noProof/>
        <w:sz w:val="24"/>
        <w:szCs w:val="22"/>
      </w:rPr>
      <w:t>Endnote 3—Legislation history</w:t>
    </w:r>
    <w:r w:rsidRPr="000B5E62">
      <w:rPr>
        <w:sz w:val="24"/>
        <w:szCs w:val="22"/>
      </w:rPr>
      <w:fldChar w:fldCharType="end"/>
    </w:r>
  </w:p>
  <w:p w14:paraId="589BDCF0" w14:textId="77777777" w:rsidR="003A7D95" w:rsidRDefault="003A7D9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21146" w14:textId="77777777" w:rsidR="000773A0" w:rsidRPr="007E528B" w:rsidRDefault="000773A0" w:rsidP="005838A0">
    <w:pPr>
      <w:jc w:val="right"/>
      <w:rPr>
        <w:sz w:val="26"/>
        <w:szCs w:val="26"/>
      </w:rPr>
    </w:pPr>
  </w:p>
  <w:p w14:paraId="0C1D51EC" w14:textId="77777777" w:rsidR="000773A0" w:rsidRPr="00750516" w:rsidRDefault="000773A0" w:rsidP="005838A0">
    <w:pPr>
      <w:jc w:val="right"/>
      <w:rPr>
        <w:b/>
        <w:sz w:val="20"/>
      </w:rPr>
    </w:pPr>
    <w:r w:rsidRPr="00750516">
      <w:rPr>
        <w:b/>
        <w:sz w:val="20"/>
      </w:rPr>
      <w:t>Endnotes</w:t>
    </w:r>
  </w:p>
  <w:p w14:paraId="5BDC73A5" w14:textId="77777777" w:rsidR="000773A0" w:rsidRPr="007A1328" w:rsidRDefault="000773A0" w:rsidP="005838A0">
    <w:pPr>
      <w:jc w:val="right"/>
      <w:rPr>
        <w:sz w:val="20"/>
      </w:rPr>
    </w:pPr>
  </w:p>
  <w:p w14:paraId="334D6186" w14:textId="77777777" w:rsidR="000773A0" w:rsidRPr="007A1328" w:rsidRDefault="000773A0" w:rsidP="005838A0">
    <w:pPr>
      <w:jc w:val="right"/>
      <w:rPr>
        <w:b/>
        <w:sz w:val="24"/>
      </w:rPr>
    </w:pPr>
  </w:p>
  <w:p w14:paraId="3AA330B0" w14:textId="6DD91D3D" w:rsidR="000773A0" w:rsidRPr="000B5E62" w:rsidRDefault="000773A0" w:rsidP="005838A0">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BC32B7">
      <w:rPr>
        <w:noProof/>
        <w:sz w:val="24"/>
        <w:szCs w:val="22"/>
      </w:rPr>
      <w:t>Endnote 2—Abbreviation key</w:t>
    </w:r>
    <w:r w:rsidRPr="000B5E62">
      <w:rPr>
        <w:sz w:val="24"/>
        <w:szCs w:val="22"/>
      </w:rPr>
      <w:fldChar w:fldCharType="end"/>
    </w:r>
  </w:p>
  <w:p w14:paraId="4D58A643" w14:textId="77777777" w:rsidR="003A7D95" w:rsidRDefault="003A7D9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9887F" w14:textId="77777777" w:rsidR="000773A0" w:rsidRPr="000B5E62" w:rsidRDefault="000773A0">
    <w:pPr>
      <w:pStyle w:val="Header"/>
      <w:rPr>
        <w:sz w:val="24"/>
      </w:rPr>
    </w:pPr>
  </w:p>
  <w:p w14:paraId="61B5EFA8" w14:textId="77777777" w:rsidR="003A7D95" w:rsidRDefault="003A7D95"/>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11344" w14:textId="77777777" w:rsidR="0036425D" w:rsidRDefault="0036425D">
    <w:pPr>
      <w:jc w:val="right"/>
    </w:pPr>
  </w:p>
  <w:p w14:paraId="42ACF045" w14:textId="77777777" w:rsidR="0036425D" w:rsidRDefault="0036425D">
    <w:pPr>
      <w:jc w:val="right"/>
      <w:rPr>
        <w:i/>
      </w:rPr>
    </w:pPr>
  </w:p>
  <w:p w14:paraId="7F8A555D" w14:textId="77777777" w:rsidR="0036425D" w:rsidRDefault="0036425D">
    <w:pPr>
      <w:jc w:val="right"/>
    </w:pPr>
  </w:p>
  <w:p w14:paraId="78F9C9DE" w14:textId="77777777" w:rsidR="0036425D" w:rsidRDefault="0036425D">
    <w:pPr>
      <w:jc w:val="right"/>
      <w:rPr>
        <w:sz w:val="24"/>
      </w:rPr>
    </w:pPr>
  </w:p>
  <w:p w14:paraId="21C237DF" w14:textId="77777777" w:rsidR="0036425D" w:rsidRDefault="0036425D">
    <w:pPr>
      <w:pBdr>
        <w:bottom w:val="single" w:sz="12" w:space="1" w:color="auto"/>
      </w:pBdr>
      <w:jc w:val="right"/>
      <w:rPr>
        <w:i/>
        <w:sz w:val="24"/>
      </w:rPr>
    </w:pPr>
  </w:p>
  <w:p w14:paraId="32E620FB" w14:textId="77777777" w:rsidR="0036425D" w:rsidRDefault="0036425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43616" w14:textId="77777777" w:rsidR="0036425D" w:rsidRDefault="0036425D">
    <w:pPr>
      <w:jc w:val="right"/>
      <w:rPr>
        <w:b/>
      </w:rPr>
    </w:pPr>
  </w:p>
  <w:p w14:paraId="406BB752" w14:textId="77777777" w:rsidR="0036425D" w:rsidRDefault="0036425D">
    <w:pPr>
      <w:jc w:val="right"/>
      <w:rPr>
        <w:b/>
        <w:i/>
      </w:rPr>
    </w:pPr>
  </w:p>
  <w:p w14:paraId="7F6489A5" w14:textId="77777777" w:rsidR="0036425D" w:rsidRDefault="0036425D">
    <w:pPr>
      <w:jc w:val="right"/>
    </w:pPr>
  </w:p>
  <w:p w14:paraId="4F017C5F" w14:textId="77777777" w:rsidR="0036425D" w:rsidRDefault="0036425D">
    <w:pPr>
      <w:jc w:val="right"/>
      <w:rPr>
        <w:b/>
        <w:sz w:val="24"/>
      </w:rPr>
    </w:pPr>
  </w:p>
  <w:p w14:paraId="070D250D" w14:textId="77777777" w:rsidR="0036425D" w:rsidRDefault="0036425D">
    <w:pPr>
      <w:pBdr>
        <w:bottom w:val="single" w:sz="12" w:space="1" w:color="auto"/>
      </w:pBdr>
      <w:jc w:val="right"/>
      <w:rPr>
        <w:b/>
        <w:i/>
        <w:sz w:val="24"/>
      </w:rPr>
    </w:pPr>
  </w:p>
  <w:p w14:paraId="1E5323B7" w14:textId="77777777" w:rsidR="0036425D" w:rsidRDefault="0036425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5482B" w14:textId="77777777" w:rsidR="0036425D" w:rsidRDefault="00364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30C6C" w14:textId="77777777" w:rsidR="002F5A10" w:rsidRDefault="002F5A10" w:rsidP="00900BC8">
    <w:pPr>
      <w:pStyle w:val="Header"/>
      <w:pBdr>
        <w:bottom w:val="single" w:sz="4" w:space="1" w:color="auto"/>
      </w:pBdr>
    </w:pPr>
  </w:p>
  <w:p w14:paraId="6B004B6B" w14:textId="77777777" w:rsidR="002F5A10" w:rsidRDefault="002F5A10" w:rsidP="00900BC8">
    <w:pPr>
      <w:pStyle w:val="Header"/>
      <w:pBdr>
        <w:bottom w:val="single" w:sz="4" w:space="1" w:color="auto"/>
      </w:pBdr>
    </w:pPr>
  </w:p>
  <w:p w14:paraId="055A33D9" w14:textId="77777777" w:rsidR="002F5A10" w:rsidRPr="001E77D2" w:rsidRDefault="002F5A10" w:rsidP="00900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61B4F" w14:textId="77777777" w:rsidR="002F5A10" w:rsidRPr="005F1388" w:rsidRDefault="002F5A10" w:rsidP="00900BC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4351D" w14:textId="77777777" w:rsidR="0036425D" w:rsidRPr="00ED79B6" w:rsidRDefault="0036425D" w:rsidP="002F5A10">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5F8A2" w14:textId="77777777" w:rsidR="0036425D" w:rsidRPr="00ED79B6" w:rsidRDefault="0036425D" w:rsidP="002F5A10">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24E9D" w14:textId="77777777" w:rsidR="0036425D" w:rsidRPr="00ED79B6" w:rsidRDefault="0036425D" w:rsidP="0036425D">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B0394" w14:textId="3DE3B2D8" w:rsidR="0036425D" w:rsidRDefault="0036425D" w:rsidP="0036425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AD511F1" w14:textId="13E8562B" w:rsidR="0036425D" w:rsidRDefault="0036425D" w:rsidP="0036425D">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C32B7">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C32B7">
      <w:rPr>
        <w:noProof/>
        <w:sz w:val="20"/>
      </w:rPr>
      <w:t>Transitional provisions</w:t>
    </w:r>
    <w:r>
      <w:rPr>
        <w:sz w:val="20"/>
      </w:rPr>
      <w:fldChar w:fldCharType="end"/>
    </w:r>
  </w:p>
  <w:p w14:paraId="6B1E27D6" w14:textId="5FB44F7E" w:rsidR="0036425D" w:rsidRPr="007A1328" w:rsidRDefault="0036425D" w:rsidP="0036425D">
    <w:pPr>
      <w:rPr>
        <w:sz w:val="20"/>
      </w:rPr>
    </w:pPr>
    <w:r>
      <w:rPr>
        <w:b/>
        <w:sz w:val="20"/>
      </w:rPr>
      <w:fldChar w:fldCharType="begin"/>
    </w:r>
    <w:r>
      <w:rPr>
        <w:b/>
        <w:sz w:val="20"/>
      </w:rPr>
      <w:instrText xml:space="preserve"> STYLEREF CharDivNo </w:instrText>
    </w:r>
    <w:r w:rsidR="00BC32B7">
      <w:rPr>
        <w:b/>
        <w:sz w:val="20"/>
      </w:rPr>
      <w:fldChar w:fldCharType="separate"/>
    </w:r>
    <w:r w:rsidR="00BC32B7">
      <w:rPr>
        <w:b/>
        <w:noProof/>
        <w:sz w:val="20"/>
      </w:rPr>
      <w:t>Division 7</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BC32B7">
      <w:rPr>
        <w:sz w:val="20"/>
      </w:rPr>
      <w:fldChar w:fldCharType="separate"/>
    </w:r>
    <w:r w:rsidR="00BC32B7">
      <w:rPr>
        <w:noProof/>
        <w:sz w:val="20"/>
      </w:rPr>
      <w:t>Miscellaneous</w:t>
    </w:r>
    <w:r>
      <w:rPr>
        <w:sz w:val="20"/>
      </w:rPr>
      <w:fldChar w:fldCharType="end"/>
    </w:r>
  </w:p>
  <w:p w14:paraId="7EEB1C0C" w14:textId="77777777" w:rsidR="0036425D" w:rsidRPr="007A1328" w:rsidRDefault="0036425D" w:rsidP="0036425D">
    <w:pPr>
      <w:rPr>
        <w:b/>
        <w:sz w:val="24"/>
      </w:rPr>
    </w:pPr>
  </w:p>
  <w:p w14:paraId="1C9FFA5D" w14:textId="625D4BA8" w:rsidR="0036425D" w:rsidRPr="007A1328" w:rsidRDefault="0036425D" w:rsidP="0036425D">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C32B7">
      <w:rPr>
        <w:noProof/>
        <w:sz w:val="24"/>
      </w:rPr>
      <w:t>54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DD330" w14:textId="375FC24A" w:rsidR="0036425D" w:rsidRPr="007A1328" w:rsidRDefault="0036425D" w:rsidP="0036425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B9B852C" w14:textId="06A36EEF" w:rsidR="0036425D" w:rsidRPr="007A1328" w:rsidRDefault="0036425D" w:rsidP="0036425D">
    <w:pPr>
      <w:jc w:val="right"/>
      <w:rPr>
        <w:sz w:val="20"/>
      </w:rPr>
    </w:pPr>
    <w:r w:rsidRPr="007A1328">
      <w:rPr>
        <w:sz w:val="20"/>
      </w:rPr>
      <w:fldChar w:fldCharType="begin"/>
    </w:r>
    <w:r w:rsidRPr="007A1328">
      <w:rPr>
        <w:sz w:val="20"/>
      </w:rPr>
      <w:instrText xml:space="preserve"> STYLEREF CharPartText </w:instrText>
    </w:r>
    <w:r w:rsidR="00BC32B7">
      <w:rPr>
        <w:sz w:val="20"/>
      </w:rPr>
      <w:fldChar w:fldCharType="separate"/>
    </w:r>
    <w:r w:rsidR="00BC32B7">
      <w:rPr>
        <w:noProof/>
        <w:sz w:val="20"/>
      </w:rPr>
      <w:t>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C32B7">
      <w:rPr>
        <w:b/>
        <w:sz w:val="20"/>
      </w:rPr>
      <w:fldChar w:fldCharType="separate"/>
    </w:r>
    <w:r w:rsidR="00BC32B7">
      <w:rPr>
        <w:b/>
        <w:noProof/>
        <w:sz w:val="20"/>
      </w:rPr>
      <w:t>Part 2</w:t>
    </w:r>
    <w:r>
      <w:rPr>
        <w:b/>
        <w:sz w:val="20"/>
      </w:rPr>
      <w:fldChar w:fldCharType="end"/>
    </w:r>
  </w:p>
  <w:p w14:paraId="5850AD51" w14:textId="46A35675" w:rsidR="0036425D" w:rsidRPr="007A1328" w:rsidRDefault="0036425D" w:rsidP="0036425D">
    <w:pPr>
      <w:jc w:val="right"/>
      <w:rPr>
        <w:sz w:val="20"/>
      </w:rPr>
    </w:pPr>
    <w:r w:rsidRPr="007A1328">
      <w:rPr>
        <w:sz w:val="20"/>
      </w:rPr>
      <w:fldChar w:fldCharType="begin"/>
    </w:r>
    <w:r w:rsidRPr="007A1328">
      <w:rPr>
        <w:sz w:val="20"/>
      </w:rPr>
      <w:instrText xml:space="preserve"> STYLEREF CharDivText </w:instrText>
    </w:r>
    <w:r w:rsidR="00BC32B7">
      <w:rPr>
        <w:sz w:val="20"/>
      </w:rPr>
      <w:fldChar w:fldCharType="separate"/>
    </w:r>
    <w:r w:rsidR="00BC32B7">
      <w:rPr>
        <w:noProof/>
        <w:sz w:val="20"/>
      </w:rPr>
      <w:t>Miscellaneous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BC32B7">
      <w:rPr>
        <w:b/>
        <w:sz w:val="20"/>
      </w:rPr>
      <w:fldChar w:fldCharType="separate"/>
    </w:r>
    <w:r w:rsidR="00BC32B7">
      <w:rPr>
        <w:b/>
        <w:noProof/>
        <w:sz w:val="20"/>
      </w:rPr>
      <w:t>Division 7</w:t>
    </w:r>
    <w:r>
      <w:rPr>
        <w:b/>
        <w:sz w:val="20"/>
      </w:rPr>
      <w:fldChar w:fldCharType="end"/>
    </w:r>
  </w:p>
  <w:p w14:paraId="2A15EF71" w14:textId="77777777" w:rsidR="0036425D" w:rsidRPr="007A1328" w:rsidRDefault="0036425D" w:rsidP="0036425D">
    <w:pPr>
      <w:jc w:val="right"/>
      <w:rPr>
        <w:b/>
        <w:sz w:val="24"/>
      </w:rPr>
    </w:pPr>
  </w:p>
  <w:p w14:paraId="268F94EC" w14:textId="30CAA65B" w:rsidR="0036425D" w:rsidRPr="007A1328" w:rsidRDefault="0036425D" w:rsidP="0036425D">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C32B7">
      <w:rPr>
        <w:noProof/>
        <w:sz w:val="24"/>
      </w:rPr>
      <w:t>52</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8B39E" w14:textId="77777777" w:rsidR="0036425D" w:rsidRPr="007A1328" w:rsidRDefault="0036425D" w:rsidP="003642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9F04A1"/>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94E02F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527729">
    <w:abstractNumId w:val="15"/>
  </w:num>
  <w:num w:numId="2" w16cid:durableId="330303564">
    <w:abstractNumId w:val="11"/>
  </w:num>
  <w:num w:numId="3" w16cid:durableId="1692953704">
    <w:abstractNumId w:val="12"/>
  </w:num>
  <w:num w:numId="4" w16cid:durableId="247428103">
    <w:abstractNumId w:val="9"/>
  </w:num>
  <w:num w:numId="5" w16cid:durableId="448012737">
    <w:abstractNumId w:val="7"/>
  </w:num>
  <w:num w:numId="6" w16cid:durableId="698896093">
    <w:abstractNumId w:val="6"/>
  </w:num>
  <w:num w:numId="7" w16cid:durableId="2102945222">
    <w:abstractNumId w:val="5"/>
  </w:num>
  <w:num w:numId="8" w16cid:durableId="2103914827">
    <w:abstractNumId w:val="4"/>
  </w:num>
  <w:num w:numId="9" w16cid:durableId="2090231861">
    <w:abstractNumId w:val="8"/>
  </w:num>
  <w:num w:numId="10" w16cid:durableId="883834607">
    <w:abstractNumId w:val="3"/>
  </w:num>
  <w:num w:numId="11" w16cid:durableId="820542686">
    <w:abstractNumId w:val="2"/>
  </w:num>
  <w:num w:numId="12" w16cid:durableId="514619022">
    <w:abstractNumId w:val="1"/>
  </w:num>
  <w:num w:numId="13" w16cid:durableId="1259170078">
    <w:abstractNumId w:val="0"/>
  </w:num>
  <w:num w:numId="14" w16cid:durableId="1495491256">
    <w:abstractNumId w:val="13"/>
  </w:num>
  <w:num w:numId="15" w16cid:durableId="1965649778">
    <w:abstractNumId w:val="14"/>
  </w:num>
  <w:num w:numId="16" w16cid:durableId="564224790">
    <w:abstractNumId w:val="10"/>
  </w:num>
  <w:num w:numId="17" w16cid:durableId="4675548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16648"/>
    <w:rsid w:val="0002281F"/>
    <w:rsid w:val="00046938"/>
    <w:rsid w:val="000529F9"/>
    <w:rsid w:val="00064A26"/>
    <w:rsid w:val="000773A0"/>
    <w:rsid w:val="00082DDF"/>
    <w:rsid w:val="000B008A"/>
    <w:rsid w:val="000B3504"/>
    <w:rsid w:val="000E677B"/>
    <w:rsid w:val="001022BA"/>
    <w:rsid w:val="00113845"/>
    <w:rsid w:val="00121CF7"/>
    <w:rsid w:val="0013120B"/>
    <w:rsid w:val="00135870"/>
    <w:rsid w:val="001428AD"/>
    <w:rsid w:val="0014599B"/>
    <w:rsid w:val="001510A5"/>
    <w:rsid w:val="00166915"/>
    <w:rsid w:val="00172C04"/>
    <w:rsid w:val="00177060"/>
    <w:rsid w:val="001814D2"/>
    <w:rsid w:val="00182E26"/>
    <w:rsid w:val="001865DE"/>
    <w:rsid w:val="001B5915"/>
    <w:rsid w:val="001B6F9A"/>
    <w:rsid w:val="001D1095"/>
    <w:rsid w:val="001E0904"/>
    <w:rsid w:val="001E14E0"/>
    <w:rsid w:val="001E5984"/>
    <w:rsid w:val="001F140F"/>
    <w:rsid w:val="001F5C7F"/>
    <w:rsid w:val="00207B13"/>
    <w:rsid w:val="00213F8F"/>
    <w:rsid w:val="00223AED"/>
    <w:rsid w:val="00225A82"/>
    <w:rsid w:val="00235CB9"/>
    <w:rsid w:val="00237F74"/>
    <w:rsid w:val="002505D8"/>
    <w:rsid w:val="0028439E"/>
    <w:rsid w:val="002B1A7A"/>
    <w:rsid w:val="002B2AFC"/>
    <w:rsid w:val="002D340B"/>
    <w:rsid w:val="002D4B27"/>
    <w:rsid w:val="002D5A93"/>
    <w:rsid w:val="002D6D6E"/>
    <w:rsid w:val="002E4EF4"/>
    <w:rsid w:val="002E6351"/>
    <w:rsid w:val="002F01D6"/>
    <w:rsid w:val="002F4B2C"/>
    <w:rsid w:val="002F5A10"/>
    <w:rsid w:val="002F5B83"/>
    <w:rsid w:val="003257E7"/>
    <w:rsid w:val="00325FD9"/>
    <w:rsid w:val="00327646"/>
    <w:rsid w:val="0036425D"/>
    <w:rsid w:val="003707C4"/>
    <w:rsid w:val="0037299E"/>
    <w:rsid w:val="00381AB0"/>
    <w:rsid w:val="00391782"/>
    <w:rsid w:val="003970EE"/>
    <w:rsid w:val="00397A44"/>
    <w:rsid w:val="003A4435"/>
    <w:rsid w:val="003A7D95"/>
    <w:rsid w:val="003A7D9E"/>
    <w:rsid w:val="003B034F"/>
    <w:rsid w:val="003E552A"/>
    <w:rsid w:val="00425DDC"/>
    <w:rsid w:val="00432AAA"/>
    <w:rsid w:val="004755AA"/>
    <w:rsid w:val="004918A6"/>
    <w:rsid w:val="0049595A"/>
    <w:rsid w:val="004D6976"/>
    <w:rsid w:val="004F5B0B"/>
    <w:rsid w:val="00502125"/>
    <w:rsid w:val="00512768"/>
    <w:rsid w:val="00531CD3"/>
    <w:rsid w:val="00535A57"/>
    <w:rsid w:val="005422DE"/>
    <w:rsid w:val="005555D6"/>
    <w:rsid w:val="00582DBB"/>
    <w:rsid w:val="005B3CB5"/>
    <w:rsid w:val="005B6C63"/>
    <w:rsid w:val="005B7CA8"/>
    <w:rsid w:val="005C22A9"/>
    <w:rsid w:val="005D5384"/>
    <w:rsid w:val="005E1BD8"/>
    <w:rsid w:val="005E6A1D"/>
    <w:rsid w:val="005F2967"/>
    <w:rsid w:val="0063181E"/>
    <w:rsid w:val="00677B4A"/>
    <w:rsid w:val="006A5342"/>
    <w:rsid w:val="006A7178"/>
    <w:rsid w:val="006B5C73"/>
    <w:rsid w:val="006D116E"/>
    <w:rsid w:val="006D2538"/>
    <w:rsid w:val="006D26ED"/>
    <w:rsid w:val="006E1790"/>
    <w:rsid w:val="006E1AC9"/>
    <w:rsid w:val="006E4728"/>
    <w:rsid w:val="00720F0E"/>
    <w:rsid w:val="00746642"/>
    <w:rsid w:val="007A0BFD"/>
    <w:rsid w:val="007A4DC2"/>
    <w:rsid w:val="007B7959"/>
    <w:rsid w:val="007D1EBD"/>
    <w:rsid w:val="00834CFA"/>
    <w:rsid w:val="008641C0"/>
    <w:rsid w:val="00885366"/>
    <w:rsid w:val="00893E5A"/>
    <w:rsid w:val="008954C1"/>
    <w:rsid w:val="008976BE"/>
    <w:rsid w:val="008B3AE9"/>
    <w:rsid w:val="008B6C45"/>
    <w:rsid w:val="008B742B"/>
    <w:rsid w:val="008C2E5A"/>
    <w:rsid w:val="008C6ADB"/>
    <w:rsid w:val="008C7E1B"/>
    <w:rsid w:val="008D2E61"/>
    <w:rsid w:val="008D75E9"/>
    <w:rsid w:val="008E0377"/>
    <w:rsid w:val="00904D5F"/>
    <w:rsid w:val="0090787B"/>
    <w:rsid w:val="00940902"/>
    <w:rsid w:val="00947F21"/>
    <w:rsid w:val="009546C3"/>
    <w:rsid w:val="00960B05"/>
    <w:rsid w:val="009616AC"/>
    <w:rsid w:val="00964802"/>
    <w:rsid w:val="0097346C"/>
    <w:rsid w:val="0097620F"/>
    <w:rsid w:val="009776D5"/>
    <w:rsid w:val="00987ACD"/>
    <w:rsid w:val="009C6061"/>
    <w:rsid w:val="00A02F76"/>
    <w:rsid w:val="00A2577A"/>
    <w:rsid w:val="00A3201E"/>
    <w:rsid w:val="00A33A0E"/>
    <w:rsid w:val="00A40B5E"/>
    <w:rsid w:val="00A42EC2"/>
    <w:rsid w:val="00A62485"/>
    <w:rsid w:val="00A769F6"/>
    <w:rsid w:val="00A85F95"/>
    <w:rsid w:val="00A865CD"/>
    <w:rsid w:val="00A87463"/>
    <w:rsid w:val="00A924B7"/>
    <w:rsid w:val="00A92A0F"/>
    <w:rsid w:val="00AA749C"/>
    <w:rsid w:val="00AB0884"/>
    <w:rsid w:val="00AB5DEB"/>
    <w:rsid w:val="00AB7153"/>
    <w:rsid w:val="00AD5D83"/>
    <w:rsid w:val="00AF728F"/>
    <w:rsid w:val="00B14704"/>
    <w:rsid w:val="00B15D89"/>
    <w:rsid w:val="00B24079"/>
    <w:rsid w:val="00B33CE6"/>
    <w:rsid w:val="00B511A0"/>
    <w:rsid w:val="00B552A4"/>
    <w:rsid w:val="00B639B4"/>
    <w:rsid w:val="00B91FBE"/>
    <w:rsid w:val="00BA1449"/>
    <w:rsid w:val="00BB6EBD"/>
    <w:rsid w:val="00BC32B7"/>
    <w:rsid w:val="00BD1789"/>
    <w:rsid w:val="00BD1B27"/>
    <w:rsid w:val="00BD2B41"/>
    <w:rsid w:val="00BE0FB2"/>
    <w:rsid w:val="00BF4C79"/>
    <w:rsid w:val="00C14936"/>
    <w:rsid w:val="00C23E76"/>
    <w:rsid w:val="00C62480"/>
    <w:rsid w:val="00C66B2B"/>
    <w:rsid w:val="00C73EA6"/>
    <w:rsid w:val="00C8508B"/>
    <w:rsid w:val="00C85125"/>
    <w:rsid w:val="00C91F4C"/>
    <w:rsid w:val="00C96F60"/>
    <w:rsid w:val="00CA63D9"/>
    <w:rsid w:val="00CA733C"/>
    <w:rsid w:val="00CB38C4"/>
    <w:rsid w:val="00CD3EC5"/>
    <w:rsid w:val="00CF5852"/>
    <w:rsid w:val="00D06263"/>
    <w:rsid w:val="00D079FC"/>
    <w:rsid w:val="00D25250"/>
    <w:rsid w:val="00D30F9B"/>
    <w:rsid w:val="00D51A7E"/>
    <w:rsid w:val="00D541F2"/>
    <w:rsid w:val="00D7445A"/>
    <w:rsid w:val="00D819B6"/>
    <w:rsid w:val="00D86AB1"/>
    <w:rsid w:val="00DD21D7"/>
    <w:rsid w:val="00DE0258"/>
    <w:rsid w:val="00DF2AF9"/>
    <w:rsid w:val="00E100E8"/>
    <w:rsid w:val="00E13612"/>
    <w:rsid w:val="00E13A1D"/>
    <w:rsid w:val="00E42BA4"/>
    <w:rsid w:val="00E71267"/>
    <w:rsid w:val="00E848F1"/>
    <w:rsid w:val="00E95236"/>
    <w:rsid w:val="00EA0136"/>
    <w:rsid w:val="00EA01E3"/>
    <w:rsid w:val="00ED69A0"/>
    <w:rsid w:val="00EF37FF"/>
    <w:rsid w:val="00EF4DCF"/>
    <w:rsid w:val="00EF6F76"/>
    <w:rsid w:val="00F10A38"/>
    <w:rsid w:val="00F34446"/>
    <w:rsid w:val="00F41857"/>
    <w:rsid w:val="00F64012"/>
    <w:rsid w:val="00F67A57"/>
    <w:rsid w:val="00F714C4"/>
    <w:rsid w:val="00F85996"/>
    <w:rsid w:val="00F901DC"/>
    <w:rsid w:val="00F93624"/>
    <w:rsid w:val="00F97072"/>
    <w:rsid w:val="00F97C2C"/>
    <w:rsid w:val="00FA00FC"/>
    <w:rsid w:val="00FA319D"/>
    <w:rsid w:val="00FB3203"/>
    <w:rsid w:val="00FC0982"/>
    <w:rsid w:val="00FD4115"/>
    <w:rsid w:val="00FE7288"/>
    <w:rsid w:val="00FE7E7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3553"/>
    <o:shapelayout v:ext="edit">
      <o:idmap v:ext="edit" data="1"/>
    </o:shapelayout>
  </w:shapeDefaults>
  <w:decimalSymbol w:val="."/>
  <w:listSeparator w:val=","/>
  <w14:docId w14:val="3604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422DE"/>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5422DE"/>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422DE"/>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422DE"/>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422DE"/>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422DE"/>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422DE"/>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5422DE"/>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422DE"/>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422DE"/>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5422DE"/>
    <w:pPr>
      <w:numPr>
        <w:numId w:val="1"/>
      </w:numPr>
    </w:pPr>
  </w:style>
  <w:style w:type="numbering" w:styleId="1ai">
    <w:name w:val="Outline List 1"/>
    <w:basedOn w:val="NoList"/>
    <w:uiPriority w:val="99"/>
    <w:unhideWhenUsed/>
    <w:rsid w:val="005422DE"/>
    <w:pPr>
      <w:numPr>
        <w:numId w:val="2"/>
      </w:numPr>
    </w:pPr>
  </w:style>
  <w:style w:type="paragraph" w:customStyle="1" w:styleId="ActHead1">
    <w:name w:val="ActHead 1"/>
    <w:aliases w:val="c"/>
    <w:basedOn w:val="OPCParaBase"/>
    <w:next w:val="Normal"/>
    <w:qFormat/>
    <w:rsid w:val="005422D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422D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422D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422D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422D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422D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422D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422D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422DE"/>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5422DE"/>
  </w:style>
  <w:style w:type="paragraph" w:customStyle="1" w:styleId="Actno">
    <w:name w:val="Actno"/>
    <w:basedOn w:val="ShortT"/>
    <w:next w:val="Normal"/>
    <w:qFormat/>
    <w:rsid w:val="005422DE"/>
  </w:style>
  <w:style w:type="character" w:customStyle="1" w:styleId="CharSubPartNoCASA">
    <w:name w:val="CharSubPartNo(CASA)"/>
    <w:basedOn w:val="OPCCharBase"/>
    <w:uiPriority w:val="1"/>
    <w:rsid w:val="005422DE"/>
  </w:style>
  <w:style w:type="paragraph" w:customStyle="1" w:styleId="ENoteTTIndentHeadingSub">
    <w:name w:val="ENoteTTIndentHeadingSub"/>
    <w:aliases w:val="enTTHis"/>
    <w:basedOn w:val="OPCParaBase"/>
    <w:rsid w:val="005422DE"/>
    <w:pPr>
      <w:keepNext/>
      <w:spacing w:before="60" w:line="240" w:lineRule="atLeast"/>
      <w:ind w:left="340"/>
    </w:pPr>
    <w:rPr>
      <w:b/>
      <w:sz w:val="16"/>
    </w:rPr>
  </w:style>
  <w:style w:type="paragraph" w:customStyle="1" w:styleId="ENoteTTiSub">
    <w:name w:val="ENoteTTiSub"/>
    <w:aliases w:val="enttis"/>
    <w:basedOn w:val="OPCParaBase"/>
    <w:rsid w:val="005422DE"/>
    <w:pPr>
      <w:keepNext/>
      <w:spacing w:before="60" w:line="240" w:lineRule="atLeast"/>
      <w:ind w:left="340"/>
    </w:pPr>
    <w:rPr>
      <w:sz w:val="16"/>
    </w:rPr>
  </w:style>
  <w:style w:type="paragraph" w:customStyle="1" w:styleId="SubDivisionMigration">
    <w:name w:val="SubDivisionMigration"/>
    <w:aliases w:val="sdm"/>
    <w:basedOn w:val="OPCParaBase"/>
    <w:rsid w:val="005422D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422DE"/>
    <w:pPr>
      <w:keepNext/>
      <w:keepLines/>
      <w:spacing w:before="240" w:line="240" w:lineRule="auto"/>
      <w:ind w:left="1134" w:hanging="1134"/>
    </w:pPr>
    <w:rPr>
      <w:b/>
      <w:sz w:val="28"/>
    </w:rPr>
  </w:style>
  <w:style w:type="numbering" w:styleId="ArticleSection">
    <w:name w:val="Outline List 3"/>
    <w:basedOn w:val="NoList"/>
    <w:uiPriority w:val="99"/>
    <w:unhideWhenUsed/>
    <w:rsid w:val="005422DE"/>
    <w:pPr>
      <w:numPr>
        <w:numId w:val="3"/>
      </w:numPr>
    </w:pPr>
  </w:style>
  <w:style w:type="paragraph" w:styleId="BalloonText">
    <w:name w:val="Balloon Text"/>
    <w:basedOn w:val="Normal"/>
    <w:link w:val="BalloonTextChar"/>
    <w:uiPriority w:val="99"/>
    <w:unhideWhenUsed/>
    <w:rsid w:val="005422DE"/>
    <w:pPr>
      <w:spacing w:line="240" w:lineRule="auto"/>
    </w:pPr>
    <w:rPr>
      <w:rFonts w:ascii="Segoe UI" w:hAnsi="Segoe UI" w:cs="Segoe UI"/>
      <w:sz w:val="18"/>
      <w:szCs w:val="18"/>
    </w:rPr>
  </w:style>
  <w:style w:type="paragraph" w:styleId="BlockText">
    <w:name w:val="Block Text"/>
    <w:basedOn w:val="Normal"/>
    <w:uiPriority w:val="99"/>
    <w:unhideWhenUsed/>
    <w:rsid w:val="005422D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5422DE"/>
    <w:pPr>
      <w:spacing w:line="240" w:lineRule="auto"/>
    </w:pPr>
    <w:rPr>
      <w:sz w:val="24"/>
    </w:rPr>
  </w:style>
  <w:style w:type="paragraph" w:styleId="BodyText">
    <w:name w:val="Body Text"/>
    <w:basedOn w:val="Normal"/>
    <w:link w:val="BodyTextChar"/>
    <w:uiPriority w:val="99"/>
    <w:unhideWhenUsed/>
    <w:rsid w:val="005422DE"/>
    <w:pPr>
      <w:spacing w:after="120"/>
    </w:pPr>
  </w:style>
  <w:style w:type="paragraph" w:styleId="BodyText2">
    <w:name w:val="Body Text 2"/>
    <w:basedOn w:val="Normal"/>
    <w:link w:val="BodyText2Char"/>
    <w:uiPriority w:val="99"/>
    <w:unhideWhenUsed/>
    <w:rsid w:val="005422DE"/>
    <w:pPr>
      <w:spacing w:after="120" w:line="480" w:lineRule="auto"/>
    </w:pPr>
  </w:style>
  <w:style w:type="paragraph" w:styleId="BodyText3">
    <w:name w:val="Body Text 3"/>
    <w:basedOn w:val="Normal"/>
    <w:link w:val="BodyText3Char"/>
    <w:uiPriority w:val="99"/>
    <w:unhideWhenUsed/>
    <w:rsid w:val="005422DE"/>
    <w:pPr>
      <w:spacing w:after="120"/>
    </w:pPr>
    <w:rPr>
      <w:sz w:val="16"/>
      <w:szCs w:val="16"/>
    </w:rPr>
  </w:style>
  <w:style w:type="paragraph" w:styleId="BodyTextFirstIndent">
    <w:name w:val="Body Text First Indent"/>
    <w:basedOn w:val="BodyText"/>
    <w:link w:val="BodyTextFirstIndentChar"/>
    <w:uiPriority w:val="99"/>
    <w:unhideWhenUsed/>
    <w:rsid w:val="005422DE"/>
    <w:pPr>
      <w:spacing w:after="0"/>
      <w:ind w:firstLine="360"/>
    </w:pPr>
  </w:style>
  <w:style w:type="paragraph" w:styleId="BodyTextIndent">
    <w:name w:val="Body Text Indent"/>
    <w:basedOn w:val="Normal"/>
    <w:link w:val="BodyTextIndentChar"/>
    <w:uiPriority w:val="99"/>
    <w:unhideWhenUsed/>
    <w:rsid w:val="005422DE"/>
    <w:pPr>
      <w:spacing w:after="120"/>
      <w:ind w:left="283"/>
    </w:pPr>
  </w:style>
  <w:style w:type="paragraph" w:styleId="BodyTextFirstIndent2">
    <w:name w:val="Body Text First Indent 2"/>
    <w:basedOn w:val="BodyTextIndent"/>
    <w:link w:val="BodyTextFirstIndent2Char"/>
    <w:uiPriority w:val="99"/>
    <w:unhideWhenUsed/>
    <w:rsid w:val="005422DE"/>
    <w:pPr>
      <w:spacing w:after="0"/>
      <w:ind w:left="360" w:firstLine="360"/>
    </w:pPr>
  </w:style>
  <w:style w:type="paragraph" w:styleId="BodyTextIndent2">
    <w:name w:val="Body Text Indent 2"/>
    <w:basedOn w:val="Normal"/>
    <w:link w:val="BodyTextIndent2Char"/>
    <w:uiPriority w:val="99"/>
    <w:unhideWhenUsed/>
    <w:rsid w:val="005422DE"/>
    <w:pPr>
      <w:spacing w:after="120" w:line="480" w:lineRule="auto"/>
      <w:ind w:left="283"/>
    </w:pPr>
  </w:style>
  <w:style w:type="paragraph" w:styleId="BodyTextIndent3">
    <w:name w:val="Body Text Indent 3"/>
    <w:basedOn w:val="Normal"/>
    <w:link w:val="BodyTextIndent3Char"/>
    <w:uiPriority w:val="99"/>
    <w:unhideWhenUsed/>
    <w:rsid w:val="005422DE"/>
    <w:pPr>
      <w:spacing w:after="120"/>
      <w:ind w:left="283"/>
    </w:pPr>
    <w:rPr>
      <w:sz w:val="16"/>
      <w:szCs w:val="16"/>
    </w:rPr>
  </w:style>
  <w:style w:type="paragraph" w:customStyle="1" w:styleId="BoxText">
    <w:name w:val="BoxText"/>
    <w:aliases w:val="bt"/>
    <w:basedOn w:val="OPCParaBase"/>
    <w:qFormat/>
    <w:rsid w:val="005422D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422DE"/>
    <w:rPr>
      <w:b/>
    </w:rPr>
  </w:style>
  <w:style w:type="paragraph" w:customStyle="1" w:styleId="BoxHeadItalic">
    <w:name w:val="BoxHeadItalic"/>
    <w:aliases w:val="bhi"/>
    <w:basedOn w:val="BoxText"/>
    <w:next w:val="BoxStep"/>
    <w:qFormat/>
    <w:rsid w:val="005422DE"/>
    <w:rPr>
      <w:i/>
    </w:rPr>
  </w:style>
  <w:style w:type="paragraph" w:customStyle="1" w:styleId="BoxList">
    <w:name w:val="BoxList"/>
    <w:aliases w:val="bl"/>
    <w:basedOn w:val="BoxText"/>
    <w:qFormat/>
    <w:rsid w:val="005422DE"/>
    <w:pPr>
      <w:ind w:left="1559" w:hanging="425"/>
    </w:pPr>
  </w:style>
  <w:style w:type="paragraph" w:customStyle="1" w:styleId="BoxNote">
    <w:name w:val="BoxNote"/>
    <w:aliases w:val="bn"/>
    <w:basedOn w:val="BoxText"/>
    <w:qFormat/>
    <w:rsid w:val="005422DE"/>
    <w:pPr>
      <w:tabs>
        <w:tab w:val="left" w:pos="1985"/>
      </w:tabs>
      <w:spacing w:before="122" w:line="198" w:lineRule="exact"/>
      <w:ind w:left="2948" w:hanging="1814"/>
    </w:pPr>
    <w:rPr>
      <w:sz w:val="18"/>
    </w:rPr>
  </w:style>
  <w:style w:type="paragraph" w:customStyle="1" w:styleId="BoxPara">
    <w:name w:val="BoxPara"/>
    <w:aliases w:val="bp"/>
    <w:basedOn w:val="BoxText"/>
    <w:qFormat/>
    <w:rsid w:val="005422DE"/>
    <w:pPr>
      <w:tabs>
        <w:tab w:val="right" w:pos="2268"/>
      </w:tabs>
      <w:ind w:left="2552" w:hanging="1418"/>
    </w:pPr>
  </w:style>
  <w:style w:type="paragraph" w:customStyle="1" w:styleId="BoxStep">
    <w:name w:val="BoxStep"/>
    <w:aliases w:val="bs"/>
    <w:basedOn w:val="BoxText"/>
    <w:qFormat/>
    <w:rsid w:val="005422DE"/>
    <w:pPr>
      <w:ind w:left="1985" w:hanging="851"/>
    </w:pPr>
  </w:style>
  <w:style w:type="paragraph" w:styleId="Caption">
    <w:name w:val="caption"/>
    <w:basedOn w:val="Normal"/>
    <w:next w:val="Normal"/>
    <w:uiPriority w:val="35"/>
    <w:unhideWhenUsed/>
    <w:qFormat/>
    <w:rsid w:val="005422DE"/>
    <w:pPr>
      <w:spacing w:after="200" w:line="240" w:lineRule="auto"/>
    </w:pPr>
    <w:rPr>
      <w:i/>
      <w:iCs/>
      <w:color w:val="1F497D" w:themeColor="text2"/>
      <w:sz w:val="18"/>
      <w:szCs w:val="18"/>
    </w:rPr>
  </w:style>
  <w:style w:type="character" w:customStyle="1" w:styleId="CharAmPartNo">
    <w:name w:val="CharAmPartNo"/>
    <w:basedOn w:val="OPCCharBase"/>
    <w:qFormat/>
    <w:rsid w:val="005422DE"/>
  </w:style>
  <w:style w:type="character" w:customStyle="1" w:styleId="CharAmPartText">
    <w:name w:val="CharAmPartText"/>
    <w:basedOn w:val="OPCCharBase"/>
    <w:qFormat/>
    <w:rsid w:val="005422DE"/>
  </w:style>
  <w:style w:type="character" w:customStyle="1" w:styleId="CharAmSchNo">
    <w:name w:val="CharAmSchNo"/>
    <w:basedOn w:val="OPCCharBase"/>
    <w:qFormat/>
    <w:rsid w:val="005422DE"/>
  </w:style>
  <w:style w:type="character" w:customStyle="1" w:styleId="CharAmSchText">
    <w:name w:val="CharAmSchText"/>
    <w:basedOn w:val="OPCCharBase"/>
    <w:qFormat/>
    <w:rsid w:val="005422DE"/>
  </w:style>
  <w:style w:type="character" w:customStyle="1" w:styleId="CharBoldItalic">
    <w:name w:val="CharBoldItalic"/>
    <w:basedOn w:val="OPCCharBase"/>
    <w:uiPriority w:val="1"/>
    <w:qFormat/>
    <w:rsid w:val="005422DE"/>
    <w:rPr>
      <w:b/>
      <w:i/>
    </w:rPr>
  </w:style>
  <w:style w:type="character" w:customStyle="1" w:styleId="CharChapNo">
    <w:name w:val="CharChapNo"/>
    <w:basedOn w:val="OPCCharBase"/>
    <w:uiPriority w:val="1"/>
    <w:qFormat/>
    <w:rsid w:val="005422DE"/>
  </w:style>
  <w:style w:type="character" w:customStyle="1" w:styleId="CharChapText">
    <w:name w:val="CharChapText"/>
    <w:basedOn w:val="OPCCharBase"/>
    <w:uiPriority w:val="1"/>
    <w:qFormat/>
    <w:rsid w:val="005422DE"/>
  </w:style>
  <w:style w:type="character" w:customStyle="1" w:styleId="CharDivNo">
    <w:name w:val="CharDivNo"/>
    <w:basedOn w:val="OPCCharBase"/>
    <w:uiPriority w:val="1"/>
    <w:qFormat/>
    <w:rsid w:val="005422DE"/>
  </w:style>
  <w:style w:type="character" w:customStyle="1" w:styleId="CharDivText">
    <w:name w:val="CharDivText"/>
    <w:basedOn w:val="OPCCharBase"/>
    <w:uiPriority w:val="1"/>
    <w:qFormat/>
    <w:rsid w:val="005422DE"/>
  </w:style>
  <w:style w:type="character" w:customStyle="1" w:styleId="CharItalic">
    <w:name w:val="CharItalic"/>
    <w:basedOn w:val="OPCCharBase"/>
    <w:uiPriority w:val="1"/>
    <w:qFormat/>
    <w:rsid w:val="005422DE"/>
    <w:rPr>
      <w:i/>
    </w:rPr>
  </w:style>
  <w:style w:type="character" w:customStyle="1" w:styleId="CharPartNo">
    <w:name w:val="CharPartNo"/>
    <w:basedOn w:val="OPCCharBase"/>
    <w:uiPriority w:val="1"/>
    <w:qFormat/>
    <w:rsid w:val="005422DE"/>
  </w:style>
  <w:style w:type="character" w:customStyle="1" w:styleId="CharPartText">
    <w:name w:val="CharPartText"/>
    <w:basedOn w:val="OPCCharBase"/>
    <w:uiPriority w:val="1"/>
    <w:qFormat/>
    <w:rsid w:val="005422DE"/>
  </w:style>
  <w:style w:type="character" w:customStyle="1" w:styleId="CharSectno">
    <w:name w:val="CharSectno"/>
    <w:basedOn w:val="OPCCharBase"/>
    <w:qFormat/>
    <w:rsid w:val="005422DE"/>
  </w:style>
  <w:style w:type="character" w:customStyle="1" w:styleId="CharSubdNo">
    <w:name w:val="CharSubdNo"/>
    <w:basedOn w:val="OPCCharBase"/>
    <w:uiPriority w:val="1"/>
    <w:qFormat/>
    <w:rsid w:val="005422DE"/>
  </w:style>
  <w:style w:type="character" w:customStyle="1" w:styleId="CharSubdText">
    <w:name w:val="CharSubdText"/>
    <w:basedOn w:val="OPCCharBase"/>
    <w:uiPriority w:val="1"/>
    <w:qFormat/>
    <w:rsid w:val="005422DE"/>
  </w:style>
  <w:style w:type="paragraph" w:styleId="Closing">
    <w:name w:val="Closing"/>
    <w:basedOn w:val="Normal"/>
    <w:link w:val="ClosingChar"/>
    <w:uiPriority w:val="99"/>
    <w:unhideWhenUsed/>
    <w:rsid w:val="005422DE"/>
    <w:pPr>
      <w:spacing w:line="240" w:lineRule="auto"/>
      <w:ind w:left="4252"/>
    </w:pPr>
  </w:style>
  <w:style w:type="character" w:styleId="CommentReference">
    <w:name w:val="annotation reference"/>
    <w:basedOn w:val="DefaultParagraphFont"/>
    <w:uiPriority w:val="99"/>
    <w:unhideWhenUsed/>
    <w:rsid w:val="005422DE"/>
    <w:rPr>
      <w:sz w:val="16"/>
      <w:szCs w:val="16"/>
    </w:rPr>
  </w:style>
  <w:style w:type="paragraph" w:styleId="CommentText">
    <w:name w:val="annotation text"/>
    <w:basedOn w:val="Normal"/>
    <w:link w:val="CommentTextChar"/>
    <w:uiPriority w:val="99"/>
    <w:unhideWhenUsed/>
    <w:rsid w:val="005422DE"/>
    <w:pPr>
      <w:spacing w:line="240" w:lineRule="auto"/>
    </w:pPr>
    <w:rPr>
      <w:sz w:val="20"/>
    </w:rPr>
  </w:style>
  <w:style w:type="paragraph" w:styleId="CommentSubject">
    <w:name w:val="annotation subject"/>
    <w:basedOn w:val="CommentText"/>
    <w:next w:val="CommentText"/>
    <w:link w:val="CommentSubjectChar"/>
    <w:uiPriority w:val="99"/>
    <w:unhideWhenUsed/>
    <w:rsid w:val="005422DE"/>
    <w:rPr>
      <w:b/>
      <w:bCs/>
    </w:rPr>
  </w:style>
  <w:style w:type="paragraph" w:customStyle="1" w:styleId="notetext">
    <w:name w:val="note(text)"/>
    <w:aliases w:val="n"/>
    <w:basedOn w:val="OPCParaBase"/>
    <w:rsid w:val="005422DE"/>
    <w:pPr>
      <w:spacing w:before="122" w:line="240" w:lineRule="auto"/>
      <w:ind w:left="1985" w:hanging="851"/>
    </w:pPr>
    <w:rPr>
      <w:sz w:val="18"/>
    </w:rPr>
  </w:style>
  <w:style w:type="paragraph" w:customStyle="1" w:styleId="notemargin">
    <w:name w:val="note(margin)"/>
    <w:aliases w:val="nm"/>
    <w:basedOn w:val="OPCParaBase"/>
    <w:rsid w:val="005422DE"/>
    <w:pPr>
      <w:tabs>
        <w:tab w:val="left" w:pos="709"/>
      </w:tabs>
      <w:spacing w:before="122" w:line="198" w:lineRule="exact"/>
      <w:ind w:left="709" w:hanging="709"/>
    </w:pPr>
    <w:rPr>
      <w:sz w:val="18"/>
    </w:rPr>
  </w:style>
  <w:style w:type="paragraph" w:customStyle="1" w:styleId="CTA-">
    <w:name w:val="CTA -"/>
    <w:basedOn w:val="OPCParaBase"/>
    <w:rsid w:val="005422DE"/>
    <w:pPr>
      <w:spacing w:before="60" w:line="240" w:lineRule="atLeast"/>
      <w:ind w:left="85" w:hanging="85"/>
    </w:pPr>
    <w:rPr>
      <w:sz w:val="20"/>
    </w:rPr>
  </w:style>
  <w:style w:type="paragraph" w:customStyle="1" w:styleId="CTA--">
    <w:name w:val="CTA --"/>
    <w:basedOn w:val="OPCParaBase"/>
    <w:next w:val="Normal"/>
    <w:rsid w:val="005422DE"/>
    <w:pPr>
      <w:spacing w:before="60" w:line="240" w:lineRule="atLeast"/>
      <w:ind w:left="142" w:hanging="142"/>
    </w:pPr>
    <w:rPr>
      <w:sz w:val="20"/>
    </w:rPr>
  </w:style>
  <w:style w:type="paragraph" w:customStyle="1" w:styleId="CTA---">
    <w:name w:val="CTA ---"/>
    <w:basedOn w:val="OPCParaBase"/>
    <w:next w:val="Normal"/>
    <w:rsid w:val="005422DE"/>
    <w:pPr>
      <w:spacing w:before="60" w:line="240" w:lineRule="atLeast"/>
      <w:ind w:left="198" w:hanging="198"/>
    </w:pPr>
    <w:rPr>
      <w:sz w:val="20"/>
    </w:rPr>
  </w:style>
  <w:style w:type="paragraph" w:customStyle="1" w:styleId="CTA----">
    <w:name w:val="CTA ----"/>
    <w:basedOn w:val="OPCParaBase"/>
    <w:next w:val="Normal"/>
    <w:rsid w:val="005422DE"/>
    <w:pPr>
      <w:spacing w:before="60" w:line="240" w:lineRule="atLeast"/>
      <w:ind w:left="255" w:hanging="255"/>
    </w:pPr>
    <w:rPr>
      <w:sz w:val="20"/>
    </w:rPr>
  </w:style>
  <w:style w:type="paragraph" w:customStyle="1" w:styleId="CTA1a">
    <w:name w:val="CTA 1(a)"/>
    <w:basedOn w:val="OPCParaBase"/>
    <w:rsid w:val="005422DE"/>
    <w:pPr>
      <w:tabs>
        <w:tab w:val="right" w:pos="414"/>
      </w:tabs>
      <w:spacing w:before="40" w:line="240" w:lineRule="atLeast"/>
      <w:ind w:left="675" w:hanging="675"/>
    </w:pPr>
    <w:rPr>
      <w:sz w:val="20"/>
    </w:rPr>
  </w:style>
  <w:style w:type="paragraph" w:customStyle="1" w:styleId="CTA1ai">
    <w:name w:val="CTA 1(a)(i)"/>
    <w:basedOn w:val="OPCParaBase"/>
    <w:rsid w:val="005422DE"/>
    <w:pPr>
      <w:tabs>
        <w:tab w:val="right" w:pos="1004"/>
      </w:tabs>
      <w:spacing w:before="40" w:line="240" w:lineRule="atLeast"/>
      <w:ind w:left="1253" w:hanging="1253"/>
    </w:pPr>
    <w:rPr>
      <w:sz w:val="20"/>
    </w:rPr>
  </w:style>
  <w:style w:type="paragraph" w:customStyle="1" w:styleId="CTA2a">
    <w:name w:val="CTA 2(a)"/>
    <w:basedOn w:val="OPCParaBase"/>
    <w:rsid w:val="005422DE"/>
    <w:pPr>
      <w:tabs>
        <w:tab w:val="right" w:pos="482"/>
      </w:tabs>
      <w:spacing w:before="40" w:line="240" w:lineRule="atLeast"/>
      <w:ind w:left="748" w:hanging="748"/>
    </w:pPr>
    <w:rPr>
      <w:sz w:val="20"/>
    </w:rPr>
  </w:style>
  <w:style w:type="paragraph" w:customStyle="1" w:styleId="CTA2ai">
    <w:name w:val="CTA 2(a)(i)"/>
    <w:basedOn w:val="OPCParaBase"/>
    <w:rsid w:val="005422DE"/>
    <w:pPr>
      <w:tabs>
        <w:tab w:val="right" w:pos="1089"/>
      </w:tabs>
      <w:spacing w:before="40" w:line="240" w:lineRule="atLeast"/>
      <w:ind w:left="1327" w:hanging="1327"/>
    </w:pPr>
    <w:rPr>
      <w:sz w:val="20"/>
    </w:rPr>
  </w:style>
  <w:style w:type="paragraph" w:customStyle="1" w:styleId="CTA3a">
    <w:name w:val="CTA 3(a)"/>
    <w:basedOn w:val="OPCParaBase"/>
    <w:rsid w:val="005422DE"/>
    <w:pPr>
      <w:tabs>
        <w:tab w:val="right" w:pos="556"/>
      </w:tabs>
      <w:spacing w:before="40" w:line="240" w:lineRule="atLeast"/>
      <w:ind w:left="805" w:hanging="805"/>
    </w:pPr>
    <w:rPr>
      <w:sz w:val="20"/>
    </w:rPr>
  </w:style>
  <w:style w:type="paragraph" w:customStyle="1" w:styleId="CTA3ai">
    <w:name w:val="CTA 3(a)(i)"/>
    <w:basedOn w:val="OPCParaBase"/>
    <w:rsid w:val="005422DE"/>
    <w:pPr>
      <w:tabs>
        <w:tab w:val="right" w:pos="1140"/>
      </w:tabs>
      <w:spacing w:before="40" w:line="240" w:lineRule="atLeast"/>
      <w:ind w:left="1361" w:hanging="1361"/>
    </w:pPr>
    <w:rPr>
      <w:sz w:val="20"/>
    </w:rPr>
  </w:style>
  <w:style w:type="paragraph" w:customStyle="1" w:styleId="CTA4a">
    <w:name w:val="CTA 4(a)"/>
    <w:basedOn w:val="OPCParaBase"/>
    <w:rsid w:val="005422DE"/>
    <w:pPr>
      <w:tabs>
        <w:tab w:val="right" w:pos="624"/>
      </w:tabs>
      <w:spacing w:before="40" w:line="240" w:lineRule="atLeast"/>
      <w:ind w:left="873" w:hanging="873"/>
    </w:pPr>
    <w:rPr>
      <w:sz w:val="20"/>
    </w:rPr>
  </w:style>
  <w:style w:type="paragraph" w:customStyle="1" w:styleId="CTA4ai">
    <w:name w:val="CTA 4(a)(i)"/>
    <w:basedOn w:val="OPCParaBase"/>
    <w:rsid w:val="005422DE"/>
    <w:pPr>
      <w:tabs>
        <w:tab w:val="right" w:pos="1213"/>
      </w:tabs>
      <w:spacing w:before="40" w:line="240" w:lineRule="atLeast"/>
      <w:ind w:left="1452" w:hanging="1452"/>
    </w:pPr>
    <w:rPr>
      <w:sz w:val="20"/>
    </w:rPr>
  </w:style>
  <w:style w:type="paragraph" w:customStyle="1" w:styleId="CTACAPS">
    <w:name w:val="CTA CAPS"/>
    <w:basedOn w:val="OPCParaBase"/>
    <w:rsid w:val="005422DE"/>
    <w:pPr>
      <w:spacing w:before="60" w:line="240" w:lineRule="atLeast"/>
    </w:pPr>
    <w:rPr>
      <w:sz w:val="20"/>
    </w:rPr>
  </w:style>
  <w:style w:type="paragraph" w:customStyle="1" w:styleId="CTAright">
    <w:name w:val="CTA right"/>
    <w:basedOn w:val="OPCParaBase"/>
    <w:rsid w:val="005422DE"/>
    <w:pPr>
      <w:spacing w:before="60" w:line="240" w:lineRule="auto"/>
      <w:jc w:val="right"/>
    </w:pPr>
    <w:rPr>
      <w:sz w:val="20"/>
    </w:rPr>
  </w:style>
  <w:style w:type="paragraph" w:styleId="Date">
    <w:name w:val="Date"/>
    <w:basedOn w:val="Normal"/>
    <w:next w:val="Normal"/>
    <w:link w:val="DateChar"/>
    <w:uiPriority w:val="99"/>
    <w:unhideWhenUsed/>
    <w:rsid w:val="005422DE"/>
  </w:style>
  <w:style w:type="paragraph" w:customStyle="1" w:styleId="subsection">
    <w:name w:val="subsection"/>
    <w:aliases w:val="ss"/>
    <w:basedOn w:val="OPCParaBase"/>
    <w:rsid w:val="005422DE"/>
    <w:pPr>
      <w:tabs>
        <w:tab w:val="right" w:pos="1021"/>
      </w:tabs>
      <w:spacing w:before="180" w:line="240" w:lineRule="auto"/>
      <w:ind w:left="1134" w:hanging="1134"/>
    </w:pPr>
  </w:style>
  <w:style w:type="paragraph" w:customStyle="1" w:styleId="Definition">
    <w:name w:val="Definition"/>
    <w:aliases w:val="dd"/>
    <w:basedOn w:val="OPCParaBase"/>
    <w:rsid w:val="005422DE"/>
    <w:pPr>
      <w:spacing w:before="180" w:line="240" w:lineRule="auto"/>
      <w:ind w:left="1134"/>
    </w:pPr>
  </w:style>
  <w:style w:type="paragraph" w:styleId="DocumentMap">
    <w:name w:val="Document Map"/>
    <w:basedOn w:val="Normal"/>
    <w:link w:val="DocumentMapChar"/>
    <w:uiPriority w:val="99"/>
    <w:unhideWhenUsed/>
    <w:rsid w:val="005422DE"/>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5422DE"/>
    <w:pPr>
      <w:spacing w:line="240" w:lineRule="auto"/>
    </w:pPr>
  </w:style>
  <w:style w:type="character" w:styleId="Emphasis">
    <w:name w:val="Emphasis"/>
    <w:basedOn w:val="DefaultParagraphFont"/>
    <w:uiPriority w:val="20"/>
    <w:qFormat/>
    <w:rsid w:val="005422DE"/>
    <w:rPr>
      <w:i/>
      <w:iCs/>
    </w:rPr>
  </w:style>
  <w:style w:type="character" w:styleId="EndnoteReference">
    <w:name w:val="endnote reference"/>
    <w:basedOn w:val="DefaultParagraphFont"/>
    <w:uiPriority w:val="99"/>
    <w:unhideWhenUsed/>
    <w:rsid w:val="005422DE"/>
    <w:rPr>
      <w:vertAlign w:val="superscript"/>
    </w:rPr>
  </w:style>
  <w:style w:type="paragraph" w:styleId="EndnoteText">
    <w:name w:val="endnote text"/>
    <w:basedOn w:val="Normal"/>
    <w:link w:val="EndnoteTextChar"/>
    <w:uiPriority w:val="99"/>
    <w:unhideWhenUsed/>
    <w:rsid w:val="005422DE"/>
    <w:pPr>
      <w:spacing w:line="240" w:lineRule="auto"/>
    </w:pPr>
    <w:rPr>
      <w:sz w:val="20"/>
    </w:rPr>
  </w:style>
  <w:style w:type="paragraph" w:styleId="EnvelopeAddress">
    <w:name w:val="envelope address"/>
    <w:basedOn w:val="Normal"/>
    <w:uiPriority w:val="99"/>
    <w:unhideWhenUsed/>
    <w:rsid w:val="005422D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5422DE"/>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5422DE"/>
    <w:rPr>
      <w:color w:val="800080" w:themeColor="followedHyperlink"/>
      <w:u w:val="single"/>
    </w:rPr>
  </w:style>
  <w:style w:type="paragraph" w:styleId="Footer">
    <w:name w:val="footer"/>
    <w:link w:val="FooterChar"/>
    <w:rsid w:val="005422DE"/>
    <w:pPr>
      <w:tabs>
        <w:tab w:val="center" w:pos="4153"/>
        <w:tab w:val="right" w:pos="8306"/>
      </w:tabs>
    </w:pPr>
    <w:rPr>
      <w:sz w:val="22"/>
      <w:szCs w:val="24"/>
    </w:rPr>
  </w:style>
  <w:style w:type="character" w:styleId="FootnoteReference">
    <w:name w:val="footnote reference"/>
    <w:basedOn w:val="DefaultParagraphFont"/>
    <w:uiPriority w:val="99"/>
    <w:unhideWhenUsed/>
    <w:rsid w:val="005422DE"/>
    <w:rPr>
      <w:vertAlign w:val="superscript"/>
    </w:rPr>
  </w:style>
  <w:style w:type="paragraph" w:styleId="FootnoteText">
    <w:name w:val="footnote text"/>
    <w:basedOn w:val="Normal"/>
    <w:link w:val="FootnoteTextChar"/>
    <w:uiPriority w:val="99"/>
    <w:unhideWhenUsed/>
    <w:rsid w:val="005422DE"/>
    <w:pPr>
      <w:spacing w:line="240" w:lineRule="auto"/>
    </w:pPr>
    <w:rPr>
      <w:sz w:val="20"/>
    </w:rPr>
  </w:style>
  <w:style w:type="paragraph" w:customStyle="1" w:styleId="Formula">
    <w:name w:val="Formula"/>
    <w:basedOn w:val="OPCParaBase"/>
    <w:rsid w:val="005422DE"/>
    <w:pPr>
      <w:spacing w:line="240" w:lineRule="auto"/>
      <w:ind w:left="1134"/>
    </w:pPr>
    <w:rPr>
      <w:sz w:val="20"/>
    </w:rPr>
  </w:style>
  <w:style w:type="paragraph" w:styleId="Header">
    <w:name w:val="header"/>
    <w:basedOn w:val="OPCParaBase"/>
    <w:link w:val="HeaderChar"/>
    <w:unhideWhenUsed/>
    <w:rsid w:val="005422DE"/>
    <w:pPr>
      <w:keepNext/>
      <w:keepLines/>
      <w:tabs>
        <w:tab w:val="center" w:pos="4150"/>
        <w:tab w:val="right" w:pos="8307"/>
      </w:tabs>
      <w:spacing w:line="160" w:lineRule="exact"/>
    </w:pPr>
    <w:rPr>
      <w:sz w:val="16"/>
    </w:rPr>
  </w:style>
  <w:style w:type="paragraph" w:customStyle="1" w:styleId="House">
    <w:name w:val="House"/>
    <w:basedOn w:val="OPCParaBase"/>
    <w:rsid w:val="005422DE"/>
    <w:pPr>
      <w:spacing w:line="240" w:lineRule="auto"/>
    </w:pPr>
    <w:rPr>
      <w:sz w:val="28"/>
    </w:rPr>
  </w:style>
  <w:style w:type="character" w:styleId="HTMLAcronym">
    <w:name w:val="HTML Acronym"/>
    <w:basedOn w:val="DefaultParagraphFont"/>
    <w:uiPriority w:val="99"/>
    <w:unhideWhenUsed/>
    <w:rsid w:val="005422DE"/>
  </w:style>
  <w:style w:type="paragraph" w:styleId="HTMLAddress">
    <w:name w:val="HTML Address"/>
    <w:basedOn w:val="Normal"/>
    <w:link w:val="HTMLAddressChar"/>
    <w:uiPriority w:val="99"/>
    <w:unhideWhenUsed/>
    <w:rsid w:val="005422DE"/>
    <w:pPr>
      <w:spacing w:line="240" w:lineRule="auto"/>
    </w:pPr>
    <w:rPr>
      <w:i/>
      <w:iCs/>
    </w:rPr>
  </w:style>
  <w:style w:type="character" w:styleId="HTMLCite">
    <w:name w:val="HTML Cite"/>
    <w:basedOn w:val="DefaultParagraphFont"/>
    <w:uiPriority w:val="99"/>
    <w:unhideWhenUsed/>
    <w:rsid w:val="005422DE"/>
    <w:rPr>
      <w:i/>
      <w:iCs/>
    </w:rPr>
  </w:style>
  <w:style w:type="character" w:styleId="HTMLCode">
    <w:name w:val="HTML Code"/>
    <w:basedOn w:val="DefaultParagraphFont"/>
    <w:uiPriority w:val="99"/>
    <w:unhideWhenUsed/>
    <w:rsid w:val="005422DE"/>
    <w:rPr>
      <w:rFonts w:ascii="Consolas" w:hAnsi="Consolas"/>
      <w:sz w:val="20"/>
      <w:szCs w:val="20"/>
    </w:rPr>
  </w:style>
  <w:style w:type="character" w:styleId="HTMLDefinition">
    <w:name w:val="HTML Definition"/>
    <w:basedOn w:val="DefaultParagraphFont"/>
    <w:uiPriority w:val="99"/>
    <w:unhideWhenUsed/>
    <w:rsid w:val="005422DE"/>
    <w:rPr>
      <w:i/>
      <w:iCs/>
    </w:rPr>
  </w:style>
  <w:style w:type="character" w:styleId="HTMLKeyboard">
    <w:name w:val="HTML Keyboard"/>
    <w:basedOn w:val="DefaultParagraphFont"/>
    <w:uiPriority w:val="99"/>
    <w:unhideWhenUsed/>
    <w:rsid w:val="005422DE"/>
    <w:rPr>
      <w:rFonts w:ascii="Consolas" w:hAnsi="Consolas"/>
      <w:sz w:val="20"/>
      <w:szCs w:val="20"/>
    </w:rPr>
  </w:style>
  <w:style w:type="paragraph" w:styleId="HTMLPreformatted">
    <w:name w:val="HTML Preformatted"/>
    <w:basedOn w:val="Normal"/>
    <w:link w:val="HTMLPreformattedChar"/>
    <w:uiPriority w:val="99"/>
    <w:unhideWhenUsed/>
    <w:rsid w:val="005422DE"/>
    <w:pPr>
      <w:spacing w:line="240" w:lineRule="auto"/>
    </w:pPr>
    <w:rPr>
      <w:rFonts w:ascii="Consolas" w:hAnsi="Consolas"/>
      <w:sz w:val="20"/>
    </w:rPr>
  </w:style>
  <w:style w:type="character" w:styleId="HTMLSample">
    <w:name w:val="HTML Sample"/>
    <w:basedOn w:val="DefaultParagraphFont"/>
    <w:uiPriority w:val="99"/>
    <w:unhideWhenUsed/>
    <w:rsid w:val="005422DE"/>
    <w:rPr>
      <w:rFonts w:ascii="Consolas" w:hAnsi="Consolas"/>
      <w:sz w:val="24"/>
      <w:szCs w:val="24"/>
    </w:rPr>
  </w:style>
  <w:style w:type="character" w:styleId="HTMLTypewriter">
    <w:name w:val="HTML Typewriter"/>
    <w:basedOn w:val="DefaultParagraphFont"/>
    <w:uiPriority w:val="99"/>
    <w:unhideWhenUsed/>
    <w:rsid w:val="005422DE"/>
    <w:rPr>
      <w:rFonts w:ascii="Consolas" w:hAnsi="Consolas"/>
      <w:sz w:val="20"/>
      <w:szCs w:val="20"/>
    </w:rPr>
  </w:style>
  <w:style w:type="character" w:styleId="HTMLVariable">
    <w:name w:val="HTML Variable"/>
    <w:basedOn w:val="DefaultParagraphFont"/>
    <w:uiPriority w:val="99"/>
    <w:unhideWhenUsed/>
    <w:rsid w:val="005422DE"/>
    <w:rPr>
      <w:i/>
      <w:iCs/>
    </w:rPr>
  </w:style>
  <w:style w:type="character" w:styleId="Hyperlink">
    <w:name w:val="Hyperlink"/>
    <w:basedOn w:val="DefaultParagraphFont"/>
    <w:uiPriority w:val="99"/>
    <w:unhideWhenUsed/>
    <w:rsid w:val="005422DE"/>
    <w:rPr>
      <w:color w:val="0000FF" w:themeColor="hyperlink"/>
      <w:u w:val="single"/>
    </w:rPr>
  </w:style>
  <w:style w:type="paragraph" w:styleId="Index1">
    <w:name w:val="index 1"/>
    <w:basedOn w:val="Normal"/>
    <w:next w:val="Normal"/>
    <w:autoRedefine/>
    <w:uiPriority w:val="99"/>
    <w:unhideWhenUsed/>
    <w:rsid w:val="005422DE"/>
    <w:pPr>
      <w:spacing w:line="240" w:lineRule="auto"/>
      <w:ind w:left="220" w:hanging="220"/>
    </w:pPr>
  </w:style>
  <w:style w:type="paragraph" w:styleId="Index2">
    <w:name w:val="index 2"/>
    <w:basedOn w:val="Normal"/>
    <w:next w:val="Normal"/>
    <w:autoRedefine/>
    <w:uiPriority w:val="99"/>
    <w:unhideWhenUsed/>
    <w:rsid w:val="005422DE"/>
    <w:pPr>
      <w:spacing w:line="240" w:lineRule="auto"/>
      <w:ind w:left="440" w:hanging="220"/>
    </w:pPr>
  </w:style>
  <w:style w:type="paragraph" w:styleId="Index3">
    <w:name w:val="index 3"/>
    <w:basedOn w:val="Normal"/>
    <w:next w:val="Normal"/>
    <w:autoRedefine/>
    <w:uiPriority w:val="99"/>
    <w:unhideWhenUsed/>
    <w:rsid w:val="005422DE"/>
    <w:pPr>
      <w:spacing w:line="240" w:lineRule="auto"/>
      <w:ind w:left="660" w:hanging="220"/>
    </w:pPr>
  </w:style>
  <w:style w:type="paragraph" w:styleId="Index4">
    <w:name w:val="index 4"/>
    <w:basedOn w:val="Normal"/>
    <w:next w:val="Normal"/>
    <w:autoRedefine/>
    <w:uiPriority w:val="99"/>
    <w:unhideWhenUsed/>
    <w:rsid w:val="005422DE"/>
    <w:pPr>
      <w:spacing w:line="240" w:lineRule="auto"/>
      <w:ind w:left="880" w:hanging="220"/>
    </w:pPr>
  </w:style>
  <w:style w:type="paragraph" w:styleId="Index5">
    <w:name w:val="index 5"/>
    <w:basedOn w:val="Normal"/>
    <w:next w:val="Normal"/>
    <w:autoRedefine/>
    <w:uiPriority w:val="99"/>
    <w:unhideWhenUsed/>
    <w:rsid w:val="005422DE"/>
    <w:pPr>
      <w:spacing w:line="240" w:lineRule="auto"/>
      <w:ind w:left="1100" w:hanging="220"/>
    </w:pPr>
  </w:style>
  <w:style w:type="paragraph" w:styleId="Index6">
    <w:name w:val="index 6"/>
    <w:basedOn w:val="Normal"/>
    <w:next w:val="Normal"/>
    <w:autoRedefine/>
    <w:uiPriority w:val="99"/>
    <w:unhideWhenUsed/>
    <w:rsid w:val="005422DE"/>
    <w:pPr>
      <w:spacing w:line="240" w:lineRule="auto"/>
      <w:ind w:left="1320" w:hanging="220"/>
    </w:pPr>
  </w:style>
  <w:style w:type="paragraph" w:styleId="Index7">
    <w:name w:val="index 7"/>
    <w:basedOn w:val="Normal"/>
    <w:next w:val="Normal"/>
    <w:autoRedefine/>
    <w:uiPriority w:val="99"/>
    <w:unhideWhenUsed/>
    <w:rsid w:val="005422DE"/>
    <w:pPr>
      <w:spacing w:line="240" w:lineRule="auto"/>
      <w:ind w:left="1540" w:hanging="220"/>
    </w:pPr>
  </w:style>
  <w:style w:type="paragraph" w:styleId="Index8">
    <w:name w:val="index 8"/>
    <w:basedOn w:val="Normal"/>
    <w:next w:val="Normal"/>
    <w:autoRedefine/>
    <w:uiPriority w:val="99"/>
    <w:unhideWhenUsed/>
    <w:rsid w:val="005422DE"/>
    <w:pPr>
      <w:spacing w:line="240" w:lineRule="auto"/>
      <w:ind w:left="1760" w:hanging="220"/>
    </w:pPr>
  </w:style>
  <w:style w:type="paragraph" w:styleId="Index9">
    <w:name w:val="index 9"/>
    <w:basedOn w:val="Normal"/>
    <w:next w:val="Normal"/>
    <w:autoRedefine/>
    <w:uiPriority w:val="99"/>
    <w:unhideWhenUsed/>
    <w:rsid w:val="005422DE"/>
    <w:pPr>
      <w:spacing w:line="240" w:lineRule="auto"/>
      <w:ind w:left="1980" w:hanging="220"/>
    </w:pPr>
  </w:style>
  <w:style w:type="paragraph" w:styleId="IndexHeading">
    <w:name w:val="index heading"/>
    <w:basedOn w:val="Normal"/>
    <w:next w:val="Index1"/>
    <w:uiPriority w:val="99"/>
    <w:unhideWhenUsed/>
    <w:rsid w:val="005422DE"/>
    <w:rPr>
      <w:rFonts w:asciiTheme="majorHAnsi" w:eastAsiaTheme="majorEastAsia" w:hAnsiTheme="majorHAnsi" w:cstheme="majorBidi"/>
      <w:b/>
      <w:bCs/>
    </w:rPr>
  </w:style>
  <w:style w:type="paragraph" w:customStyle="1" w:styleId="Item">
    <w:name w:val="Item"/>
    <w:aliases w:val="i"/>
    <w:basedOn w:val="OPCParaBase"/>
    <w:next w:val="ItemHead"/>
    <w:rsid w:val="005422DE"/>
    <w:pPr>
      <w:keepLines/>
      <w:spacing w:before="80" w:line="240" w:lineRule="auto"/>
      <w:ind w:left="709"/>
    </w:pPr>
  </w:style>
  <w:style w:type="paragraph" w:customStyle="1" w:styleId="ItemHead">
    <w:name w:val="ItemHead"/>
    <w:aliases w:val="ih"/>
    <w:basedOn w:val="OPCParaBase"/>
    <w:next w:val="Item"/>
    <w:rsid w:val="005422D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422DE"/>
    <w:rPr>
      <w:sz w:val="16"/>
    </w:rPr>
  </w:style>
  <w:style w:type="paragraph" w:styleId="List">
    <w:name w:val="List"/>
    <w:basedOn w:val="Normal"/>
    <w:uiPriority w:val="99"/>
    <w:unhideWhenUsed/>
    <w:rsid w:val="005422DE"/>
    <w:pPr>
      <w:ind w:left="283" w:hanging="283"/>
      <w:contextualSpacing/>
    </w:pPr>
  </w:style>
  <w:style w:type="paragraph" w:styleId="List2">
    <w:name w:val="List 2"/>
    <w:basedOn w:val="Normal"/>
    <w:uiPriority w:val="99"/>
    <w:unhideWhenUsed/>
    <w:rsid w:val="005422DE"/>
    <w:pPr>
      <w:ind w:left="566" w:hanging="283"/>
      <w:contextualSpacing/>
    </w:pPr>
  </w:style>
  <w:style w:type="paragraph" w:styleId="List3">
    <w:name w:val="List 3"/>
    <w:basedOn w:val="Normal"/>
    <w:uiPriority w:val="99"/>
    <w:unhideWhenUsed/>
    <w:rsid w:val="005422DE"/>
    <w:pPr>
      <w:ind w:left="849" w:hanging="283"/>
      <w:contextualSpacing/>
    </w:pPr>
  </w:style>
  <w:style w:type="paragraph" w:styleId="List4">
    <w:name w:val="List 4"/>
    <w:basedOn w:val="Normal"/>
    <w:uiPriority w:val="99"/>
    <w:unhideWhenUsed/>
    <w:rsid w:val="005422DE"/>
    <w:pPr>
      <w:ind w:left="1132" w:hanging="283"/>
      <w:contextualSpacing/>
    </w:pPr>
  </w:style>
  <w:style w:type="paragraph" w:styleId="List5">
    <w:name w:val="List 5"/>
    <w:basedOn w:val="Normal"/>
    <w:uiPriority w:val="99"/>
    <w:unhideWhenUsed/>
    <w:rsid w:val="005422DE"/>
    <w:pPr>
      <w:ind w:left="1415" w:hanging="283"/>
      <w:contextualSpacing/>
    </w:pPr>
  </w:style>
  <w:style w:type="paragraph" w:styleId="ListBullet">
    <w:name w:val="List Bullet"/>
    <w:basedOn w:val="Normal"/>
    <w:uiPriority w:val="99"/>
    <w:unhideWhenUsed/>
    <w:rsid w:val="005422DE"/>
    <w:pPr>
      <w:numPr>
        <w:numId w:val="4"/>
      </w:numPr>
      <w:contextualSpacing/>
    </w:pPr>
  </w:style>
  <w:style w:type="paragraph" w:styleId="ListBullet2">
    <w:name w:val="List Bullet 2"/>
    <w:basedOn w:val="Normal"/>
    <w:uiPriority w:val="99"/>
    <w:unhideWhenUsed/>
    <w:rsid w:val="005422DE"/>
    <w:pPr>
      <w:numPr>
        <w:numId w:val="5"/>
      </w:numPr>
      <w:contextualSpacing/>
    </w:pPr>
  </w:style>
  <w:style w:type="paragraph" w:styleId="ListBullet3">
    <w:name w:val="List Bullet 3"/>
    <w:basedOn w:val="Normal"/>
    <w:uiPriority w:val="99"/>
    <w:unhideWhenUsed/>
    <w:rsid w:val="005422DE"/>
    <w:pPr>
      <w:numPr>
        <w:numId w:val="6"/>
      </w:numPr>
      <w:contextualSpacing/>
    </w:pPr>
  </w:style>
  <w:style w:type="paragraph" w:styleId="ListBullet4">
    <w:name w:val="List Bullet 4"/>
    <w:basedOn w:val="Normal"/>
    <w:uiPriority w:val="99"/>
    <w:unhideWhenUsed/>
    <w:rsid w:val="005422DE"/>
    <w:pPr>
      <w:numPr>
        <w:numId w:val="7"/>
      </w:numPr>
      <w:contextualSpacing/>
    </w:pPr>
  </w:style>
  <w:style w:type="paragraph" w:styleId="ListBullet5">
    <w:name w:val="List Bullet 5"/>
    <w:basedOn w:val="Normal"/>
    <w:uiPriority w:val="99"/>
    <w:unhideWhenUsed/>
    <w:rsid w:val="005422DE"/>
    <w:pPr>
      <w:numPr>
        <w:numId w:val="8"/>
      </w:numPr>
      <w:contextualSpacing/>
    </w:pPr>
  </w:style>
  <w:style w:type="paragraph" w:styleId="ListContinue">
    <w:name w:val="List Continue"/>
    <w:basedOn w:val="Normal"/>
    <w:uiPriority w:val="99"/>
    <w:unhideWhenUsed/>
    <w:rsid w:val="005422DE"/>
    <w:pPr>
      <w:spacing w:after="120"/>
      <w:ind w:left="283"/>
      <w:contextualSpacing/>
    </w:pPr>
  </w:style>
  <w:style w:type="paragraph" w:styleId="ListContinue2">
    <w:name w:val="List Continue 2"/>
    <w:basedOn w:val="Normal"/>
    <w:uiPriority w:val="99"/>
    <w:unhideWhenUsed/>
    <w:rsid w:val="005422DE"/>
    <w:pPr>
      <w:spacing w:after="120"/>
      <w:ind w:left="566"/>
      <w:contextualSpacing/>
    </w:pPr>
  </w:style>
  <w:style w:type="paragraph" w:styleId="ListContinue3">
    <w:name w:val="List Continue 3"/>
    <w:basedOn w:val="Normal"/>
    <w:uiPriority w:val="99"/>
    <w:unhideWhenUsed/>
    <w:rsid w:val="005422DE"/>
    <w:pPr>
      <w:spacing w:after="120"/>
      <w:ind w:left="849"/>
      <w:contextualSpacing/>
    </w:pPr>
  </w:style>
  <w:style w:type="paragraph" w:styleId="ListContinue4">
    <w:name w:val="List Continue 4"/>
    <w:basedOn w:val="Normal"/>
    <w:uiPriority w:val="99"/>
    <w:unhideWhenUsed/>
    <w:rsid w:val="005422DE"/>
    <w:pPr>
      <w:spacing w:after="120"/>
      <w:ind w:left="1132"/>
      <w:contextualSpacing/>
    </w:pPr>
  </w:style>
  <w:style w:type="paragraph" w:styleId="ListContinue5">
    <w:name w:val="List Continue 5"/>
    <w:basedOn w:val="Normal"/>
    <w:uiPriority w:val="99"/>
    <w:unhideWhenUsed/>
    <w:rsid w:val="005422DE"/>
    <w:pPr>
      <w:spacing w:after="120"/>
      <w:ind w:left="1415"/>
      <w:contextualSpacing/>
    </w:pPr>
  </w:style>
  <w:style w:type="paragraph" w:styleId="ListNumber">
    <w:name w:val="List Number"/>
    <w:basedOn w:val="Normal"/>
    <w:uiPriority w:val="99"/>
    <w:unhideWhenUsed/>
    <w:rsid w:val="005422DE"/>
    <w:pPr>
      <w:numPr>
        <w:numId w:val="9"/>
      </w:numPr>
      <w:contextualSpacing/>
    </w:pPr>
  </w:style>
  <w:style w:type="paragraph" w:styleId="ListNumber2">
    <w:name w:val="List Number 2"/>
    <w:basedOn w:val="Normal"/>
    <w:uiPriority w:val="99"/>
    <w:unhideWhenUsed/>
    <w:rsid w:val="005422DE"/>
    <w:pPr>
      <w:numPr>
        <w:numId w:val="10"/>
      </w:numPr>
      <w:contextualSpacing/>
    </w:pPr>
  </w:style>
  <w:style w:type="paragraph" w:styleId="ListNumber3">
    <w:name w:val="List Number 3"/>
    <w:basedOn w:val="Normal"/>
    <w:uiPriority w:val="99"/>
    <w:unhideWhenUsed/>
    <w:rsid w:val="005422DE"/>
    <w:pPr>
      <w:numPr>
        <w:numId w:val="11"/>
      </w:numPr>
      <w:contextualSpacing/>
    </w:pPr>
  </w:style>
  <w:style w:type="paragraph" w:styleId="ListNumber4">
    <w:name w:val="List Number 4"/>
    <w:basedOn w:val="Normal"/>
    <w:uiPriority w:val="99"/>
    <w:unhideWhenUsed/>
    <w:rsid w:val="005422DE"/>
    <w:pPr>
      <w:numPr>
        <w:numId w:val="12"/>
      </w:numPr>
      <w:contextualSpacing/>
    </w:pPr>
  </w:style>
  <w:style w:type="paragraph" w:styleId="ListNumber5">
    <w:name w:val="List Number 5"/>
    <w:basedOn w:val="Normal"/>
    <w:uiPriority w:val="99"/>
    <w:unhideWhenUsed/>
    <w:rsid w:val="005422DE"/>
    <w:pPr>
      <w:numPr>
        <w:numId w:val="13"/>
      </w:numPr>
      <w:contextualSpacing/>
    </w:pPr>
  </w:style>
  <w:style w:type="paragraph" w:customStyle="1" w:styleId="LongT">
    <w:name w:val="LongT"/>
    <w:basedOn w:val="OPCParaBase"/>
    <w:rsid w:val="005422DE"/>
    <w:pPr>
      <w:spacing w:line="240" w:lineRule="auto"/>
    </w:pPr>
    <w:rPr>
      <w:b/>
      <w:sz w:val="32"/>
    </w:rPr>
  </w:style>
  <w:style w:type="paragraph" w:styleId="MacroText">
    <w:name w:val="macro"/>
    <w:link w:val="MacroTextChar"/>
    <w:uiPriority w:val="99"/>
    <w:unhideWhenUsed/>
    <w:rsid w:val="005422D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5422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5422DE"/>
    <w:rPr>
      <w:rFonts w:cs="Times New Roman"/>
      <w:sz w:val="24"/>
      <w:szCs w:val="24"/>
    </w:rPr>
  </w:style>
  <w:style w:type="paragraph" w:styleId="NormalIndent">
    <w:name w:val="Normal Indent"/>
    <w:basedOn w:val="Normal"/>
    <w:uiPriority w:val="99"/>
    <w:unhideWhenUsed/>
    <w:rsid w:val="005422DE"/>
    <w:pPr>
      <w:ind w:left="720"/>
    </w:pPr>
  </w:style>
  <w:style w:type="paragraph" w:styleId="NoteHeading">
    <w:name w:val="Note Heading"/>
    <w:basedOn w:val="Normal"/>
    <w:next w:val="Normal"/>
    <w:link w:val="NoteHeadingChar"/>
    <w:uiPriority w:val="99"/>
    <w:unhideWhenUsed/>
    <w:rsid w:val="005422DE"/>
    <w:pPr>
      <w:spacing w:line="240" w:lineRule="auto"/>
    </w:pPr>
  </w:style>
  <w:style w:type="paragraph" w:customStyle="1" w:styleId="notedraft">
    <w:name w:val="note(draft)"/>
    <w:aliases w:val="nd"/>
    <w:basedOn w:val="OPCParaBase"/>
    <w:rsid w:val="005422DE"/>
    <w:pPr>
      <w:spacing w:before="240" w:line="240" w:lineRule="auto"/>
      <w:ind w:left="284" w:hanging="284"/>
    </w:pPr>
    <w:rPr>
      <w:i/>
      <w:sz w:val="24"/>
    </w:rPr>
  </w:style>
  <w:style w:type="paragraph" w:customStyle="1" w:styleId="notepara">
    <w:name w:val="note(para)"/>
    <w:aliases w:val="na"/>
    <w:basedOn w:val="OPCParaBase"/>
    <w:rsid w:val="005422DE"/>
    <w:pPr>
      <w:spacing w:before="40" w:line="198" w:lineRule="exact"/>
      <w:ind w:left="2354" w:hanging="369"/>
    </w:pPr>
    <w:rPr>
      <w:sz w:val="18"/>
    </w:rPr>
  </w:style>
  <w:style w:type="paragraph" w:customStyle="1" w:styleId="noteParlAmend">
    <w:name w:val="note(ParlAmend)"/>
    <w:aliases w:val="npp"/>
    <w:basedOn w:val="OPCParaBase"/>
    <w:next w:val="ParlAmend"/>
    <w:rsid w:val="005422DE"/>
    <w:pPr>
      <w:spacing w:line="240" w:lineRule="auto"/>
      <w:jc w:val="right"/>
    </w:pPr>
    <w:rPr>
      <w:rFonts w:ascii="Arial" w:hAnsi="Arial"/>
      <w:b/>
      <w:i/>
    </w:rPr>
  </w:style>
  <w:style w:type="character" w:styleId="PageNumber">
    <w:name w:val="page number"/>
    <w:basedOn w:val="DefaultParagraphFont"/>
    <w:uiPriority w:val="99"/>
    <w:unhideWhenUsed/>
    <w:rsid w:val="005422DE"/>
  </w:style>
  <w:style w:type="paragraph" w:customStyle="1" w:styleId="Page1">
    <w:name w:val="Page1"/>
    <w:basedOn w:val="OPCParaBase"/>
    <w:rsid w:val="005422DE"/>
    <w:pPr>
      <w:spacing w:before="5600" w:line="240" w:lineRule="auto"/>
    </w:pPr>
    <w:rPr>
      <w:b/>
      <w:sz w:val="32"/>
    </w:rPr>
  </w:style>
  <w:style w:type="paragraph" w:customStyle="1" w:styleId="PageBreak">
    <w:name w:val="PageBreak"/>
    <w:aliases w:val="pb"/>
    <w:basedOn w:val="OPCParaBase"/>
    <w:rsid w:val="005422DE"/>
    <w:pPr>
      <w:spacing w:line="240" w:lineRule="auto"/>
    </w:pPr>
    <w:rPr>
      <w:sz w:val="20"/>
    </w:rPr>
  </w:style>
  <w:style w:type="paragraph" w:customStyle="1" w:styleId="paragraph">
    <w:name w:val="paragraph"/>
    <w:aliases w:val="a"/>
    <w:basedOn w:val="OPCParaBase"/>
    <w:rsid w:val="005422DE"/>
    <w:pPr>
      <w:tabs>
        <w:tab w:val="right" w:pos="1531"/>
      </w:tabs>
      <w:spacing w:before="40" w:line="240" w:lineRule="auto"/>
      <w:ind w:left="1644" w:hanging="1644"/>
    </w:pPr>
  </w:style>
  <w:style w:type="paragraph" w:customStyle="1" w:styleId="paragraphsub">
    <w:name w:val="paragraph(sub)"/>
    <w:aliases w:val="aa"/>
    <w:basedOn w:val="OPCParaBase"/>
    <w:rsid w:val="005422DE"/>
    <w:pPr>
      <w:tabs>
        <w:tab w:val="right" w:pos="1985"/>
      </w:tabs>
      <w:spacing w:before="40" w:line="240" w:lineRule="auto"/>
      <w:ind w:left="2098" w:hanging="2098"/>
    </w:pPr>
  </w:style>
  <w:style w:type="paragraph" w:customStyle="1" w:styleId="paragraphsub-sub">
    <w:name w:val="paragraph(sub-sub)"/>
    <w:aliases w:val="aaa"/>
    <w:basedOn w:val="OPCParaBase"/>
    <w:rsid w:val="005422DE"/>
    <w:pPr>
      <w:tabs>
        <w:tab w:val="right" w:pos="2722"/>
      </w:tabs>
      <w:spacing w:before="40" w:line="240" w:lineRule="auto"/>
      <w:ind w:left="2835" w:hanging="2835"/>
    </w:pPr>
  </w:style>
  <w:style w:type="paragraph" w:customStyle="1" w:styleId="ParlAmend">
    <w:name w:val="ParlAmend"/>
    <w:aliases w:val="pp"/>
    <w:basedOn w:val="OPCParaBase"/>
    <w:rsid w:val="005422DE"/>
    <w:pPr>
      <w:spacing w:before="240" w:line="240" w:lineRule="atLeast"/>
      <w:ind w:hanging="567"/>
    </w:pPr>
    <w:rPr>
      <w:sz w:val="24"/>
    </w:rPr>
  </w:style>
  <w:style w:type="paragraph" w:customStyle="1" w:styleId="Penalty">
    <w:name w:val="Penalty"/>
    <w:basedOn w:val="OPCParaBase"/>
    <w:rsid w:val="005422DE"/>
    <w:pPr>
      <w:tabs>
        <w:tab w:val="left" w:pos="2977"/>
      </w:tabs>
      <w:spacing w:before="180" w:line="240" w:lineRule="auto"/>
      <w:ind w:left="1985" w:hanging="851"/>
    </w:pPr>
  </w:style>
  <w:style w:type="paragraph" w:styleId="PlainText">
    <w:name w:val="Plain Text"/>
    <w:basedOn w:val="Normal"/>
    <w:link w:val="PlainTextChar"/>
    <w:uiPriority w:val="99"/>
    <w:unhideWhenUsed/>
    <w:rsid w:val="005422DE"/>
    <w:pPr>
      <w:spacing w:line="240" w:lineRule="auto"/>
    </w:pPr>
    <w:rPr>
      <w:rFonts w:ascii="Consolas" w:hAnsi="Consolas"/>
      <w:sz w:val="21"/>
      <w:szCs w:val="21"/>
    </w:rPr>
  </w:style>
  <w:style w:type="paragraph" w:customStyle="1" w:styleId="Portfolio">
    <w:name w:val="Portfolio"/>
    <w:basedOn w:val="OPCParaBase"/>
    <w:rsid w:val="005422DE"/>
    <w:pPr>
      <w:spacing w:line="240" w:lineRule="auto"/>
    </w:pPr>
    <w:rPr>
      <w:i/>
      <w:sz w:val="20"/>
    </w:rPr>
  </w:style>
  <w:style w:type="paragraph" w:customStyle="1" w:styleId="Preamble">
    <w:name w:val="Preamble"/>
    <w:basedOn w:val="OPCParaBase"/>
    <w:next w:val="Normal"/>
    <w:rsid w:val="005422D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422DE"/>
    <w:pPr>
      <w:spacing w:line="240" w:lineRule="auto"/>
    </w:pPr>
    <w:rPr>
      <w:i/>
      <w:sz w:val="20"/>
    </w:rPr>
  </w:style>
  <w:style w:type="paragraph" w:styleId="Salutation">
    <w:name w:val="Salutation"/>
    <w:basedOn w:val="Normal"/>
    <w:next w:val="Normal"/>
    <w:link w:val="SalutationChar"/>
    <w:uiPriority w:val="99"/>
    <w:unhideWhenUsed/>
    <w:rsid w:val="005422DE"/>
  </w:style>
  <w:style w:type="paragraph" w:customStyle="1" w:styleId="Session">
    <w:name w:val="Session"/>
    <w:basedOn w:val="OPCParaBase"/>
    <w:rsid w:val="005422DE"/>
    <w:pPr>
      <w:spacing w:line="240" w:lineRule="auto"/>
    </w:pPr>
    <w:rPr>
      <w:sz w:val="28"/>
    </w:rPr>
  </w:style>
  <w:style w:type="paragraph" w:customStyle="1" w:styleId="ShortT">
    <w:name w:val="ShortT"/>
    <w:basedOn w:val="OPCParaBase"/>
    <w:next w:val="Normal"/>
    <w:qFormat/>
    <w:rsid w:val="005422DE"/>
    <w:pPr>
      <w:spacing w:line="240" w:lineRule="auto"/>
    </w:pPr>
    <w:rPr>
      <w:b/>
      <w:sz w:val="40"/>
    </w:rPr>
  </w:style>
  <w:style w:type="paragraph" w:styleId="Signature">
    <w:name w:val="Signature"/>
    <w:basedOn w:val="Normal"/>
    <w:link w:val="SignatureChar"/>
    <w:uiPriority w:val="99"/>
    <w:unhideWhenUsed/>
    <w:rsid w:val="005422DE"/>
    <w:pPr>
      <w:spacing w:line="240" w:lineRule="auto"/>
      <w:ind w:left="4252"/>
    </w:pPr>
  </w:style>
  <w:style w:type="paragraph" w:customStyle="1" w:styleId="Sponsor">
    <w:name w:val="Sponsor"/>
    <w:basedOn w:val="OPCParaBase"/>
    <w:rsid w:val="005422DE"/>
    <w:pPr>
      <w:spacing w:line="240" w:lineRule="auto"/>
    </w:pPr>
    <w:rPr>
      <w:i/>
    </w:rPr>
  </w:style>
  <w:style w:type="character" w:styleId="Strong">
    <w:name w:val="Strong"/>
    <w:basedOn w:val="DefaultParagraphFont"/>
    <w:uiPriority w:val="22"/>
    <w:qFormat/>
    <w:rsid w:val="005422DE"/>
    <w:rPr>
      <w:b/>
      <w:bCs/>
    </w:rPr>
  </w:style>
  <w:style w:type="paragraph" w:customStyle="1" w:styleId="Subitem">
    <w:name w:val="Subitem"/>
    <w:aliases w:val="iss"/>
    <w:basedOn w:val="OPCParaBase"/>
    <w:rsid w:val="005422DE"/>
    <w:pPr>
      <w:spacing w:before="180" w:line="240" w:lineRule="auto"/>
      <w:ind w:left="709" w:hanging="709"/>
    </w:pPr>
  </w:style>
  <w:style w:type="paragraph" w:customStyle="1" w:styleId="SubitemHead">
    <w:name w:val="SubitemHead"/>
    <w:aliases w:val="issh"/>
    <w:basedOn w:val="OPCParaBase"/>
    <w:rsid w:val="005422D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422DE"/>
    <w:pPr>
      <w:spacing w:before="40" w:line="240" w:lineRule="auto"/>
      <w:ind w:left="1134"/>
    </w:pPr>
  </w:style>
  <w:style w:type="paragraph" w:customStyle="1" w:styleId="SubsectionHead">
    <w:name w:val="SubsectionHead"/>
    <w:aliases w:val="ssh"/>
    <w:basedOn w:val="OPCParaBase"/>
    <w:next w:val="subsection"/>
    <w:rsid w:val="005422DE"/>
    <w:pPr>
      <w:keepNext/>
      <w:keepLines/>
      <w:spacing w:before="240" w:line="240" w:lineRule="auto"/>
      <w:ind w:left="1134"/>
    </w:pPr>
    <w:rPr>
      <w:i/>
    </w:rPr>
  </w:style>
  <w:style w:type="paragraph" w:styleId="Subtitle">
    <w:name w:val="Subtitle"/>
    <w:basedOn w:val="Normal"/>
    <w:next w:val="Normal"/>
    <w:link w:val="SubtitleChar"/>
    <w:uiPriority w:val="11"/>
    <w:qFormat/>
    <w:rsid w:val="005422DE"/>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5422DE"/>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5422DE"/>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5422DE"/>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5422DE"/>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5422DE"/>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5422DE"/>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5422DE"/>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5422DE"/>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5422DE"/>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5422DE"/>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5422DE"/>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5422DE"/>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5422DE"/>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5422DE"/>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5422DE"/>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5422DE"/>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5422DE"/>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422D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5422DE"/>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5422DE"/>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5422DE"/>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5422DE"/>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5422D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5422D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5422DE"/>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5422DE"/>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5422DE"/>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5422DE"/>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5422DE"/>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5422D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5422DE"/>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5422DE"/>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5422DE"/>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5422DE"/>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5422DE"/>
    <w:pPr>
      <w:ind w:left="220" w:hanging="220"/>
    </w:pPr>
  </w:style>
  <w:style w:type="paragraph" w:styleId="TableofFigures">
    <w:name w:val="table of figures"/>
    <w:basedOn w:val="Normal"/>
    <w:next w:val="Normal"/>
    <w:uiPriority w:val="99"/>
    <w:unhideWhenUsed/>
    <w:rsid w:val="005422DE"/>
  </w:style>
  <w:style w:type="table" w:styleId="TableProfessional">
    <w:name w:val="Table Professional"/>
    <w:basedOn w:val="TableNormal"/>
    <w:uiPriority w:val="99"/>
    <w:unhideWhenUsed/>
    <w:rsid w:val="005422DE"/>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5422DE"/>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5422DE"/>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5422D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5422DE"/>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5422DE"/>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5422DE"/>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5422DE"/>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5422DE"/>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5422DE"/>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422DE"/>
    <w:pPr>
      <w:spacing w:before="60" w:line="240" w:lineRule="auto"/>
      <w:ind w:left="284" w:hanging="284"/>
    </w:pPr>
    <w:rPr>
      <w:sz w:val="20"/>
    </w:rPr>
  </w:style>
  <w:style w:type="paragraph" w:customStyle="1" w:styleId="Tablei">
    <w:name w:val="Table(i)"/>
    <w:aliases w:val="taa"/>
    <w:basedOn w:val="OPCParaBase"/>
    <w:rsid w:val="005422D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422DE"/>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422DE"/>
    <w:pPr>
      <w:spacing w:before="60" w:line="240" w:lineRule="atLeast"/>
    </w:pPr>
    <w:rPr>
      <w:sz w:val="20"/>
    </w:rPr>
  </w:style>
  <w:style w:type="paragraph" w:styleId="Title">
    <w:name w:val="Title"/>
    <w:basedOn w:val="Normal"/>
    <w:next w:val="Normal"/>
    <w:link w:val="TitleChar"/>
    <w:uiPriority w:val="10"/>
    <w:qFormat/>
    <w:rsid w:val="005422DE"/>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5422D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422DE"/>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422DE"/>
    <w:pPr>
      <w:spacing w:before="122" w:line="198" w:lineRule="exact"/>
      <w:ind w:left="1985" w:hanging="851"/>
      <w:jc w:val="right"/>
    </w:pPr>
    <w:rPr>
      <w:sz w:val="18"/>
    </w:rPr>
  </w:style>
  <w:style w:type="paragraph" w:customStyle="1" w:styleId="TLPTableBullet">
    <w:name w:val="TLPTableBullet"/>
    <w:aliases w:val="ttb"/>
    <w:basedOn w:val="OPCParaBase"/>
    <w:rsid w:val="005422DE"/>
    <w:pPr>
      <w:spacing w:line="240" w:lineRule="exact"/>
      <w:ind w:left="284" w:hanging="284"/>
    </w:pPr>
    <w:rPr>
      <w:sz w:val="20"/>
    </w:rPr>
  </w:style>
  <w:style w:type="paragraph" w:styleId="TOAHeading">
    <w:name w:val="toa heading"/>
    <w:basedOn w:val="Normal"/>
    <w:next w:val="Normal"/>
    <w:uiPriority w:val="99"/>
    <w:unhideWhenUsed/>
    <w:rsid w:val="005422DE"/>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5422D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422D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422D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422D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422D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422D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422D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422D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422D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422DE"/>
    <w:pPr>
      <w:keepLines/>
      <w:spacing w:before="240" w:after="120" w:line="240" w:lineRule="auto"/>
      <w:ind w:left="794"/>
    </w:pPr>
    <w:rPr>
      <w:b/>
      <w:kern w:val="28"/>
      <w:sz w:val="20"/>
    </w:rPr>
  </w:style>
  <w:style w:type="paragraph" w:customStyle="1" w:styleId="TofSectsHeading">
    <w:name w:val="TofSects(Heading)"/>
    <w:basedOn w:val="OPCParaBase"/>
    <w:rsid w:val="005422DE"/>
    <w:pPr>
      <w:spacing w:before="240" w:after="120" w:line="240" w:lineRule="auto"/>
    </w:pPr>
    <w:rPr>
      <w:b/>
      <w:sz w:val="24"/>
    </w:rPr>
  </w:style>
  <w:style w:type="paragraph" w:customStyle="1" w:styleId="TofSectsSection">
    <w:name w:val="TofSects(Section)"/>
    <w:basedOn w:val="OPCParaBase"/>
    <w:rsid w:val="005422DE"/>
    <w:pPr>
      <w:keepLines/>
      <w:spacing w:before="40" w:line="240" w:lineRule="auto"/>
      <w:ind w:left="1588" w:hanging="794"/>
    </w:pPr>
    <w:rPr>
      <w:kern w:val="28"/>
      <w:sz w:val="18"/>
    </w:rPr>
  </w:style>
  <w:style w:type="paragraph" w:customStyle="1" w:styleId="TofSectsSubdiv">
    <w:name w:val="TofSects(Subdiv)"/>
    <w:basedOn w:val="OPCParaBase"/>
    <w:rsid w:val="005422DE"/>
    <w:pPr>
      <w:keepLines/>
      <w:spacing w:before="80" w:line="240" w:lineRule="auto"/>
      <w:ind w:left="1588" w:hanging="794"/>
    </w:pPr>
    <w:rPr>
      <w:kern w:val="28"/>
    </w:rPr>
  </w:style>
  <w:style w:type="character" w:customStyle="1" w:styleId="OPCCharBase">
    <w:name w:val="OPCCharBase"/>
    <w:uiPriority w:val="1"/>
    <w:qFormat/>
    <w:rsid w:val="005422DE"/>
  </w:style>
  <w:style w:type="paragraph" w:customStyle="1" w:styleId="OPCParaBase">
    <w:name w:val="OPCParaBase"/>
    <w:qFormat/>
    <w:rsid w:val="005422DE"/>
    <w:pPr>
      <w:spacing w:line="260" w:lineRule="atLeast"/>
    </w:pPr>
    <w:rPr>
      <w:sz w:val="22"/>
    </w:rPr>
  </w:style>
  <w:style w:type="character" w:customStyle="1" w:styleId="HeaderChar">
    <w:name w:val="Header Char"/>
    <w:basedOn w:val="DefaultParagraphFont"/>
    <w:link w:val="Header"/>
    <w:rsid w:val="005422DE"/>
    <w:rPr>
      <w:sz w:val="16"/>
    </w:rPr>
  </w:style>
  <w:style w:type="paragraph" w:customStyle="1" w:styleId="noteToPara">
    <w:name w:val="noteToPara"/>
    <w:aliases w:val="ntp"/>
    <w:basedOn w:val="OPCParaBase"/>
    <w:rsid w:val="005422DE"/>
    <w:pPr>
      <w:spacing w:before="122" w:line="198" w:lineRule="exact"/>
      <w:ind w:left="2353" w:hanging="709"/>
    </w:pPr>
    <w:rPr>
      <w:sz w:val="18"/>
    </w:rPr>
  </w:style>
  <w:style w:type="paragraph" w:customStyle="1" w:styleId="WRStyle">
    <w:name w:val="WR Style"/>
    <w:aliases w:val="WR"/>
    <w:basedOn w:val="OPCParaBase"/>
    <w:rsid w:val="005422DE"/>
    <w:pPr>
      <w:spacing w:before="240" w:line="240" w:lineRule="auto"/>
      <w:ind w:left="284" w:hanging="284"/>
    </w:pPr>
    <w:rPr>
      <w:b/>
      <w:i/>
      <w:kern w:val="28"/>
      <w:sz w:val="24"/>
    </w:rPr>
  </w:style>
  <w:style w:type="character" w:customStyle="1" w:styleId="FooterChar">
    <w:name w:val="Footer Char"/>
    <w:basedOn w:val="DefaultParagraphFont"/>
    <w:link w:val="Footer"/>
    <w:rsid w:val="005422DE"/>
    <w:rPr>
      <w:sz w:val="22"/>
      <w:szCs w:val="24"/>
    </w:rPr>
  </w:style>
  <w:style w:type="table" w:customStyle="1" w:styleId="CFlag">
    <w:name w:val="CFlag"/>
    <w:basedOn w:val="TableNormal"/>
    <w:uiPriority w:val="99"/>
    <w:rsid w:val="005422DE"/>
    <w:tblPr/>
  </w:style>
  <w:style w:type="paragraph" w:customStyle="1" w:styleId="SignCoverPageEnd">
    <w:name w:val="SignCoverPageEnd"/>
    <w:basedOn w:val="OPCParaBase"/>
    <w:next w:val="Normal"/>
    <w:rsid w:val="005422D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422DE"/>
    <w:pPr>
      <w:pBdr>
        <w:top w:val="single" w:sz="4" w:space="1" w:color="auto"/>
      </w:pBdr>
      <w:spacing w:before="360"/>
      <w:ind w:right="397"/>
      <w:jc w:val="both"/>
    </w:pPr>
  </w:style>
  <w:style w:type="paragraph" w:customStyle="1" w:styleId="ENotesHeading1">
    <w:name w:val="ENotesHeading 1"/>
    <w:aliases w:val="Enh1,ENh1"/>
    <w:basedOn w:val="OPCParaBase"/>
    <w:next w:val="Normal"/>
    <w:rsid w:val="005422DE"/>
    <w:pPr>
      <w:spacing w:before="120"/>
      <w:outlineLvl w:val="1"/>
    </w:pPr>
    <w:rPr>
      <w:b/>
      <w:sz w:val="28"/>
      <w:szCs w:val="28"/>
    </w:rPr>
  </w:style>
  <w:style w:type="paragraph" w:customStyle="1" w:styleId="ENotesHeading2">
    <w:name w:val="ENotesHeading 2"/>
    <w:aliases w:val="Enh2,ENh2"/>
    <w:basedOn w:val="OPCParaBase"/>
    <w:next w:val="Normal"/>
    <w:rsid w:val="005422DE"/>
    <w:pPr>
      <w:spacing w:before="120" w:after="120"/>
      <w:outlineLvl w:val="2"/>
    </w:pPr>
    <w:rPr>
      <w:b/>
      <w:sz w:val="24"/>
      <w:szCs w:val="28"/>
    </w:rPr>
  </w:style>
  <w:style w:type="paragraph" w:customStyle="1" w:styleId="CompiledActNo">
    <w:name w:val="CompiledActNo"/>
    <w:basedOn w:val="OPCParaBase"/>
    <w:next w:val="Normal"/>
    <w:rsid w:val="005422DE"/>
    <w:rPr>
      <w:b/>
      <w:sz w:val="24"/>
      <w:szCs w:val="24"/>
    </w:rPr>
  </w:style>
  <w:style w:type="paragraph" w:customStyle="1" w:styleId="ENotesText">
    <w:name w:val="ENotesText"/>
    <w:aliases w:val="Ent"/>
    <w:basedOn w:val="OPCParaBase"/>
    <w:next w:val="Normal"/>
    <w:rsid w:val="005422DE"/>
    <w:pPr>
      <w:spacing w:before="120"/>
    </w:pPr>
  </w:style>
  <w:style w:type="paragraph" w:customStyle="1" w:styleId="CompiledMadeUnder">
    <w:name w:val="CompiledMadeUnder"/>
    <w:basedOn w:val="OPCParaBase"/>
    <w:next w:val="Normal"/>
    <w:rsid w:val="005422DE"/>
    <w:rPr>
      <w:i/>
      <w:sz w:val="24"/>
      <w:szCs w:val="24"/>
    </w:rPr>
  </w:style>
  <w:style w:type="paragraph" w:customStyle="1" w:styleId="Paragraphsub-sub-sub">
    <w:name w:val="Paragraph(sub-sub-sub)"/>
    <w:aliases w:val="aaaa"/>
    <w:basedOn w:val="OPCParaBase"/>
    <w:rsid w:val="005422D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22D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22D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22D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22D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422DE"/>
    <w:pPr>
      <w:spacing w:before="60" w:line="240" w:lineRule="auto"/>
    </w:pPr>
    <w:rPr>
      <w:rFonts w:cs="Arial"/>
      <w:sz w:val="20"/>
      <w:szCs w:val="22"/>
    </w:rPr>
  </w:style>
  <w:style w:type="paragraph" w:customStyle="1" w:styleId="ActHead10">
    <w:name w:val="ActHead 10"/>
    <w:aliases w:val="sp"/>
    <w:basedOn w:val="OPCParaBase"/>
    <w:next w:val="ActHead3"/>
    <w:rsid w:val="005422D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422DE"/>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5422DE"/>
    <w:pPr>
      <w:keepNext/>
      <w:spacing w:before="60" w:line="240" w:lineRule="atLeast"/>
    </w:pPr>
    <w:rPr>
      <w:b/>
      <w:sz w:val="20"/>
    </w:rPr>
  </w:style>
  <w:style w:type="paragraph" w:customStyle="1" w:styleId="NoteToSubpara">
    <w:name w:val="NoteToSubpara"/>
    <w:aliases w:val="nts"/>
    <w:basedOn w:val="OPCParaBase"/>
    <w:rsid w:val="005422DE"/>
    <w:pPr>
      <w:spacing w:before="40" w:line="198" w:lineRule="exact"/>
      <w:ind w:left="2835" w:hanging="709"/>
    </w:pPr>
    <w:rPr>
      <w:sz w:val="18"/>
    </w:rPr>
  </w:style>
  <w:style w:type="paragraph" w:customStyle="1" w:styleId="ENoteTableHeading">
    <w:name w:val="ENoteTableHeading"/>
    <w:aliases w:val="enth"/>
    <w:basedOn w:val="OPCParaBase"/>
    <w:rsid w:val="005422DE"/>
    <w:pPr>
      <w:keepNext/>
      <w:spacing w:before="60" w:line="240" w:lineRule="atLeast"/>
    </w:pPr>
    <w:rPr>
      <w:rFonts w:ascii="Arial" w:hAnsi="Arial"/>
      <w:b/>
      <w:sz w:val="16"/>
    </w:rPr>
  </w:style>
  <w:style w:type="paragraph" w:customStyle="1" w:styleId="ENoteTTi">
    <w:name w:val="ENoteTTi"/>
    <w:aliases w:val="entti"/>
    <w:basedOn w:val="OPCParaBase"/>
    <w:rsid w:val="005422DE"/>
    <w:pPr>
      <w:keepNext/>
      <w:spacing w:before="60" w:line="240" w:lineRule="atLeast"/>
      <w:ind w:left="170"/>
    </w:pPr>
    <w:rPr>
      <w:sz w:val="16"/>
    </w:rPr>
  </w:style>
  <w:style w:type="paragraph" w:customStyle="1" w:styleId="ENoteTTIndentHeading">
    <w:name w:val="ENoteTTIndentHeading"/>
    <w:aliases w:val="enTTHi"/>
    <w:basedOn w:val="OPCParaBase"/>
    <w:rsid w:val="005422D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422DE"/>
    <w:pPr>
      <w:spacing w:before="60" w:line="240" w:lineRule="atLeast"/>
    </w:pPr>
    <w:rPr>
      <w:sz w:val="16"/>
    </w:rPr>
  </w:style>
  <w:style w:type="paragraph" w:customStyle="1" w:styleId="MadeunderText">
    <w:name w:val="MadeunderText"/>
    <w:basedOn w:val="OPCParaBase"/>
    <w:next w:val="Normal"/>
    <w:rsid w:val="005422DE"/>
    <w:pPr>
      <w:spacing w:before="240"/>
    </w:pPr>
    <w:rPr>
      <w:sz w:val="24"/>
      <w:szCs w:val="24"/>
    </w:rPr>
  </w:style>
  <w:style w:type="paragraph" w:customStyle="1" w:styleId="ENotesHeading3">
    <w:name w:val="ENotesHeading 3"/>
    <w:aliases w:val="Enh3"/>
    <w:basedOn w:val="OPCParaBase"/>
    <w:next w:val="Normal"/>
    <w:rsid w:val="005422DE"/>
    <w:pPr>
      <w:keepNext/>
      <w:spacing w:before="120" w:line="240" w:lineRule="auto"/>
      <w:outlineLvl w:val="4"/>
    </w:pPr>
    <w:rPr>
      <w:b/>
      <w:szCs w:val="24"/>
    </w:rPr>
  </w:style>
  <w:style w:type="paragraph" w:customStyle="1" w:styleId="SubPartCASA">
    <w:name w:val="SubPart(CASA)"/>
    <w:aliases w:val="csp"/>
    <w:basedOn w:val="OPCParaBase"/>
    <w:next w:val="ActHead3"/>
    <w:rsid w:val="005422DE"/>
    <w:pPr>
      <w:keepNext/>
      <w:keepLines/>
      <w:spacing w:before="280"/>
      <w:ind w:left="1134" w:hanging="1134"/>
      <w:outlineLvl w:val="1"/>
    </w:pPr>
    <w:rPr>
      <w:b/>
      <w:kern w:val="28"/>
      <w:sz w:val="32"/>
    </w:rPr>
  </w:style>
  <w:style w:type="paragraph" w:styleId="Revision">
    <w:name w:val="Revision"/>
    <w:hidden/>
    <w:uiPriority w:val="99"/>
    <w:semiHidden/>
    <w:rsid w:val="000773A0"/>
    <w:rPr>
      <w:rFonts w:eastAsiaTheme="minorHAnsi" w:cstheme="minorBidi"/>
      <w:sz w:val="22"/>
      <w:lang w:eastAsia="en-US"/>
    </w:rPr>
  </w:style>
  <w:style w:type="paragraph" w:customStyle="1" w:styleId="FreeForm">
    <w:name w:val="FreeForm"/>
    <w:rsid w:val="005422DE"/>
    <w:rPr>
      <w:rFonts w:ascii="Arial" w:eastAsiaTheme="minorHAnsi" w:hAnsi="Arial" w:cstheme="minorBidi"/>
      <w:sz w:val="22"/>
      <w:lang w:eastAsia="en-US"/>
    </w:rPr>
  </w:style>
  <w:style w:type="paragraph" w:customStyle="1" w:styleId="SOText">
    <w:name w:val="SO Text"/>
    <w:aliases w:val="sot"/>
    <w:link w:val="SOTextChar"/>
    <w:rsid w:val="005422D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422DE"/>
    <w:rPr>
      <w:rFonts w:eastAsiaTheme="minorHAnsi" w:cstheme="minorBidi"/>
      <w:sz w:val="22"/>
      <w:lang w:eastAsia="en-US"/>
    </w:rPr>
  </w:style>
  <w:style w:type="paragraph" w:customStyle="1" w:styleId="SOTextNote">
    <w:name w:val="SO TextNote"/>
    <w:aliases w:val="sont"/>
    <w:basedOn w:val="SOText"/>
    <w:qFormat/>
    <w:rsid w:val="005422DE"/>
    <w:pPr>
      <w:spacing w:before="122" w:line="198" w:lineRule="exact"/>
      <w:ind w:left="1843" w:hanging="709"/>
    </w:pPr>
    <w:rPr>
      <w:sz w:val="18"/>
    </w:rPr>
  </w:style>
  <w:style w:type="paragraph" w:customStyle="1" w:styleId="SOPara">
    <w:name w:val="SO Para"/>
    <w:aliases w:val="soa"/>
    <w:basedOn w:val="SOText"/>
    <w:link w:val="SOParaChar"/>
    <w:qFormat/>
    <w:rsid w:val="005422DE"/>
    <w:pPr>
      <w:tabs>
        <w:tab w:val="right" w:pos="1786"/>
      </w:tabs>
      <w:spacing w:before="40"/>
      <w:ind w:left="2070" w:hanging="936"/>
    </w:pPr>
  </w:style>
  <w:style w:type="character" w:customStyle="1" w:styleId="SOParaChar">
    <w:name w:val="SO Para Char"/>
    <w:aliases w:val="soa Char"/>
    <w:basedOn w:val="DefaultParagraphFont"/>
    <w:link w:val="SOPara"/>
    <w:rsid w:val="005422DE"/>
    <w:rPr>
      <w:rFonts w:eastAsiaTheme="minorHAnsi" w:cstheme="minorBidi"/>
      <w:sz w:val="22"/>
      <w:lang w:eastAsia="en-US"/>
    </w:rPr>
  </w:style>
  <w:style w:type="paragraph" w:customStyle="1" w:styleId="FileName">
    <w:name w:val="FileName"/>
    <w:basedOn w:val="Normal"/>
    <w:rsid w:val="005422DE"/>
  </w:style>
  <w:style w:type="paragraph" w:customStyle="1" w:styleId="SOHeadBold">
    <w:name w:val="SO HeadBold"/>
    <w:aliases w:val="sohb"/>
    <w:basedOn w:val="SOText"/>
    <w:next w:val="SOText"/>
    <w:link w:val="SOHeadBoldChar"/>
    <w:qFormat/>
    <w:rsid w:val="005422DE"/>
    <w:rPr>
      <w:b/>
    </w:rPr>
  </w:style>
  <w:style w:type="character" w:customStyle="1" w:styleId="SOHeadBoldChar">
    <w:name w:val="SO HeadBold Char"/>
    <w:aliases w:val="sohb Char"/>
    <w:basedOn w:val="DefaultParagraphFont"/>
    <w:link w:val="SOHeadBold"/>
    <w:rsid w:val="005422D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422DE"/>
    <w:rPr>
      <w:i/>
    </w:rPr>
  </w:style>
  <w:style w:type="character" w:customStyle="1" w:styleId="SOHeadItalicChar">
    <w:name w:val="SO HeadItalic Char"/>
    <w:aliases w:val="sohi Char"/>
    <w:basedOn w:val="DefaultParagraphFont"/>
    <w:link w:val="SOHeadItalic"/>
    <w:rsid w:val="005422DE"/>
    <w:rPr>
      <w:rFonts w:eastAsiaTheme="minorHAnsi" w:cstheme="minorBidi"/>
      <w:i/>
      <w:sz w:val="22"/>
      <w:lang w:eastAsia="en-US"/>
    </w:rPr>
  </w:style>
  <w:style w:type="paragraph" w:customStyle="1" w:styleId="SOBullet">
    <w:name w:val="SO Bullet"/>
    <w:aliases w:val="sotb"/>
    <w:basedOn w:val="SOText"/>
    <w:link w:val="SOBulletChar"/>
    <w:qFormat/>
    <w:rsid w:val="005422DE"/>
    <w:pPr>
      <w:ind w:left="1559" w:hanging="425"/>
    </w:pPr>
  </w:style>
  <w:style w:type="character" w:customStyle="1" w:styleId="SOBulletChar">
    <w:name w:val="SO Bullet Char"/>
    <w:aliases w:val="sotb Char"/>
    <w:basedOn w:val="DefaultParagraphFont"/>
    <w:link w:val="SOBullet"/>
    <w:rsid w:val="005422DE"/>
    <w:rPr>
      <w:rFonts w:eastAsiaTheme="minorHAnsi" w:cstheme="minorBidi"/>
      <w:sz w:val="22"/>
      <w:lang w:eastAsia="en-US"/>
    </w:rPr>
  </w:style>
  <w:style w:type="paragraph" w:customStyle="1" w:styleId="SOBulletNote">
    <w:name w:val="SO BulletNote"/>
    <w:aliases w:val="sonb"/>
    <w:basedOn w:val="SOTextNote"/>
    <w:link w:val="SOBulletNoteChar"/>
    <w:qFormat/>
    <w:rsid w:val="005422DE"/>
    <w:pPr>
      <w:tabs>
        <w:tab w:val="left" w:pos="1560"/>
      </w:tabs>
      <w:ind w:left="2268" w:hanging="1134"/>
    </w:pPr>
  </w:style>
  <w:style w:type="character" w:customStyle="1" w:styleId="SOBulletNoteChar">
    <w:name w:val="SO BulletNote Char"/>
    <w:aliases w:val="sonb Char"/>
    <w:basedOn w:val="DefaultParagraphFont"/>
    <w:link w:val="SOBulletNote"/>
    <w:rsid w:val="005422DE"/>
    <w:rPr>
      <w:rFonts w:eastAsiaTheme="minorHAnsi" w:cstheme="minorBidi"/>
      <w:sz w:val="18"/>
      <w:lang w:eastAsia="en-US"/>
    </w:rPr>
  </w:style>
  <w:style w:type="paragraph" w:customStyle="1" w:styleId="EnStatement">
    <w:name w:val="EnStatement"/>
    <w:basedOn w:val="Normal"/>
    <w:rsid w:val="005422DE"/>
    <w:pPr>
      <w:numPr>
        <w:numId w:val="17"/>
      </w:numPr>
    </w:pPr>
    <w:rPr>
      <w:rFonts w:eastAsia="Times New Roman" w:cs="Times New Roman"/>
      <w:lang w:eastAsia="en-AU"/>
    </w:rPr>
  </w:style>
  <w:style w:type="paragraph" w:customStyle="1" w:styleId="EnStatementHeading">
    <w:name w:val="EnStatementHeading"/>
    <w:basedOn w:val="Normal"/>
    <w:rsid w:val="005422DE"/>
    <w:rPr>
      <w:rFonts w:eastAsia="Times New Roman" w:cs="Times New Roman"/>
      <w:b/>
      <w:lang w:eastAsia="en-AU"/>
    </w:rPr>
  </w:style>
  <w:style w:type="paragraph" w:customStyle="1" w:styleId="Transitional">
    <w:name w:val="Transitional"/>
    <w:aliases w:val="tr"/>
    <w:basedOn w:val="ItemHead"/>
    <w:next w:val="Item"/>
    <w:rsid w:val="005422DE"/>
  </w:style>
  <w:style w:type="character" w:customStyle="1" w:styleId="Heading1Char">
    <w:name w:val="Heading 1 Char"/>
    <w:basedOn w:val="DefaultParagraphFont"/>
    <w:link w:val="Heading1"/>
    <w:uiPriority w:val="9"/>
    <w:rsid w:val="005422DE"/>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5422DE"/>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5422DE"/>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5422DE"/>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5422DE"/>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5422DE"/>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5422DE"/>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5422DE"/>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5422DE"/>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5422DE"/>
  </w:style>
  <w:style w:type="character" w:customStyle="1" w:styleId="BodyTextChar">
    <w:name w:val="Body Text Char"/>
    <w:basedOn w:val="DefaultParagraphFont"/>
    <w:link w:val="BodyText"/>
    <w:uiPriority w:val="99"/>
    <w:rsid w:val="005422DE"/>
    <w:rPr>
      <w:rFonts w:eastAsiaTheme="minorHAnsi" w:cstheme="minorBidi"/>
      <w:sz w:val="22"/>
      <w:lang w:eastAsia="en-US"/>
    </w:rPr>
  </w:style>
  <w:style w:type="character" w:customStyle="1" w:styleId="BodyText2Char">
    <w:name w:val="Body Text 2 Char"/>
    <w:basedOn w:val="DefaultParagraphFont"/>
    <w:link w:val="BodyText2"/>
    <w:uiPriority w:val="99"/>
    <w:rsid w:val="005422DE"/>
    <w:rPr>
      <w:rFonts w:eastAsiaTheme="minorHAnsi" w:cstheme="minorBidi"/>
      <w:sz w:val="22"/>
      <w:lang w:eastAsia="en-US"/>
    </w:rPr>
  </w:style>
  <w:style w:type="character" w:customStyle="1" w:styleId="BodyText3Char">
    <w:name w:val="Body Text 3 Char"/>
    <w:basedOn w:val="DefaultParagraphFont"/>
    <w:link w:val="BodyText3"/>
    <w:uiPriority w:val="99"/>
    <w:rsid w:val="005422DE"/>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5422DE"/>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5422DE"/>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5422DE"/>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5422DE"/>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5422DE"/>
    <w:rPr>
      <w:rFonts w:eastAsiaTheme="minorHAnsi" w:cstheme="minorBidi"/>
      <w:sz w:val="16"/>
      <w:szCs w:val="16"/>
      <w:lang w:eastAsia="en-US"/>
    </w:rPr>
  </w:style>
  <w:style w:type="character" w:styleId="BookTitle">
    <w:name w:val="Book Title"/>
    <w:basedOn w:val="DefaultParagraphFont"/>
    <w:uiPriority w:val="33"/>
    <w:qFormat/>
    <w:rsid w:val="005422DE"/>
    <w:rPr>
      <w:b/>
      <w:bCs/>
      <w:i/>
      <w:iCs/>
      <w:spacing w:val="5"/>
    </w:rPr>
  </w:style>
  <w:style w:type="character" w:customStyle="1" w:styleId="ClosingChar">
    <w:name w:val="Closing Char"/>
    <w:basedOn w:val="DefaultParagraphFont"/>
    <w:link w:val="Closing"/>
    <w:uiPriority w:val="99"/>
    <w:rsid w:val="005422DE"/>
    <w:rPr>
      <w:rFonts w:eastAsiaTheme="minorHAnsi" w:cstheme="minorBidi"/>
      <w:sz w:val="22"/>
      <w:lang w:eastAsia="en-US"/>
    </w:rPr>
  </w:style>
  <w:style w:type="table" w:styleId="ColorfulGrid">
    <w:name w:val="Colorful Grid"/>
    <w:basedOn w:val="TableNormal"/>
    <w:uiPriority w:val="73"/>
    <w:semiHidden/>
    <w:unhideWhenUsed/>
    <w:rsid w:val="005422D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22D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422D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422D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422D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422D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422D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422DE"/>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22DE"/>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422DE"/>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422DE"/>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422DE"/>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422DE"/>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422DE"/>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422D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22D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22D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22DE"/>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422DE"/>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22DE"/>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22DE"/>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5422DE"/>
    <w:rPr>
      <w:rFonts w:eastAsiaTheme="minorHAnsi" w:cstheme="minorBidi"/>
      <w:lang w:eastAsia="en-US"/>
    </w:rPr>
  </w:style>
  <w:style w:type="character" w:customStyle="1" w:styleId="CommentSubjectChar">
    <w:name w:val="Comment Subject Char"/>
    <w:basedOn w:val="CommentTextChar"/>
    <w:link w:val="CommentSubject"/>
    <w:uiPriority w:val="99"/>
    <w:rsid w:val="005422DE"/>
    <w:rPr>
      <w:rFonts w:eastAsiaTheme="minorHAnsi" w:cstheme="minorBidi"/>
      <w:b/>
      <w:bCs/>
      <w:lang w:eastAsia="en-US"/>
    </w:rPr>
  </w:style>
  <w:style w:type="table" w:styleId="DarkList">
    <w:name w:val="Dark List"/>
    <w:basedOn w:val="TableNormal"/>
    <w:uiPriority w:val="70"/>
    <w:semiHidden/>
    <w:unhideWhenUsed/>
    <w:rsid w:val="005422DE"/>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22DE"/>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422DE"/>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422DE"/>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422DE"/>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422DE"/>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422DE"/>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5422DE"/>
    <w:rPr>
      <w:rFonts w:eastAsiaTheme="minorHAnsi" w:cstheme="minorBidi"/>
      <w:sz w:val="22"/>
      <w:lang w:eastAsia="en-US"/>
    </w:rPr>
  </w:style>
  <w:style w:type="character" w:customStyle="1" w:styleId="DocumentMapChar">
    <w:name w:val="Document Map Char"/>
    <w:basedOn w:val="DefaultParagraphFont"/>
    <w:link w:val="DocumentMap"/>
    <w:uiPriority w:val="99"/>
    <w:rsid w:val="005422DE"/>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5422DE"/>
    <w:rPr>
      <w:rFonts w:eastAsiaTheme="minorHAnsi" w:cstheme="minorBidi"/>
      <w:sz w:val="22"/>
      <w:lang w:eastAsia="en-US"/>
    </w:rPr>
  </w:style>
  <w:style w:type="character" w:customStyle="1" w:styleId="EndnoteTextChar">
    <w:name w:val="Endnote Text Char"/>
    <w:basedOn w:val="DefaultParagraphFont"/>
    <w:link w:val="EndnoteText"/>
    <w:uiPriority w:val="99"/>
    <w:rsid w:val="005422DE"/>
    <w:rPr>
      <w:rFonts w:eastAsiaTheme="minorHAnsi" w:cstheme="minorBidi"/>
      <w:lang w:eastAsia="en-US"/>
    </w:rPr>
  </w:style>
  <w:style w:type="character" w:customStyle="1" w:styleId="FootnoteTextChar">
    <w:name w:val="Footnote Text Char"/>
    <w:basedOn w:val="DefaultParagraphFont"/>
    <w:link w:val="FootnoteText"/>
    <w:uiPriority w:val="99"/>
    <w:rsid w:val="005422DE"/>
    <w:rPr>
      <w:rFonts w:eastAsiaTheme="minorHAnsi" w:cstheme="minorBidi"/>
      <w:lang w:eastAsia="en-US"/>
    </w:rPr>
  </w:style>
  <w:style w:type="table" w:styleId="GridTable1Light">
    <w:name w:val="Grid Table 1 Light"/>
    <w:basedOn w:val="TableNormal"/>
    <w:uiPriority w:val="46"/>
    <w:rsid w:val="005422DE"/>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22DE"/>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22DE"/>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22DE"/>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22DE"/>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22DE"/>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22DE"/>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22DE"/>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22DE"/>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422DE"/>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422DE"/>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422DE"/>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422DE"/>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422DE"/>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422D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22D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422D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422D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422D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422D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422D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422D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22D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422D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422D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422D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422D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422D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422D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22D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422D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422D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422D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422D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422D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422DE"/>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22DE"/>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422DE"/>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422DE"/>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422DE"/>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422DE"/>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422DE"/>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422DE"/>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22DE"/>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422DE"/>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422DE"/>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422DE"/>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422DE"/>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422DE"/>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422DE"/>
    <w:rPr>
      <w:color w:val="2B579A"/>
      <w:shd w:val="clear" w:color="auto" w:fill="E1DFDD"/>
    </w:rPr>
  </w:style>
  <w:style w:type="character" w:customStyle="1" w:styleId="HTMLAddressChar">
    <w:name w:val="HTML Address Char"/>
    <w:basedOn w:val="DefaultParagraphFont"/>
    <w:link w:val="HTMLAddress"/>
    <w:uiPriority w:val="99"/>
    <w:rsid w:val="005422DE"/>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5422DE"/>
    <w:rPr>
      <w:rFonts w:ascii="Consolas" w:eastAsiaTheme="minorHAnsi" w:hAnsi="Consolas" w:cstheme="minorBidi"/>
      <w:lang w:eastAsia="en-US"/>
    </w:rPr>
  </w:style>
  <w:style w:type="character" w:styleId="IntenseEmphasis">
    <w:name w:val="Intense Emphasis"/>
    <w:basedOn w:val="DefaultParagraphFont"/>
    <w:uiPriority w:val="21"/>
    <w:qFormat/>
    <w:rsid w:val="005422DE"/>
    <w:rPr>
      <w:i/>
      <w:iCs/>
      <w:color w:val="4F81BD" w:themeColor="accent1"/>
    </w:rPr>
  </w:style>
  <w:style w:type="paragraph" w:styleId="IntenseQuote">
    <w:name w:val="Intense Quote"/>
    <w:basedOn w:val="Normal"/>
    <w:next w:val="Normal"/>
    <w:link w:val="IntenseQuoteChar"/>
    <w:uiPriority w:val="30"/>
    <w:qFormat/>
    <w:rsid w:val="005422D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422DE"/>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5422DE"/>
    <w:rPr>
      <w:b/>
      <w:bCs/>
      <w:smallCaps/>
      <w:color w:val="4F81BD" w:themeColor="accent1"/>
      <w:spacing w:val="5"/>
    </w:rPr>
  </w:style>
  <w:style w:type="table" w:styleId="LightGrid">
    <w:name w:val="Light Grid"/>
    <w:basedOn w:val="TableNormal"/>
    <w:uiPriority w:val="62"/>
    <w:semiHidden/>
    <w:unhideWhenUsed/>
    <w:rsid w:val="005422DE"/>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22DE"/>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422DE"/>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422DE"/>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422DE"/>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422DE"/>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422DE"/>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422DE"/>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22DE"/>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422DE"/>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422DE"/>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422DE"/>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422DE"/>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422DE"/>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422DE"/>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22DE"/>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422DE"/>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422DE"/>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422DE"/>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422DE"/>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422DE"/>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422DE"/>
    <w:pPr>
      <w:ind w:left="720"/>
      <w:contextualSpacing/>
    </w:pPr>
  </w:style>
  <w:style w:type="table" w:styleId="ListTable1Light">
    <w:name w:val="List Table 1 Light"/>
    <w:basedOn w:val="TableNormal"/>
    <w:uiPriority w:val="46"/>
    <w:rsid w:val="005422DE"/>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22DE"/>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422DE"/>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422DE"/>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422DE"/>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422DE"/>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422DE"/>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422DE"/>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22DE"/>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422DE"/>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422DE"/>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422DE"/>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422DE"/>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422DE"/>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422DE"/>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22DE"/>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422DE"/>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422DE"/>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422DE"/>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422DE"/>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422DE"/>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422D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22D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422D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422D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422D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422D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422D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422DE"/>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22DE"/>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22DE"/>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22DE"/>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22DE"/>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22DE"/>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22DE"/>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22DE"/>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22DE"/>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422DE"/>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422DE"/>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422DE"/>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422DE"/>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422DE"/>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422DE"/>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22DE"/>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22DE"/>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22DE"/>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22DE"/>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22DE"/>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22DE"/>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5422DE"/>
    <w:rPr>
      <w:rFonts w:ascii="Consolas" w:eastAsiaTheme="minorHAnsi" w:hAnsi="Consolas" w:cstheme="minorBidi"/>
      <w:lang w:eastAsia="en-US"/>
    </w:rPr>
  </w:style>
  <w:style w:type="table" w:styleId="MediumGrid1">
    <w:name w:val="Medium Grid 1"/>
    <w:basedOn w:val="TableNormal"/>
    <w:uiPriority w:val="67"/>
    <w:semiHidden/>
    <w:unhideWhenUsed/>
    <w:rsid w:val="005422DE"/>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22DE"/>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422DE"/>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422DE"/>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422DE"/>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422DE"/>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422DE"/>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422D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22DE"/>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22DE"/>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22DE"/>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22DE"/>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22DE"/>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22DE"/>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22D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22D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422D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422D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422D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422D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422D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422DE"/>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22DE"/>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422DE"/>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422DE"/>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422DE"/>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422DE"/>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422DE"/>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422D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22DE"/>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22DE"/>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22DE"/>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22DE"/>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22DE"/>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22DE"/>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22DE"/>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22DE"/>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22DE"/>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22DE"/>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22DE"/>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22DE"/>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22DE"/>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22D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22D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22D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22D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22D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22D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22D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422DE"/>
    <w:rPr>
      <w:color w:val="2B579A"/>
      <w:shd w:val="clear" w:color="auto" w:fill="E1DFDD"/>
    </w:rPr>
  </w:style>
  <w:style w:type="character" w:customStyle="1" w:styleId="MessageHeaderChar">
    <w:name w:val="Message Header Char"/>
    <w:basedOn w:val="DefaultParagraphFont"/>
    <w:link w:val="MessageHeader"/>
    <w:uiPriority w:val="99"/>
    <w:rsid w:val="005422DE"/>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5422DE"/>
    <w:rPr>
      <w:rFonts w:eastAsiaTheme="minorHAnsi" w:cstheme="minorBidi"/>
      <w:sz w:val="22"/>
      <w:lang w:eastAsia="en-US"/>
    </w:rPr>
  </w:style>
  <w:style w:type="character" w:customStyle="1" w:styleId="NoteHeadingChar">
    <w:name w:val="Note Heading Char"/>
    <w:basedOn w:val="DefaultParagraphFont"/>
    <w:link w:val="NoteHeading"/>
    <w:uiPriority w:val="99"/>
    <w:rsid w:val="005422DE"/>
    <w:rPr>
      <w:rFonts w:eastAsiaTheme="minorHAnsi" w:cstheme="minorBidi"/>
      <w:sz w:val="22"/>
      <w:lang w:eastAsia="en-US"/>
    </w:rPr>
  </w:style>
  <w:style w:type="character" w:styleId="PlaceholderText">
    <w:name w:val="Placeholder Text"/>
    <w:basedOn w:val="DefaultParagraphFont"/>
    <w:uiPriority w:val="99"/>
    <w:semiHidden/>
    <w:rsid w:val="005422DE"/>
    <w:rPr>
      <w:color w:val="808080"/>
    </w:rPr>
  </w:style>
  <w:style w:type="table" w:styleId="PlainTable1">
    <w:name w:val="Plain Table 1"/>
    <w:basedOn w:val="TableNormal"/>
    <w:uiPriority w:val="41"/>
    <w:rsid w:val="005422DE"/>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22DE"/>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22DE"/>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22DE"/>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22DE"/>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5422DE"/>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5422D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422DE"/>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5422DE"/>
    <w:rPr>
      <w:rFonts w:eastAsiaTheme="minorHAnsi" w:cstheme="minorBidi"/>
      <w:sz w:val="22"/>
      <w:lang w:eastAsia="en-US"/>
    </w:rPr>
  </w:style>
  <w:style w:type="character" w:customStyle="1" w:styleId="SignatureChar">
    <w:name w:val="Signature Char"/>
    <w:basedOn w:val="DefaultParagraphFont"/>
    <w:link w:val="Signature"/>
    <w:uiPriority w:val="99"/>
    <w:rsid w:val="005422DE"/>
    <w:rPr>
      <w:rFonts w:eastAsiaTheme="minorHAnsi" w:cstheme="minorBidi"/>
      <w:sz w:val="22"/>
      <w:lang w:eastAsia="en-US"/>
    </w:rPr>
  </w:style>
  <w:style w:type="character" w:styleId="SmartHyperlink">
    <w:name w:val="Smart Hyperlink"/>
    <w:basedOn w:val="DefaultParagraphFont"/>
    <w:uiPriority w:val="99"/>
    <w:semiHidden/>
    <w:unhideWhenUsed/>
    <w:rsid w:val="005422DE"/>
    <w:rPr>
      <w:u w:val="dotted"/>
    </w:rPr>
  </w:style>
  <w:style w:type="character" w:customStyle="1" w:styleId="SubtitleChar">
    <w:name w:val="Subtitle Char"/>
    <w:basedOn w:val="DefaultParagraphFont"/>
    <w:link w:val="Subtitle"/>
    <w:uiPriority w:val="11"/>
    <w:rsid w:val="005422DE"/>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5422DE"/>
    <w:rPr>
      <w:i/>
      <w:iCs/>
      <w:color w:val="404040" w:themeColor="text1" w:themeTint="BF"/>
    </w:rPr>
  </w:style>
  <w:style w:type="character" w:styleId="SubtleReference">
    <w:name w:val="Subtle Reference"/>
    <w:basedOn w:val="DefaultParagraphFont"/>
    <w:uiPriority w:val="31"/>
    <w:qFormat/>
    <w:rsid w:val="005422DE"/>
    <w:rPr>
      <w:smallCaps/>
      <w:color w:val="5A5A5A" w:themeColor="text1" w:themeTint="A5"/>
    </w:rPr>
  </w:style>
  <w:style w:type="table" w:styleId="TableGridLight">
    <w:name w:val="Grid Table Light"/>
    <w:basedOn w:val="TableNormal"/>
    <w:uiPriority w:val="40"/>
    <w:rsid w:val="005422DE"/>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5422DE"/>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5422DE"/>
    <w:pPr>
      <w:numPr>
        <w:numId w:val="0"/>
      </w:numPr>
      <w:outlineLvl w:val="9"/>
    </w:pPr>
  </w:style>
  <w:style w:type="character" w:styleId="UnresolvedMention">
    <w:name w:val="Unresolved Mention"/>
    <w:basedOn w:val="DefaultParagraphFont"/>
    <w:uiPriority w:val="99"/>
    <w:semiHidden/>
    <w:unhideWhenUsed/>
    <w:rsid w:val="005422DE"/>
    <w:rPr>
      <w:color w:val="605E5C"/>
      <w:shd w:val="clear" w:color="auto" w:fill="E1DFDD"/>
    </w:rPr>
  </w:style>
  <w:style w:type="paragraph" w:customStyle="1" w:styleId="SOText2">
    <w:name w:val="SO Text2"/>
    <w:aliases w:val="sot2"/>
    <w:basedOn w:val="Normal"/>
    <w:next w:val="SOText"/>
    <w:link w:val="SOText2Char"/>
    <w:rsid w:val="005422D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422DE"/>
    <w:rPr>
      <w:rFonts w:eastAsiaTheme="minorHAnsi" w:cstheme="minorBidi"/>
      <w:sz w:val="22"/>
      <w:lang w:eastAsia="en-US"/>
    </w:rPr>
  </w:style>
  <w:style w:type="paragraph" w:customStyle="1" w:styleId="ETAsubitem">
    <w:name w:val="ETA(subitem)"/>
    <w:basedOn w:val="OPCParaBase"/>
    <w:rsid w:val="005422DE"/>
    <w:pPr>
      <w:tabs>
        <w:tab w:val="right" w:pos="340"/>
      </w:tabs>
      <w:spacing w:before="60" w:line="240" w:lineRule="auto"/>
      <w:ind w:left="454" w:hanging="454"/>
    </w:pPr>
    <w:rPr>
      <w:sz w:val="20"/>
    </w:rPr>
  </w:style>
  <w:style w:type="paragraph" w:customStyle="1" w:styleId="ETApara">
    <w:name w:val="ETA(para)"/>
    <w:basedOn w:val="OPCParaBase"/>
    <w:rsid w:val="005422DE"/>
    <w:pPr>
      <w:tabs>
        <w:tab w:val="right" w:pos="754"/>
      </w:tabs>
      <w:spacing w:before="60" w:line="240" w:lineRule="auto"/>
      <w:ind w:left="828" w:hanging="828"/>
    </w:pPr>
    <w:rPr>
      <w:sz w:val="20"/>
    </w:rPr>
  </w:style>
  <w:style w:type="paragraph" w:customStyle="1" w:styleId="ETAsubpara">
    <w:name w:val="ETA(subpara)"/>
    <w:basedOn w:val="OPCParaBase"/>
    <w:rsid w:val="005422DE"/>
    <w:pPr>
      <w:tabs>
        <w:tab w:val="right" w:pos="1083"/>
      </w:tabs>
      <w:spacing w:before="60" w:line="240" w:lineRule="auto"/>
      <w:ind w:left="1191" w:hanging="1191"/>
    </w:pPr>
    <w:rPr>
      <w:sz w:val="20"/>
    </w:rPr>
  </w:style>
  <w:style w:type="paragraph" w:customStyle="1" w:styleId="ETAsub-subpara">
    <w:name w:val="ETA(sub-subpara)"/>
    <w:basedOn w:val="OPCParaBase"/>
    <w:rsid w:val="005422DE"/>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422DE"/>
    <w:rPr>
      <w:b/>
      <w:sz w:val="28"/>
      <w:szCs w:val="28"/>
    </w:rPr>
  </w:style>
  <w:style w:type="paragraph" w:customStyle="1" w:styleId="NotesHeading2">
    <w:name w:val="NotesHeading 2"/>
    <w:basedOn w:val="OPCParaBase"/>
    <w:next w:val="Normal"/>
    <w:rsid w:val="005422DE"/>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8" Type="http://schemas.openxmlformats.org/officeDocument/2006/relationships/image" Target="media/image1.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6568F-9256-416E-9A81-FDC4FCA7A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44</Pages>
  <Words>8488</Words>
  <Characters>42268</Characters>
  <Application>Microsoft Office Word</Application>
  <DocSecurity>0</DocSecurity>
  <PresentationFormat/>
  <Lines>1160</Lines>
  <Paragraphs>594</Paragraphs>
  <ScaleCrop>false</ScaleCrop>
  <HeadingPairs>
    <vt:vector size="2" baseType="variant">
      <vt:variant>
        <vt:lpstr>Title</vt:lpstr>
      </vt:variant>
      <vt:variant>
        <vt:i4>1</vt:i4>
      </vt:variant>
    </vt:vector>
  </HeadingPairs>
  <TitlesOfParts>
    <vt:vector size="1" baseType="lpstr">
      <vt:lpstr>Horticulture Marketing and Research and Development Services (Repeals and Consequential Provisions) Act 2000</vt:lpstr>
    </vt:vector>
  </TitlesOfParts>
  <Manager/>
  <Company/>
  <LinksUpToDate>false</LinksUpToDate>
  <CharactersWithSpaces>50432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Horticulture Marketing and Research and Development Services (Repeals and Consequential Provisions) Act 2000</dc:title>
  <dc:subject/>
  <dc:creator/>
  <cp:keywords/>
  <dc:description/>
  <cp:lastModifiedBy/>
  <cp:revision>1</cp:revision>
  <cp:lastPrinted>2009-11-09T05:28:00Z</cp:lastPrinted>
  <dcterms:created xsi:type="dcterms:W3CDTF">2025-01-09T23:39:00Z</dcterms:created>
  <dcterms:modified xsi:type="dcterms:W3CDTF">2025-01-09T23:39:00Z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Horticulture Marketing and Research and Development Services (Repeals and Consequential Provisions) Act 2000</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6</vt:lpwstr>
  </property>
  <property fmtid="{D5CDD505-2E9C-101B-9397-08002B2CF9AE}" pid="13" name="StartDate">
    <vt:lpwstr>1 January 2025</vt:lpwstr>
  </property>
  <property fmtid="{D5CDD505-2E9C-101B-9397-08002B2CF9AE}" pid="14" name="IncludesUpTo">
    <vt:lpwstr>Act No. 60, 2024</vt:lpwstr>
  </property>
  <property fmtid="{D5CDD505-2E9C-101B-9397-08002B2CF9AE}" pid="15" name="RegisteredDate">
    <vt:lpwstr/>
  </property>
</Properties>
</file>