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0F4" w:rsidRDefault="00EC6BDD">
      <w:r>
        <w:rPr>
          <w:noProof/>
          <w:sz w:val="20"/>
          <w:szCs w:val="20"/>
        </w:rPr>
        <w:drawing>
          <wp:inline distT="0" distB="0" distL="0" distR="0" wp14:anchorId="05249C84" wp14:editId="68951A50">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0C10F4" w:rsidRDefault="000C10F4">
      <w:pPr>
        <w:spacing w:line="240" w:lineRule="auto"/>
      </w:pPr>
    </w:p>
    <w:p w:rsidR="000C10F4" w:rsidRDefault="000C10F4"/>
    <w:p w:rsidR="000C10F4" w:rsidRDefault="000C10F4"/>
    <w:p w:rsidR="000C10F4" w:rsidRDefault="000C10F4"/>
    <w:p w:rsidR="000C10F4" w:rsidRDefault="000C10F4"/>
    <w:p w:rsidR="000C10F4" w:rsidRDefault="007A36B4">
      <w:pPr>
        <w:pStyle w:val="ShortT"/>
      </w:pPr>
      <w:r>
        <w:t>Superannuation Guarantee Charge Amendment Act 2002</w:t>
      </w:r>
    </w:p>
    <w:p w:rsidR="000C10F4" w:rsidRDefault="000C10F4"/>
    <w:p w:rsidR="000C10F4" w:rsidRDefault="007A36B4">
      <w:pPr>
        <w:pStyle w:val="Actno"/>
        <w:spacing w:before="400"/>
      </w:pPr>
      <w:r>
        <w:t>No. 52, 2002</w:t>
      </w:r>
    </w:p>
    <w:p w:rsidR="000C10F4" w:rsidRDefault="000C10F4"/>
    <w:p w:rsidR="000C10F4" w:rsidRDefault="000C10F4"/>
    <w:p w:rsidR="000C10F4" w:rsidRDefault="000C10F4"/>
    <w:p w:rsidR="000C10F4" w:rsidRDefault="000C10F4"/>
    <w:p w:rsidR="000C10F4" w:rsidRDefault="000C10F4"/>
    <w:p w:rsidR="000C10F4" w:rsidRDefault="007A36B4">
      <w:pPr>
        <w:pStyle w:val="LongT"/>
      </w:pPr>
      <w:r>
        <w:t xml:space="preserve">An Act to amend the </w:t>
      </w:r>
      <w:r>
        <w:rPr>
          <w:i/>
          <w:iCs/>
        </w:rPr>
        <w:t>Superannuation Guarantee Charge Act 1992</w:t>
      </w:r>
      <w:r>
        <w:t>, and for related purposes</w:t>
      </w:r>
    </w:p>
    <w:p w:rsidR="000C10F4" w:rsidRDefault="007A36B4">
      <w:pPr>
        <w:pStyle w:val="Header"/>
      </w:pPr>
      <w:r>
        <w:rPr>
          <w:rStyle w:val="CharAmSchNo"/>
        </w:rPr>
        <w:t xml:space="preserve"> </w:t>
      </w:r>
      <w:r>
        <w:rPr>
          <w:rStyle w:val="CharAmSchText"/>
        </w:rPr>
        <w:t xml:space="preserve"> </w:t>
      </w:r>
    </w:p>
    <w:p w:rsidR="000C10F4" w:rsidRDefault="007A36B4">
      <w:pPr>
        <w:pStyle w:val="Header"/>
      </w:pPr>
      <w:r>
        <w:rPr>
          <w:rStyle w:val="CharAmPartNo"/>
        </w:rPr>
        <w:t xml:space="preserve"> </w:t>
      </w:r>
      <w:r>
        <w:rPr>
          <w:rStyle w:val="CharAmPartText"/>
        </w:rPr>
        <w:t xml:space="preserve"> </w:t>
      </w:r>
    </w:p>
    <w:p w:rsidR="000C10F4" w:rsidRDefault="000C10F4">
      <w:pPr>
        <w:sectPr w:rsidR="000C10F4">
          <w:pgSz w:w="11906" w:h="16838" w:code="9"/>
          <w:pgMar w:top="1418" w:right="2410" w:bottom="4252" w:left="2410" w:header="709" w:footer="3402" w:gutter="0"/>
          <w:cols w:space="709"/>
        </w:sectPr>
      </w:pPr>
    </w:p>
    <w:p w:rsidR="000C10F4" w:rsidRDefault="007A36B4">
      <w:pPr>
        <w:rPr>
          <w:sz w:val="36"/>
          <w:szCs w:val="36"/>
        </w:rPr>
      </w:pPr>
      <w:r>
        <w:rPr>
          <w:sz w:val="36"/>
          <w:szCs w:val="36"/>
        </w:rPr>
        <w:lastRenderedPageBreak/>
        <w:t>Contents</w:t>
      </w:r>
    </w:p>
    <w:p w:rsidR="000C10F4" w:rsidRDefault="007A36B4">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_Toc12991410 \h </w:instrText>
      </w:r>
      <w:r>
        <w:rPr>
          <w:noProof/>
        </w:rPr>
      </w:r>
      <w:r>
        <w:rPr>
          <w:noProof/>
        </w:rPr>
        <w:fldChar w:fldCharType="separate"/>
      </w:r>
      <w:r>
        <w:rPr>
          <w:noProof/>
        </w:rPr>
        <w:t>2</w:t>
      </w:r>
      <w:r>
        <w:rPr>
          <w:noProof/>
        </w:rPr>
        <w:fldChar w:fldCharType="end"/>
      </w:r>
    </w:p>
    <w:p w:rsidR="000C10F4" w:rsidRDefault="007A36B4">
      <w:pPr>
        <w:pStyle w:val="TOC5"/>
        <w:rPr>
          <w:noProof/>
        </w:rPr>
      </w:pPr>
      <w:r>
        <w:rPr>
          <w:noProof/>
        </w:rPr>
        <w:t>2</w:t>
      </w:r>
      <w:r>
        <w:rPr>
          <w:noProof/>
        </w:rPr>
        <w:tab/>
        <w:t>Commencement</w:t>
      </w:r>
      <w:r>
        <w:rPr>
          <w:noProof/>
        </w:rPr>
        <w:tab/>
      </w:r>
      <w:r>
        <w:rPr>
          <w:noProof/>
        </w:rPr>
        <w:fldChar w:fldCharType="begin"/>
      </w:r>
      <w:r>
        <w:rPr>
          <w:noProof/>
        </w:rPr>
        <w:instrText xml:space="preserve"> PAGEREF _Toc12991411 \h </w:instrText>
      </w:r>
      <w:r>
        <w:rPr>
          <w:noProof/>
        </w:rPr>
      </w:r>
      <w:r>
        <w:rPr>
          <w:noProof/>
        </w:rPr>
        <w:fldChar w:fldCharType="separate"/>
      </w:r>
      <w:r>
        <w:rPr>
          <w:noProof/>
        </w:rPr>
        <w:t>2</w:t>
      </w:r>
      <w:r>
        <w:rPr>
          <w:noProof/>
        </w:rPr>
        <w:fldChar w:fldCharType="end"/>
      </w:r>
    </w:p>
    <w:p w:rsidR="000C10F4" w:rsidRDefault="007A36B4">
      <w:pPr>
        <w:pStyle w:val="TOC5"/>
        <w:rPr>
          <w:noProof/>
        </w:rPr>
      </w:pPr>
      <w:r>
        <w:rPr>
          <w:noProof/>
        </w:rPr>
        <w:t>3</w:t>
      </w:r>
      <w:r>
        <w:rPr>
          <w:noProof/>
        </w:rPr>
        <w:tab/>
        <w:t>Schedule(s)</w:t>
      </w:r>
      <w:r>
        <w:rPr>
          <w:noProof/>
        </w:rPr>
        <w:tab/>
      </w:r>
      <w:r>
        <w:rPr>
          <w:noProof/>
        </w:rPr>
        <w:fldChar w:fldCharType="begin"/>
      </w:r>
      <w:r>
        <w:rPr>
          <w:noProof/>
        </w:rPr>
        <w:instrText xml:space="preserve"> PAGEREF _Toc12991412 \h </w:instrText>
      </w:r>
      <w:r>
        <w:rPr>
          <w:noProof/>
        </w:rPr>
      </w:r>
      <w:r>
        <w:rPr>
          <w:noProof/>
        </w:rPr>
        <w:fldChar w:fldCharType="separate"/>
      </w:r>
      <w:r>
        <w:rPr>
          <w:noProof/>
        </w:rPr>
        <w:t>3</w:t>
      </w:r>
      <w:r>
        <w:rPr>
          <w:noProof/>
        </w:rPr>
        <w:fldChar w:fldCharType="end"/>
      </w:r>
    </w:p>
    <w:p w:rsidR="000C10F4" w:rsidRDefault="007A36B4">
      <w:pPr>
        <w:pStyle w:val="TOC6"/>
        <w:rPr>
          <w:noProof/>
        </w:rPr>
      </w:pPr>
      <w:r>
        <w:rPr>
          <w:noProof/>
        </w:rPr>
        <w:t>Schedule 1—Amendment of the Superannuation Guarantee Charge Act 1992</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_Toc12991413 \h </w:instrText>
      </w:r>
      <w:r>
        <w:rPr>
          <w:b w:val="0"/>
          <w:bCs w:val="0"/>
          <w:noProof/>
          <w:sz w:val="18"/>
          <w:szCs w:val="18"/>
        </w:rPr>
      </w:r>
      <w:r>
        <w:rPr>
          <w:b w:val="0"/>
          <w:bCs w:val="0"/>
          <w:noProof/>
          <w:sz w:val="18"/>
          <w:szCs w:val="18"/>
        </w:rPr>
        <w:fldChar w:fldCharType="separate"/>
      </w:r>
      <w:r>
        <w:rPr>
          <w:b w:val="0"/>
          <w:bCs w:val="0"/>
          <w:noProof/>
          <w:sz w:val="18"/>
          <w:szCs w:val="18"/>
        </w:rPr>
        <w:t>4</w:t>
      </w:r>
      <w:r>
        <w:rPr>
          <w:b w:val="0"/>
          <w:bCs w:val="0"/>
          <w:noProof/>
          <w:sz w:val="18"/>
          <w:szCs w:val="18"/>
        </w:rPr>
        <w:fldChar w:fldCharType="end"/>
      </w:r>
    </w:p>
    <w:p w:rsidR="000C10F4" w:rsidRDefault="007A36B4">
      <w:r>
        <w:fldChar w:fldCharType="end"/>
      </w:r>
    </w:p>
    <w:p w:rsidR="000C10F4" w:rsidRDefault="000C10F4">
      <w:pPr>
        <w:sectPr w:rsidR="000C10F4">
          <w:headerReference w:type="even" r:id="rId8"/>
          <w:headerReference w:type="default" r:id="rId9"/>
          <w:footerReference w:type="even" r:id="rId10"/>
          <w:footerReference w:type="default" r:id="rId11"/>
          <w:pgSz w:w="11906" w:h="16838" w:code="9"/>
          <w:pgMar w:top="2381" w:right="2410" w:bottom="4252" w:left="2410" w:header="709" w:footer="3402" w:gutter="0"/>
          <w:pgNumType w:fmt="lowerRoman" w:start="1"/>
          <w:cols w:space="709"/>
        </w:sectPr>
      </w:pPr>
      <w:bookmarkStart w:id="0" w:name="_GoBack"/>
      <w:bookmarkEnd w:id="0"/>
    </w:p>
    <w:p w:rsidR="000C10F4" w:rsidRDefault="00EC6BDD">
      <w:r>
        <w:rPr>
          <w:noProof/>
          <w:sz w:val="20"/>
          <w:szCs w:val="20"/>
        </w:rPr>
        <w:lastRenderedPageBreak/>
        <w:drawing>
          <wp:inline distT="0" distB="0" distL="0" distR="0" wp14:anchorId="05249C84" wp14:editId="68951A50">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0C10F4" w:rsidRDefault="000C10F4">
      <w:pPr>
        <w:spacing w:line="240" w:lineRule="auto"/>
      </w:pPr>
    </w:p>
    <w:p w:rsidR="000C10F4" w:rsidRDefault="007A36B4">
      <w:pPr>
        <w:pStyle w:val="ShortTP1"/>
      </w:pPr>
      <w:r>
        <w:fldChar w:fldCharType="begin"/>
      </w:r>
      <w:r>
        <w:instrText xml:space="preserve"> STYLEREF ShortT </w:instrText>
      </w:r>
      <w:r>
        <w:fldChar w:fldCharType="separate"/>
      </w:r>
      <w:r>
        <w:rPr>
          <w:noProof/>
        </w:rPr>
        <w:t>Superannuation Guarantee Charge Amendment Act 2002</w:t>
      </w:r>
      <w:r>
        <w:fldChar w:fldCharType="end"/>
      </w:r>
    </w:p>
    <w:p w:rsidR="000C10F4" w:rsidRDefault="007A36B4">
      <w:pPr>
        <w:pStyle w:val="ActNoP1"/>
      </w:pPr>
      <w:r>
        <w:fldChar w:fldCharType="begin"/>
      </w:r>
      <w:r>
        <w:instrText xml:space="preserve"> STYLEREF Actno </w:instrText>
      </w:r>
      <w:r>
        <w:fldChar w:fldCharType="separate"/>
      </w:r>
      <w:r>
        <w:rPr>
          <w:noProof/>
        </w:rPr>
        <w:t>No. 52, 2002</w:t>
      </w:r>
      <w:r>
        <w:fldChar w:fldCharType="end"/>
      </w:r>
    </w:p>
    <w:p w:rsidR="000C10F4" w:rsidRDefault="000C10F4">
      <w:pPr>
        <w:pStyle w:val="p1LinesBef"/>
      </w:pPr>
    </w:p>
    <w:p w:rsidR="000C10F4" w:rsidRDefault="000C10F4">
      <w:pPr>
        <w:spacing w:line="40" w:lineRule="exact"/>
        <w:rPr>
          <w:b/>
          <w:bCs/>
          <w:sz w:val="28"/>
          <w:szCs w:val="28"/>
        </w:rPr>
      </w:pPr>
    </w:p>
    <w:p w:rsidR="000C10F4" w:rsidRDefault="000C10F4">
      <w:pPr>
        <w:pStyle w:val="p1LinesAfter"/>
      </w:pPr>
    </w:p>
    <w:p w:rsidR="000C10F4" w:rsidRDefault="007A36B4">
      <w:pPr>
        <w:pStyle w:val="Page1"/>
      </w:pPr>
      <w:r>
        <w:lastRenderedPageBreak/>
        <w:t xml:space="preserve">An Act to amend the </w:t>
      </w:r>
      <w:r>
        <w:rPr>
          <w:i/>
          <w:iCs/>
        </w:rPr>
        <w:t>Superannuation Guarantee Charge Act 1992</w:t>
      </w:r>
      <w:r>
        <w:t>, and for related purposes</w:t>
      </w:r>
    </w:p>
    <w:p w:rsidR="000C10F4" w:rsidRDefault="007A36B4">
      <w:pPr>
        <w:pStyle w:val="AssentDt"/>
        <w:spacing w:before="240"/>
        <w:rPr>
          <w:sz w:val="24"/>
          <w:szCs w:val="24"/>
        </w:rPr>
      </w:pPr>
      <w:r>
        <w:rPr>
          <w:sz w:val="24"/>
          <w:szCs w:val="24"/>
        </w:rPr>
        <w:t>[</w:t>
      </w:r>
      <w:r>
        <w:rPr>
          <w:i/>
          <w:iCs/>
          <w:sz w:val="24"/>
          <w:szCs w:val="24"/>
        </w:rPr>
        <w:t>Assented to 29 June 2002</w:t>
      </w:r>
      <w:r>
        <w:rPr>
          <w:sz w:val="24"/>
          <w:szCs w:val="24"/>
        </w:rPr>
        <w:t>]</w:t>
      </w:r>
    </w:p>
    <w:p w:rsidR="000C10F4" w:rsidRDefault="007A36B4">
      <w:pPr>
        <w:spacing w:before="240" w:line="240" w:lineRule="auto"/>
        <w:rPr>
          <w:sz w:val="32"/>
          <w:szCs w:val="32"/>
        </w:rPr>
      </w:pPr>
      <w:r>
        <w:rPr>
          <w:sz w:val="32"/>
          <w:szCs w:val="32"/>
        </w:rPr>
        <w:t>The Parliament of Australia enacts:</w:t>
      </w:r>
    </w:p>
    <w:p w:rsidR="000C10F4" w:rsidRDefault="007A36B4">
      <w:pPr>
        <w:pStyle w:val="Heading5"/>
      </w:pPr>
      <w:bookmarkStart w:id="1" w:name="_Toc12991410"/>
      <w:r>
        <w:rPr>
          <w:rStyle w:val="CharSectno"/>
        </w:rPr>
        <w:t>1</w:t>
      </w:r>
      <w:r>
        <w:t xml:space="preserve">  Short title</w:t>
      </w:r>
      <w:bookmarkEnd w:id="1"/>
    </w:p>
    <w:p w:rsidR="000C10F4" w:rsidRDefault="007A36B4">
      <w:pPr>
        <w:pStyle w:val="subsection"/>
      </w:pPr>
      <w:r>
        <w:tab/>
      </w:r>
      <w:r>
        <w:tab/>
        <w:t xml:space="preserve">This Act may be cited as the </w:t>
      </w:r>
      <w:r>
        <w:rPr>
          <w:i/>
          <w:iCs/>
        </w:rPr>
        <w:t>Superannuation Guarantee Charge Amendment Act 2002</w:t>
      </w:r>
      <w:r>
        <w:t>.</w:t>
      </w:r>
    </w:p>
    <w:p w:rsidR="000C10F4" w:rsidRDefault="007A36B4">
      <w:pPr>
        <w:pStyle w:val="Heading5"/>
      </w:pPr>
      <w:bookmarkStart w:id="2" w:name="_Toc12991411"/>
      <w:r>
        <w:rPr>
          <w:rStyle w:val="CharSectno"/>
        </w:rPr>
        <w:t>2</w:t>
      </w:r>
      <w:r>
        <w:t xml:space="preserve">  Commencement</w:t>
      </w:r>
      <w:bookmarkEnd w:id="2"/>
    </w:p>
    <w:p w:rsidR="000C10F4" w:rsidRDefault="007A36B4">
      <w:pPr>
        <w:pStyle w:val="subsection"/>
      </w:pPr>
      <w:r>
        <w:tab/>
        <w:t>(1)</w:t>
      </w:r>
      <w:r>
        <w:tab/>
        <w:t>Each provision of this Act specified in column 1 of the table commences, or is taken to have commenced, on the day or at the time specified in column 2 of the table.</w:t>
      </w:r>
    </w:p>
    <w:p w:rsidR="000C10F4" w:rsidRDefault="000C10F4"/>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C10F4">
        <w:trPr>
          <w:cantSplit/>
          <w:tblHeader/>
        </w:trPr>
        <w:tc>
          <w:tcPr>
            <w:tcW w:w="7111" w:type="dxa"/>
            <w:gridSpan w:val="3"/>
            <w:tcBorders>
              <w:top w:val="single" w:sz="12" w:space="0" w:color="auto"/>
              <w:left w:val="nil"/>
              <w:bottom w:val="nil"/>
              <w:right w:val="nil"/>
            </w:tcBorders>
          </w:tcPr>
          <w:p w:rsidR="000C10F4" w:rsidRDefault="007A36B4">
            <w:pPr>
              <w:pStyle w:val="Tabletext"/>
              <w:keepNext/>
              <w:rPr>
                <w:b/>
                <w:bCs/>
              </w:rPr>
            </w:pPr>
            <w:r>
              <w:rPr>
                <w:b/>
                <w:bCs/>
              </w:rPr>
              <w:t>Commencement information</w:t>
            </w:r>
          </w:p>
        </w:tc>
      </w:tr>
      <w:tr w:rsidR="000C10F4">
        <w:trPr>
          <w:cantSplit/>
          <w:tblHeader/>
        </w:trPr>
        <w:tc>
          <w:tcPr>
            <w:tcW w:w="1701" w:type="dxa"/>
            <w:tcBorders>
              <w:top w:val="single" w:sz="6" w:space="0" w:color="auto"/>
              <w:left w:val="nil"/>
              <w:right w:val="nil"/>
            </w:tcBorders>
          </w:tcPr>
          <w:p w:rsidR="000C10F4" w:rsidRDefault="007A36B4">
            <w:pPr>
              <w:pStyle w:val="Tabletext"/>
              <w:keepNext/>
              <w:rPr>
                <w:b/>
                <w:bCs/>
              </w:rPr>
            </w:pPr>
            <w:r>
              <w:rPr>
                <w:b/>
                <w:bCs/>
              </w:rPr>
              <w:t>Column 1</w:t>
            </w:r>
          </w:p>
        </w:tc>
        <w:tc>
          <w:tcPr>
            <w:tcW w:w="3828" w:type="dxa"/>
            <w:tcBorders>
              <w:top w:val="single" w:sz="6" w:space="0" w:color="auto"/>
              <w:left w:val="nil"/>
              <w:right w:val="nil"/>
            </w:tcBorders>
          </w:tcPr>
          <w:p w:rsidR="000C10F4" w:rsidRDefault="007A36B4">
            <w:pPr>
              <w:pStyle w:val="Tabletext"/>
              <w:keepNext/>
              <w:rPr>
                <w:b/>
                <w:bCs/>
              </w:rPr>
            </w:pPr>
            <w:r>
              <w:rPr>
                <w:b/>
                <w:bCs/>
              </w:rPr>
              <w:t>Column 2</w:t>
            </w:r>
          </w:p>
        </w:tc>
        <w:tc>
          <w:tcPr>
            <w:tcW w:w="1582" w:type="dxa"/>
            <w:tcBorders>
              <w:top w:val="single" w:sz="6" w:space="0" w:color="auto"/>
              <w:left w:val="nil"/>
              <w:right w:val="nil"/>
            </w:tcBorders>
          </w:tcPr>
          <w:p w:rsidR="000C10F4" w:rsidRDefault="007A36B4">
            <w:pPr>
              <w:pStyle w:val="Tabletext"/>
              <w:keepNext/>
              <w:rPr>
                <w:b/>
                <w:bCs/>
              </w:rPr>
            </w:pPr>
            <w:r>
              <w:rPr>
                <w:b/>
                <w:bCs/>
              </w:rPr>
              <w:t>Column 3</w:t>
            </w:r>
          </w:p>
        </w:tc>
      </w:tr>
      <w:tr w:rsidR="000C10F4">
        <w:trPr>
          <w:cantSplit/>
          <w:tblHeader/>
        </w:trPr>
        <w:tc>
          <w:tcPr>
            <w:tcW w:w="1701" w:type="dxa"/>
            <w:tcBorders>
              <w:top w:val="nil"/>
              <w:left w:val="nil"/>
              <w:bottom w:val="single" w:sz="12" w:space="0" w:color="auto"/>
              <w:right w:val="nil"/>
            </w:tcBorders>
          </w:tcPr>
          <w:p w:rsidR="000C10F4" w:rsidRDefault="007A36B4">
            <w:pPr>
              <w:pStyle w:val="Tabletext"/>
              <w:keepNext/>
              <w:rPr>
                <w:b/>
                <w:bCs/>
              </w:rPr>
            </w:pPr>
            <w:r>
              <w:rPr>
                <w:b/>
                <w:bCs/>
              </w:rPr>
              <w:t>Provision(s)</w:t>
            </w:r>
          </w:p>
        </w:tc>
        <w:tc>
          <w:tcPr>
            <w:tcW w:w="3828" w:type="dxa"/>
            <w:tcBorders>
              <w:top w:val="nil"/>
              <w:left w:val="nil"/>
              <w:bottom w:val="single" w:sz="12" w:space="0" w:color="auto"/>
              <w:right w:val="nil"/>
            </w:tcBorders>
          </w:tcPr>
          <w:p w:rsidR="000C10F4" w:rsidRDefault="007A36B4">
            <w:pPr>
              <w:pStyle w:val="Tabletext"/>
              <w:keepNext/>
              <w:rPr>
                <w:b/>
                <w:bCs/>
              </w:rPr>
            </w:pPr>
            <w:r>
              <w:rPr>
                <w:b/>
                <w:bCs/>
              </w:rPr>
              <w:t>Commencement</w:t>
            </w:r>
          </w:p>
        </w:tc>
        <w:tc>
          <w:tcPr>
            <w:tcW w:w="1582" w:type="dxa"/>
            <w:tcBorders>
              <w:top w:val="nil"/>
              <w:left w:val="nil"/>
              <w:bottom w:val="single" w:sz="12" w:space="0" w:color="auto"/>
              <w:right w:val="nil"/>
            </w:tcBorders>
          </w:tcPr>
          <w:p w:rsidR="000C10F4" w:rsidRDefault="007A36B4">
            <w:pPr>
              <w:pStyle w:val="Tabletext"/>
              <w:keepNext/>
              <w:rPr>
                <w:b/>
                <w:bCs/>
              </w:rPr>
            </w:pPr>
            <w:r>
              <w:rPr>
                <w:b/>
                <w:bCs/>
              </w:rPr>
              <w:t>Date/Details</w:t>
            </w:r>
          </w:p>
        </w:tc>
      </w:tr>
      <w:tr w:rsidR="000C10F4">
        <w:trPr>
          <w:cantSplit/>
        </w:trPr>
        <w:tc>
          <w:tcPr>
            <w:tcW w:w="1701" w:type="dxa"/>
            <w:tcBorders>
              <w:top w:val="nil"/>
              <w:left w:val="nil"/>
              <w:bottom w:val="dotted" w:sz="6" w:space="0" w:color="auto"/>
              <w:right w:val="nil"/>
            </w:tcBorders>
          </w:tcPr>
          <w:p w:rsidR="000C10F4" w:rsidRDefault="007A36B4">
            <w:pPr>
              <w:pStyle w:val="Tabletext"/>
            </w:pPr>
            <w:r>
              <w:t xml:space="preserve">1.  </w:t>
            </w:r>
            <w:r>
              <w:rPr>
                <w:snapToGrid w:val="0"/>
              </w:rPr>
              <w:t>Sections 1 to 3 and anything in this Act not elsewhere covered by this table</w:t>
            </w:r>
          </w:p>
        </w:tc>
        <w:tc>
          <w:tcPr>
            <w:tcW w:w="3828" w:type="dxa"/>
            <w:tcBorders>
              <w:top w:val="nil"/>
              <w:left w:val="nil"/>
              <w:bottom w:val="dotted" w:sz="6" w:space="0" w:color="auto"/>
              <w:right w:val="nil"/>
            </w:tcBorders>
          </w:tcPr>
          <w:p w:rsidR="000C10F4" w:rsidRDefault="007A36B4">
            <w:pPr>
              <w:pStyle w:val="Tabletext"/>
            </w:pPr>
            <w:r>
              <w:t>The day on which this Act receives the Royal Assent</w:t>
            </w:r>
          </w:p>
        </w:tc>
        <w:tc>
          <w:tcPr>
            <w:tcW w:w="1582" w:type="dxa"/>
            <w:tcBorders>
              <w:top w:val="nil"/>
              <w:left w:val="nil"/>
              <w:bottom w:val="dotted" w:sz="6" w:space="0" w:color="auto"/>
              <w:right w:val="nil"/>
            </w:tcBorders>
          </w:tcPr>
          <w:p w:rsidR="000C10F4" w:rsidRDefault="007A36B4">
            <w:pPr>
              <w:pStyle w:val="Tabletext"/>
            </w:pPr>
            <w:r>
              <w:t>29 June 2002</w:t>
            </w:r>
          </w:p>
        </w:tc>
      </w:tr>
      <w:tr w:rsidR="000C10F4">
        <w:trPr>
          <w:cantSplit/>
        </w:trPr>
        <w:tc>
          <w:tcPr>
            <w:tcW w:w="1701" w:type="dxa"/>
            <w:tcBorders>
              <w:top w:val="dotted" w:sz="6" w:space="0" w:color="auto"/>
              <w:left w:val="nil"/>
              <w:bottom w:val="single" w:sz="12" w:space="0" w:color="auto"/>
              <w:right w:val="nil"/>
            </w:tcBorders>
          </w:tcPr>
          <w:p w:rsidR="000C10F4" w:rsidRDefault="007A36B4">
            <w:pPr>
              <w:pStyle w:val="Tabletext"/>
            </w:pPr>
            <w:r>
              <w:t>2.  Schedule 1</w:t>
            </w:r>
          </w:p>
        </w:tc>
        <w:tc>
          <w:tcPr>
            <w:tcW w:w="3828" w:type="dxa"/>
            <w:tcBorders>
              <w:top w:val="dotted" w:sz="6" w:space="0" w:color="auto"/>
              <w:left w:val="nil"/>
              <w:bottom w:val="single" w:sz="12" w:space="0" w:color="auto"/>
              <w:right w:val="nil"/>
            </w:tcBorders>
          </w:tcPr>
          <w:p w:rsidR="000C10F4" w:rsidRDefault="007A36B4">
            <w:pPr>
              <w:pStyle w:val="Tabletext"/>
            </w:pPr>
            <w:r>
              <w:t>The later of:</w:t>
            </w:r>
          </w:p>
          <w:p w:rsidR="000C10F4" w:rsidRDefault="007A36B4">
            <w:pPr>
              <w:pStyle w:val="Tablea"/>
            </w:pPr>
            <w:r>
              <w:t>(a) 1 July 2003; and</w:t>
            </w:r>
          </w:p>
          <w:p w:rsidR="000C10F4" w:rsidRDefault="007A36B4">
            <w:pPr>
              <w:pStyle w:val="Tablea"/>
            </w:pPr>
            <w:r>
              <w:t>(b) the day on which this Act receives the Royal Assent</w:t>
            </w:r>
          </w:p>
        </w:tc>
        <w:tc>
          <w:tcPr>
            <w:tcW w:w="1582" w:type="dxa"/>
            <w:tcBorders>
              <w:top w:val="dotted" w:sz="6" w:space="0" w:color="auto"/>
              <w:left w:val="nil"/>
              <w:bottom w:val="single" w:sz="12" w:space="0" w:color="auto"/>
              <w:right w:val="nil"/>
            </w:tcBorders>
          </w:tcPr>
          <w:p w:rsidR="000C10F4" w:rsidRDefault="007A36B4">
            <w:pPr>
              <w:pStyle w:val="Tabletext"/>
            </w:pPr>
            <w:r>
              <w:t>1 July 2003</w:t>
            </w:r>
          </w:p>
        </w:tc>
      </w:tr>
    </w:tbl>
    <w:p w:rsidR="000C10F4" w:rsidRDefault="007A36B4">
      <w:pPr>
        <w:pStyle w:val="notetext"/>
      </w:pPr>
      <w:r>
        <w:t>Note:</w:t>
      </w:r>
      <w:r>
        <w:tab/>
        <w:t>This table relates only to the provisions of this Act as originally passed by the Parliament and assented to. It will not be expanded to deal with provisions inserted in this Act after assent.</w:t>
      </w:r>
    </w:p>
    <w:p w:rsidR="000C10F4" w:rsidRDefault="007A36B4">
      <w:pPr>
        <w:pStyle w:val="subsection"/>
      </w:pPr>
      <w:r>
        <w:tab/>
        <w:t>(2)</w:t>
      </w:r>
      <w:r>
        <w:tab/>
        <w:t>Column 3 of the table is for additional information that is not part of this Act. This information may be included in any published version of this Act.</w:t>
      </w:r>
    </w:p>
    <w:p w:rsidR="000C10F4" w:rsidRDefault="007A36B4">
      <w:pPr>
        <w:pStyle w:val="Heading5"/>
      </w:pPr>
      <w:bookmarkStart w:id="3" w:name="_Toc12991412"/>
      <w:r>
        <w:rPr>
          <w:rStyle w:val="CharSectno"/>
        </w:rPr>
        <w:lastRenderedPageBreak/>
        <w:t>3</w:t>
      </w:r>
      <w:r>
        <w:t xml:space="preserve">  Schedule(s)</w:t>
      </w:r>
      <w:bookmarkEnd w:id="3"/>
    </w:p>
    <w:p w:rsidR="000C10F4" w:rsidRDefault="007A36B4">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0C10F4" w:rsidRDefault="007A36B4">
      <w:pPr>
        <w:pStyle w:val="PageBreak"/>
      </w:pPr>
      <w:r>
        <w:br w:type="page"/>
      </w:r>
    </w:p>
    <w:p w:rsidR="000C10F4" w:rsidRDefault="007A36B4">
      <w:pPr>
        <w:pStyle w:val="Heading6"/>
      </w:pPr>
      <w:bookmarkStart w:id="4" w:name="_Toc12991413"/>
      <w:bookmarkStart w:id="5" w:name="AmSched"/>
      <w:bookmarkStart w:id="6" w:name="CurrentFind"/>
      <w:r>
        <w:rPr>
          <w:rStyle w:val="CharAmSchNo"/>
        </w:rPr>
        <w:lastRenderedPageBreak/>
        <w:t>Schedule 1</w:t>
      </w:r>
      <w:r>
        <w:t>—</w:t>
      </w:r>
      <w:r>
        <w:rPr>
          <w:rStyle w:val="CharAmSchText"/>
        </w:rPr>
        <w:t>Amendment of the Superannuation Guarantee Charge Act 1992</w:t>
      </w:r>
      <w:bookmarkEnd w:id="4"/>
    </w:p>
    <w:bookmarkEnd w:id="5"/>
    <w:bookmarkEnd w:id="6"/>
    <w:p w:rsidR="000C10F4" w:rsidRDefault="007A36B4">
      <w:pPr>
        <w:pStyle w:val="Header"/>
      </w:pPr>
      <w:r>
        <w:rPr>
          <w:rStyle w:val="CharAmPartNo"/>
        </w:rPr>
        <w:t xml:space="preserve"> </w:t>
      </w:r>
      <w:r>
        <w:rPr>
          <w:rStyle w:val="CharAmPartText"/>
        </w:rPr>
        <w:t xml:space="preserve"> </w:t>
      </w:r>
    </w:p>
    <w:p w:rsidR="000C10F4" w:rsidRDefault="007A36B4">
      <w:pPr>
        <w:pStyle w:val="NewItem"/>
      </w:pPr>
      <w:r>
        <w:t>1  Section 5</w:t>
      </w:r>
    </w:p>
    <w:p w:rsidR="000C10F4" w:rsidRDefault="007A36B4">
      <w:pPr>
        <w:pStyle w:val="Item"/>
      </w:pPr>
      <w:r>
        <w:t>Omit “in a year”, substitute “for a quarter”.</w:t>
      </w:r>
    </w:p>
    <w:p w:rsidR="000C10F4" w:rsidRDefault="007A36B4">
      <w:pPr>
        <w:pStyle w:val="NewItem"/>
      </w:pPr>
      <w:r>
        <w:t>2  Section 6</w:t>
      </w:r>
    </w:p>
    <w:p w:rsidR="000C10F4" w:rsidRDefault="007A36B4">
      <w:pPr>
        <w:pStyle w:val="Item"/>
      </w:pPr>
      <w:r>
        <w:t>Omit “in a year”, substitute “for a quarter”.</w:t>
      </w:r>
    </w:p>
    <w:p w:rsidR="000C10F4" w:rsidRDefault="007A36B4">
      <w:pPr>
        <w:pStyle w:val="NewItem"/>
      </w:pPr>
      <w:r>
        <w:t>3  Application of amendments</w:t>
      </w:r>
    </w:p>
    <w:p w:rsidR="000C10F4" w:rsidRDefault="007A36B4">
      <w:pPr>
        <w:pStyle w:val="Item"/>
      </w:pPr>
      <w:r>
        <w:t xml:space="preserve">The amendments made by this Schedule apply in relation to superannuation guarantee shortfalls under the </w:t>
      </w:r>
      <w:r>
        <w:rPr>
          <w:i/>
          <w:iCs/>
        </w:rPr>
        <w:t xml:space="preserve">Superannuation Guarantee (Administration) Act 1992 </w:t>
      </w:r>
      <w:r>
        <w:t>for quarters that commence on or after 1 July 2003.</w:t>
      </w:r>
    </w:p>
    <w:p w:rsidR="000C10F4" w:rsidRDefault="000C10F4">
      <w:pPr>
        <w:pStyle w:val="2ndRd"/>
        <w:keepNext/>
      </w:pPr>
    </w:p>
    <w:p w:rsidR="000C10F4" w:rsidRDefault="000C10F4">
      <w:pPr>
        <w:pStyle w:val="2ndRd"/>
        <w:keepNext/>
      </w:pPr>
    </w:p>
    <w:p w:rsidR="000C10F4" w:rsidRDefault="000C10F4">
      <w:pPr>
        <w:pStyle w:val="2ndRd"/>
        <w:keepNext/>
        <w:pBdr>
          <w:top w:val="single" w:sz="2" w:space="1" w:color="auto"/>
        </w:pBdr>
      </w:pPr>
    </w:p>
    <w:p w:rsidR="000C10F4" w:rsidRDefault="007A36B4">
      <w:pPr>
        <w:pStyle w:val="2ndRd"/>
        <w:keepNext/>
        <w:spacing w:line="260" w:lineRule="atLeast"/>
        <w:rPr>
          <w:i/>
          <w:iCs/>
        </w:rPr>
      </w:pPr>
      <w:r>
        <w:t>[</w:t>
      </w:r>
      <w:r>
        <w:rPr>
          <w:i/>
          <w:iCs/>
        </w:rPr>
        <w:t>Minister’s second reading speech made in—</w:t>
      </w:r>
    </w:p>
    <w:p w:rsidR="000C10F4" w:rsidRDefault="007A36B4">
      <w:pPr>
        <w:pStyle w:val="2ndRd"/>
        <w:keepNext/>
        <w:spacing w:line="260" w:lineRule="atLeast"/>
        <w:rPr>
          <w:i/>
          <w:iCs/>
        </w:rPr>
      </w:pPr>
      <w:r>
        <w:rPr>
          <w:i/>
          <w:iCs/>
        </w:rPr>
        <w:t>House of Representatives on 16 May 2002</w:t>
      </w:r>
    </w:p>
    <w:p w:rsidR="000C10F4" w:rsidRDefault="007A36B4">
      <w:pPr>
        <w:pStyle w:val="2ndRd"/>
        <w:keepNext/>
        <w:spacing w:line="260" w:lineRule="atLeast"/>
        <w:rPr>
          <w:i/>
          <w:iCs/>
        </w:rPr>
      </w:pPr>
      <w:r>
        <w:rPr>
          <w:i/>
          <w:iCs/>
        </w:rPr>
        <w:t>Senate on 19 June 2002</w:t>
      </w:r>
      <w:r>
        <w:t>]</w:t>
      </w:r>
    </w:p>
    <w:p w:rsidR="000C10F4" w:rsidRDefault="000C10F4"/>
    <w:p w:rsidR="000C10F4" w:rsidRDefault="007A36B4">
      <w:pPr>
        <w:framePr w:w="1134" w:h="227" w:hSpace="180" w:wrap="notBeside" w:vAnchor="text" w:hAnchor="text" w:y="3248"/>
        <w:shd w:val="solid" w:color="FFFFFF" w:fill="FFFFFF"/>
      </w:pPr>
      <w:r>
        <w:t>(110/02)</w:t>
      </w:r>
    </w:p>
    <w:p w:rsidR="000C10F4" w:rsidRDefault="000C10F4"/>
    <w:sectPr w:rsidR="000C10F4">
      <w:headerReference w:type="even" r:id="rId12"/>
      <w:headerReference w:type="default" r:id="rId13"/>
      <w:footerReference w:type="even" r:id="rId14"/>
      <w:footerReference w:type="default" r:id="rId15"/>
      <w:headerReference w:type="first" r:id="rId16"/>
      <w:footerReference w:type="first" r:id="rId17"/>
      <w:pgSz w:w="11906" w:h="16838" w:code="9"/>
      <w:pgMar w:top="1871" w:right="2410" w:bottom="4252"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0F4" w:rsidRDefault="007A36B4">
      <w:pPr>
        <w:spacing w:line="240" w:lineRule="auto"/>
      </w:pPr>
      <w:r>
        <w:separator/>
      </w:r>
    </w:p>
  </w:endnote>
  <w:endnote w:type="continuationSeparator" w:id="0">
    <w:p w:rsidR="000C10F4" w:rsidRDefault="007A3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F4" w:rsidRDefault="000C10F4">
    <w:pPr>
      <w:pBdr>
        <w:top w:val="single" w:sz="6" w:space="1" w:color="auto"/>
      </w:pBdr>
      <w:rPr>
        <w:sz w:val="18"/>
        <w:szCs w:val="18"/>
      </w:rPr>
    </w:pPr>
  </w:p>
  <w:p w:rsidR="000C10F4" w:rsidRDefault="007A36B4">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Superannuation Guarantee Charge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52,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iv</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F4" w:rsidRDefault="000C10F4">
    <w:pPr>
      <w:pBdr>
        <w:top w:val="single" w:sz="6" w:space="1" w:color="auto"/>
      </w:pBdr>
      <w:rPr>
        <w:sz w:val="18"/>
        <w:szCs w:val="18"/>
      </w:rPr>
    </w:pPr>
  </w:p>
  <w:p w:rsidR="000C10F4" w:rsidRDefault="007A36B4">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C6BDD">
      <w:rPr>
        <w:i/>
        <w:iCs/>
        <w:noProof/>
        <w:sz w:val="18"/>
        <w:szCs w:val="18"/>
      </w:rPr>
      <w:t>Superannuation Guarantee Charge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C6BDD">
      <w:rPr>
        <w:i/>
        <w:iCs/>
        <w:noProof/>
        <w:sz w:val="18"/>
        <w:szCs w:val="18"/>
      </w:rPr>
      <w:t>No. 52, 2002</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F4" w:rsidRDefault="000C10F4">
    <w:pPr>
      <w:pBdr>
        <w:top w:val="single" w:sz="6" w:space="1" w:color="auto"/>
      </w:pBdr>
      <w:jc w:val="right"/>
      <w:rPr>
        <w:sz w:val="18"/>
        <w:szCs w:val="18"/>
      </w:rPr>
    </w:pPr>
  </w:p>
  <w:p w:rsidR="000C10F4" w:rsidRDefault="007A36B4">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C6BDD">
      <w:rPr>
        <w:i/>
        <w:iCs/>
        <w:noProof/>
        <w:sz w:val="18"/>
        <w:szCs w:val="18"/>
      </w:rPr>
      <w:t>Superannuation Guarantee Charge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C6BDD">
      <w:rPr>
        <w:i/>
        <w:iCs/>
        <w:noProof/>
        <w:sz w:val="18"/>
        <w:szCs w:val="18"/>
      </w:rPr>
      <w:t>No. 52, 2002</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F4" w:rsidRDefault="000C10F4">
    <w:pPr>
      <w:pBdr>
        <w:top w:val="single" w:sz="6" w:space="1" w:color="auto"/>
      </w:pBdr>
      <w:rPr>
        <w:sz w:val="18"/>
        <w:szCs w:val="18"/>
      </w:rPr>
    </w:pPr>
  </w:p>
  <w:p w:rsidR="000C10F4" w:rsidRDefault="007A36B4">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C6BDD">
      <w:rPr>
        <w:i/>
        <w:iCs/>
        <w:noProof/>
        <w:sz w:val="18"/>
        <w:szCs w:val="18"/>
      </w:rPr>
      <w:t>Superannuation Guarantee Charge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C6BDD">
      <w:rPr>
        <w:i/>
        <w:iCs/>
        <w:noProof/>
        <w:sz w:val="18"/>
        <w:szCs w:val="18"/>
      </w:rPr>
      <w:t>No. 52,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F4" w:rsidRDefault="000C10F4">
    <w:pPr>
      <w:pBdr>
        <w:top w:val="single" w:sz="6" w:space="1" w:color="auto"/>
      </w:pBdr>
      <w:rPr>
        <w:sz w:val="18"/>
        <w:szCs w:val="18"/>
      </w:rPr>
    </w:pPr>
  </w:p>
  <w:p w:rsidR="000C10F4" w:rsidRDefault="007A36B4">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C6BDD">
      <w:rPr>
        <w:i/>
        <w:iCs/>
        <w:noProof/>
        <w:sz w:val="18"/>
        <w:szCs w:val="18"/>
      </w:rPr>
      <w:t>Superannuation Guarantee Charge Amendment Act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C6BDD">
      <w:rPr>
        <w:i/>
        <w:iCs/>
        <w:noProof/>
        <w:sz w:val="18"/>
        <w:szCs w:val="18"/>
      </w:rPr>
      <w:t>No. 52,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0F4" w:rsidRDefault="007A36B4">
      <w:pPr>
        <w:spacing w:line="240" w:lineRule="auto"/>
      </w:pPr>
      <w:r>
        <w:separator/>
      </w:r>
    </w:p>
  </w:footnote>
  <w:footnote w:type="continuationSeparator" w:id="0">
    <w:p w:rsidR="000C10F4" w:rsidRDefault="007A36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F4" w:rsidRDefault="000C10F4">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F4" w:rsidRDefault="000C10F4">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F4" w:rsidRDefault="007A36B4">
    <w:pPr>
      <w:rPr>
        <w:sz w:val="20"/>
        <w:szCs w:val="20"/>
      </w:rPr>
    </w:pPr>
    <w:r>
      <w:rPr>
        <w:b/>
        <w:bCs/>
        <w:sz w:val="20"/>
        <w:szCs w:val="20"/>
      </w:rPr>
      <w:fldChar w:fldCharType="begin"/>
    </w:r>
    <w:r>
      <w:rPr>
        <w:b/>
        <w:bCs/>
        <w:sz w:val="20"/>
        <w:szCs w:val="20"/>
      </w:rPr>
      <w:instrText xml:space="preserve"> STYLEREF CharAmSchNo </w:instrText>
    </w:r>
    <w:r w:rsidR="00EC6BDD">
      <w:rPr>
        <w:b/>
        <w:bCs/>
        <w:sz w:val="20"/>
        <w:szCs w:val="20"/>
      </w:rPr>
      <w:fldChar w:fldCharType="separate"/>
    </w:r>
    <w:r w:rsidR="00EC6BDD">
      <w:rPr>
        <w:b/>
        <w:bCs/>
        <w:noProof/>
        <w:sz w:val="20"/>
        <w:szCs w:val="20"/>
      </w:rPr>
      <w:t>Schedule 1</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EC6BDD">
      <w:rPr>
        <w:sz w:val="20"/>
        <w:szCs w:val="20"/>
      </w:rPr>
      <w:fldChar w:fldCharType="separate"/>
    </w:r>
    <w:r w:rsidR="00EC6BDD">
      <w:rPr>
        <w:noProof/>
        <w:sz w:val="20"/>
        <w:szCs w:val="20"/>
      </w:rPr>
      <w:t>Amendment of the Superannuation Guarantee Charge Act 1992</w:t>
    </w:r>
    <w:r>
      <w:rPr>
        <w:sz w:val="20"/>
        <w:szCs w:val="20"/>
      </w:rPr>
      <w:fldChar w:fldCharType="end"/>
    </w:r>
  </w:p>
  <w:p w:rsidR="000C10F4" w:rsidRDefault="007A36B4">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0C10F4" w:rsidRDefault="000C10F4">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F4" w:rsidRDefault="007A36B4">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end"/>
    </w:r>
  </w:p>
  <w:p w:rsidR="000C10F4" w:rsidRDefault="007A36B4">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0C10F4" w:rsidRDefault="000C10F4">
    <w:pPr>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F4" w:rsidRDefault="000C10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6D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C1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A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D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08C9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8EF099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3"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14"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3"/>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6C"/>
    <w:rsid w:val="000C10F4"/>
    <w:rsid w:val="00705B6C"/>
    <w:rsid w:val="007A36B4"/>
    <w:rsid w:val="00BE763F"/>
    <w:rsid w:val="00DC341D"/>
    <w:rsid w:val="00EC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numPr>
        <w:numId w:val="2"/>
      </w:numPr>
      <w:tabs>
        <w:tab w:val="clear" w:pos="643"/>
      </w:tabs>
      <w:ind w:left="284" w:hanging="284"/>
    </w:pPr>
  </w:style>
  <w:style w:type="paragraph" w:styleId="ListBullet2">
    <w:name w:val="List Bullet 2"/>
    <w:basedOn w:val="Normal"/>
    <w:uiPriority w:val="99"/>
    <w:pPr>
      <w:numPr>
        <w:numId w:val="4"/>
      </w:numPr>
      <w:tabs>
        <w:tab w:val="clear" w:pos="1209"/>
        <w:tab w:val="num" w:pos="643"/>
      </w:tabs>
      <w:ind w:left="643"/>
    </w:pPr>
  </w:style>
  <w:style w:type="paragraph" w:styleId="ListBullet3">
    <w:name w:val="List Bullet 3"/>
    <w:basedOn w:val="Normal"/>
    <w:uiPriority w:val="99"/>
    <w:pPr>
      <w:numPr>
        <w:numId w:val="6"/>
      </w:numPr>
      <w:tabs>
        <w:tab w:val="clear" w:pos="360"/>
        <w:tab w:val="num" w:pos="926"/>
      </w:tabs>
      <w:ind w:left="926"/>
    </w:pPr>
  </w:style>
  <w:style w:type="paragraph" w:styleId="ListBullet4">
    <w:name w:val="List Bullet 4"/>
    <w:basedOn w:val="Normal"/>
    <w:uiPriority w:val="99"/>
    <w:pPr>
      <w:tabs>
        <w:tab w:val="num" w:pos="643"/>
        <w:tab w:val="num" w:pos="1209"/>
      </w:tabs>
      <w:ind w:left="1209" w:hanging="360"/>
    </w:pPr>
  </w:style>
  <w:style w:type="paragraph" w:styleId="ListBullet5">
    <w:name w:val="List Bullet 5"/>
    <w:basedOn w:val="Normal"/>
    <w:uiPriority w:val="99"/>
    <w:pPr>
      <w:numPr>
        <w:numId w:val="10"/>
      </w:numPr>
      <w:tabs>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text">
    <w:name w:val="Tabletext"/>
    <w:aliases w:val="t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Session">
    <w:name w:val="Session"/>
    <w:basedOn w:val="Normal"/>
    <w:uiPriority w:val="99"/>
    <w:rPr>
      <w:sz w:val="28"/>
      <w:szCs w:val="28"/>
    </w:rPr>
  </w:style>
  <w:style w:type="paragraph" w:customStyle="1" w:styleId="Reading">
    <w:name w:val="Reading"/>
    <w:basedOn w:val="Normal"/>
    <w:uiPriority w:val="99"/>
    <w:rPr>
      <w:i/>
      <w:iCs/>
      <w:sz w:val="20"/>
      <w:szCs w:val="20"/>
    </w:rPr>
  </w:style>
  <w:style w:type="paragraph" w:customStyle="1" w:styleId="Portfolio">
    <w:name w:val="Portfolio"/>
    <w:basedOn w:val="Normal"/>
    <w:uiPriority w:val="99"/>
    <w:rPr>
      <w:i/>
      <w:iCs/>
      <w:sz w:val="20"/>
      <w:szCs w:val="20"/>
    </w:rPr>
  </w:style>
  <w:style w:type="paragraph" w:customStyle="1" w:styleId="House">
    <w:name w:val="House"/>
    <w:basedOn w:val="Normal"/>
    <w:uiPriority w:val="99"/>
    <w:rPr>
      <w:sz w:val="28"/>
      <w:szCs w:val="28"/>
    </w:rPr>
  </w:style>
  <w:style w:type="paragraph" w:customStyle="1" w:styleId="Sponsor">
    <w:name w:val="Sponsor"/>
    <w:basedOn w:val="Normal"/>
    <w:uiPriority w:val="99"/>
    <w:rPr>
      <w:i/>
      <w:iCs/>
    </w:rPr>
  </w:style>
  <w:style w:type="paragraph" w:customStyle="1" w:styleId="Blocks">
    <w:name w:val="Blocks"/>
    <w:aliases w:val="bb"/>
    <w:basedOn w:val="Normal"/>
    <w:uiPriority w:val="99"/>
    <w:pPr>
      <w:spacing w:line="240" w:lineRule="auto"/>
    </w:pPr>
    <w:rPr>
      <w:sz w:val="24"/>
      <w:szCs w:val="24"/>
    </w:rPr>
  </w:style>
  <w:style w:type="paragraph" w:customStyle="1" w:styleId="ShortTP1">
    <w:name w:val="ShortTP1"/>
    <w:basedOn w:val="ShortT"/>
    <w:uiPriority w:val="99"/>
    <w:pPr>
      <w:spacing w:before="800"/>
    </w:pPr>
  </w:style>
  <w:style w:type="paragraph" w:customStyle="1" w:styleId="table">
    <w:name w:val="table"/>
    <w:aliases w:val="t,Table"/>
    <w:basedOn w:val="Normal"/>
    <w:uiPriority w:val="99"/>
    <w:pPr>
      <w:spacing w:before="60" w:line="240" w:lineRule="atLeast"/>
    </w:pPr>
    <w:rPr>
      <w:sz w:val="20"/>
      <w:szCs w:val="20"/>
    </w:r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rFonts w:ascii="Times New Roman" w:hAnsi="Times New Roman" w:cs="Times New Roman"/>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rFonts w:ascii="Times New Roman" w:hAnsi="Times New Roman" w:cs="Times New Roman"/>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pPr>
      <w:spacing w:line="240" w:lineRule="auto"/>
    </w:pPr>
    <w:rPr>
      <w:sz w:val="18"/>
      <w:szCs w:val="18"/>
      <w:lang w:val="en-US"/>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5"/>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NewItem">
    <w:name w:val="NewItem"/>
    <w:basedOn w:val="Normal"/>
    <w:uiPriority w:val="99"/>
    <w:pPr>
      <w:keepLines/>
      <w:spacing w:before="220"/>
      <w:ind w:left="709" w:hanging="709"/>
    </w:pPr>
    <w:rPr>
      <w:rFonts w:ascii="Helvetica" w:hAnsi="Helvetica" w:cs="Helvetica"/>
      <w:b/>
      <w:bC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388</Words>
  <Characters>2093</Characters>
  <Application>Microsoft Office Word</Application>
  <DocSecurity>0</DocSecurity>
  <Lines>348</Lines>
  <Paragraphs>225</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2023-09-18T23:48:00Z</dcterms:created>
  <dcterms:modified xsi:type="dcterms:W3CDTF">2023-12-20T04:10:00Z</dcterms:modified>
</cp:coreProperties>
</file>