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2A6BBB" w14:textId="77777777" w:rsidR="00A23BBF" w:rsidRDefault="00C609B3" w:rsidP="0003161A">
      <w:pPr>
        <w:jc w:val="center"/>
        <w:rPr>
          <w:rStyle w:val="Heading1NotBold"/>
          <w:rFonts w:ascii="Times New Roman" w:hAnsi="Times New Roman" w:cs="Times New Roman"/>
          <w:bCs w:val="0"/>
          <w:sz w:val="36"/>
          <w:szCs w:val="36"/>
        </w:rPr>
      </w:pPr>
      <w:bookmarkStart w:id="0" w:name="bookmark0"/>
      <w:bookmarkStart w:id="1" w:name="_GoBack"/>
      <w:bookmarkEnd w:id="1"/>
      <w:r w:rsidRPr="0003161A">
        <w:rPr>
          <w:rStyle w:val="Heading1NotBold"/>
          <w:rFonts w:ascii="Times New Roman" w:hAnsi="Times New Roman" w:cs="Times New Roman"/>
          <w:bCs w:val="0"/>
          <w:sz w:val="36"/>
          <w:szCs w:val="36"/>
        </w:rPr>
        <w:t>PAPUA NEW GUINEA ACT 1975</w:t>
      </w:r>
      <w:bookmarkEnd w:id="0"/>
    </w:p>
    <w:p w14:paraId="0873AD65" w14:textId="77777777" w:rsidR="0003161A" w:rsidRPr="0003161A" w:rsidRDefault="0003161A" w:rsidP="0003161A">
      <w:pPr>
        <w:jc w:val="center"/>
        <w:rPr>
          <w:rFonts w:ascii="Times New Roman" w:hAnsi="Times New Roman" w:cs="Times New Roman"/>
          <w:sz w:val="36"/>
          <w:szCs w:val="36"/>
        </w:rPr>
      </w:pPr>
    </w:p>
    <w:p w14:paraId="58CFA19B" w14:textId="77777777" w:rsidR="00A23BBF" w:rsidRDefault="00C609B3" w:rsidP="0003161A">
      <w:pPr>
        <w:jc w:val="center"/>
        <w:rPr>
          <w:rStyle w:val="Heading2NotBold"/>
          <w:rFonts w:ascii="Times New Roman" w:hAnsi="Times New Roman" w:cs="Times New Roman"/>
          <w:bCs w:val="0"/>
          <w:sz w:val="28"/>
          <w:szCs w:val="28"/>
        </w:rPr>
      </w:pPr>
      <w:bookmarkStart w:id="2" w:name="bookmark1"/>
      <w:r w:rsidRPr="0003161A">
        <w:rPr>
          <w:rStyle w:val="Heading2NotBold"/>
          <w:rFonts w:ascii="Times New Roman" w:hAnsi="Times New Roman" w:cs="Times New Roman"/>
          <w:bCs w:val="0"/>
          <w:sz w:val="28"/>
          <w:szCs w:val="28"/>
        </w:rPr>
        <w:t>No. 97 of 1975</w:t>
      </w:r>
      <w:bookmarkEnd w:id="2"/>
    </w:p>
    <w:p w14:paraId="7583F66C" w14:textId="77777777" w:rsidR="0003161A" w:rsidRPr="0003161A" w:rsidRDefault="0003161A" w:rsidP="0003161A">
      <w:pPr>
        <w:jc w:val="center"/>
        <w:rPr>
          <w:rFonts w:ascii="Times New Roman" w:hAnsi="Times New Roman" w:cs="Times New Roman"/>
          <w:sz w:val="28"/>
          <w:szCs w:val="28"/>
        </w:rPr>
      </w:pPr>
    </w:p>
    <w:p w14:paraId="62918ABD" w14:textId="77777777" w:rsidR="00A23BBF" w:rsidRDefault="00C609B3" w:rsidP="0003161A">
      <w:pPr>
        <w:pStyle w:val="Bodytext41"/>
        <w:spacing w:line="240" w:lineRule="auto"/>
        <w:ind w:firstLine="0"/>
        <w:rPr>
          <w:sz w:val="24"/>
          <w:szCs w:val="24"/>
        </w:rPr>
      </w:pPr>
      <w:r w:rsidRPr="00B632D8">
        <w:rPr>
          <w:sz w:val="24"/>
          <w:szCs w:val="24"/>
        </w:rPr>
        <w:t>An Act relating to the Pocklington Reef Islands.</w:t>
      </w:r>
    </w:p>
    <w:p w14:paraId="6434459E" w14:textId="77777777" w:rsidR="0003161A" w:rsidRPr="00B632D8" w:rsidRDefault="0003161A" w:rsidP="0003161A">
      <w:pPr>
        <w:pStyle w:val="Bodytext41"/>
        <w:spacing w:line="240" w:lineRule="auto"/>
        <w:ind w:firstLine="0"/>
        <w:rPr>
          <w:sz w:val="24"/>
          <w:szCs w:val="24"/>
        </w:rPr>
      </w:pPr>
    </w:p>
    <w:p w14:paraId="445FA161" w14:textId="77777777" w:rsidR="00A23BBF" w:rsidRPr="00B632D8" w:rsidRDefault="00C609B3" w:rsidP="0003161A">
      <w:pPr>
        <w:pStyle w:val="Bodytext41"/>
        <w:spacing w:after="60" w:line="240" w:lineRule="auto"/>
        <w:ind w:firstLine="274"/>
        <w:jc w:val="left"/>
        <w:rPr>
          <w:sz w:val="24"/>
          <w:szCs w:val="24"/>
        </w:rPr>
      </w:pPr>
      <w:r w:rsidRPr="00B632D8">
        <w:rPr>
          <w:sz w:val="24"/>
          <w:szCs w:val="24"/>
        </w:rPr>
        <w:t>WHEREAS the Pocklington Reef Islands, being all of the islands lying between the parallels 10 degrees 30 minutes and 11 degrees South Latitude and between the meridians 155 and 156 degrees East Longitude, are territory acquired by Australia:</w:t>
      </w:r>
    </w:p>
    <w:p w14:paraId="23BEDE0E" w14:textId="77777777" w:rsidR="00A23BBF" w:rsidRPr="00B632D8" w:rsidRDefault="00C609B3" w:rsidP="0003161A">
      <w:pPr>
        <w:pStyle w:val="Bodytext41"/>
        <w:spacing w:after="60" w:line="240" w:lineRule="auto"/>
        <w:ind w:firstLine="274"/>
        <w:jc w:val="left"/>
        <w:rPr>
          <w:sz w:val="24"/>
          <w:szCs w:val="24"/>
        </w:rPr>
      </w:pPr>
      <w:r w:rsidRPr="00B632D8">
        <w:rPr>
          <w:sz w:val="24"/>
          <w:szCs w:val="24"/>
        </w:rPr>
        <w:t>AND WHEREAS those islands are adjacent to the Territory of Papua:</w:t>
      </w:r>
    </w:p>
    <w:p w14:paraId="6C59946D" w14:textId="77777777" w:rsidR="00A23BBF" w:rsidRPr="00B632D8" w:rsidRDefault="00C609B3" w:rsidP="0003161A">
      <w:pPr>
        <w:pStyle w:val="Bodytext41"/>
        <w:spacing w:after="60" w:line="240" w:lineRule="auto"/>
        <w:ind w:firstLine="274"/>
        <w:jc w:val="left"/>
        <w:rPr>
          <w:sz w:val="24"/>
          <w:szCs w:val="24"/>
        </w:rPr>
      </w:pPr>
      <w:r w:rsidRPr="00B632D8">
        <w:rPr>
          <w:sz w:val="24"/>
          <w:szCs w:val="24"/>
        </w:rPr>
        <w:t>AND WHEREAS it is desirable to make provision for the government of those islands as part of Papua New Guinea:</w:t>
      </w:r>
    </w:p>
    <w:p w14:paraId="43A01587" w14:textId="77777777" w:rsidR="00A23BBF" w:rsidRPr="00B632D8" w:rsidRDefault="00C609B3" w:rsidP="0003161A">
      <w:pPr>
        <w:pStyle w:val="Bodytext41"/>
        <w:spacing w:line="240" w:lineRule="auto"/>
        <w:ind w:firstLine="270"/>
        <w:jc w:val="left"/>
        <w:rPr>
          <w:sz w:val="24"/>
          <w:szCs w:val="24"/>
        </w:rPr>
      </w:pPr>
      <w:r w:rsidRPr="00B632D8">
        <w:rPr>
          <w:sz w:val="24"/>
          <w:szCs w:val="24"/>
        </w:rPr>
        <w:t>BE IT THEREFORE ENACTED by the Queen, the Senate and the House of Representatives of Australia, as follows:–</w:t>
      </w:r>
    </w:p>
    <w:p w14:paraId="6F66C6AA" w14:textId="77777777" w:rsidR="00D9030A" w:rsidRPr="0003161A" w:rsidRDefault="00D9030A" w:rsidP="0003161A">
      <w:pPr>
        <w:pStyle w:val="BodyText1"/>
        <w:spacing w:before="120" w:after="60" w:line="240" w:lineRule="auto"/>
        <w:ind w:firstLine="0"/>
        <w:jc w:val="left"/>
        <w:rPr>
          <w:b/>
          <w:sz w:val="20"/>
          <w:szCs w:val="20"/>
        </w:rPr>
      </w:pPr>
      <w:r w:rsidRPr="0003161A">
        <w:rPr>
          <w:rStyle w:val="Bodytext8pt"/>
          <w:b/>
          <w:sz w:val="20"/>
          <w:szCs w:val="20"/>
        </w:rPr>
        <w:t>Short title and citation.</w:t>
      </w:r>
    </w:p>
    <w:p w14:paraId="54E053CE" w14:textId="1D201580" w:rsidR="00A23BBF" w:rsidRPr="00B632D8" w:rsidRDefault="00D9030A" w:rsidP="0003161A">
      <w:pPr>
        <w:pStyle w:val="Bodytext41"/>
        <w:spacing w:after="60" w:line="240" w:lineRule="auto"/>
        <w:ind w:firstLine="274"/>
        <w:jc w:val="left"/>
        <w:rPr>
          <w:sz w:val="24"/>
          <w:szCs w:val="24"/>
        </w:rPr>
      </w:pPr>
      <w:r w:rsidRPr="0003161A">
        <w:rPr>
          <w:rStyle w:val="Bodytext4Spacing1pt"/>
          <w:b/>
          <w:spacing w:val="0"/>
          <w:sz w:val="24"/>
          <w:szCs w:val="24"/>
        </w:rPr>
        <w:t>1.</w:t>
      </w:r>
      <w:r w:rsidRPr="00B632D8">
        <w:rPr>
          <w:rStyle w:val="Bodytext4Spacing1pt"/>
          <w:spacing w:val="0"/>
          <w:sz w:val="24"/>
          <w:szCs w:val="24"/>
        </w:rPr>
        <w:t xml:space="preserve"> </w:t>
      </w:r>
      <w:r w:rsidR="00C609B3" w:rsidRPr="00B632D8">
        <w:rPr>
          <w:rStyle w:val="Bodytext4Spacing1pt"/>
          <w:spacing w:val="0"/>
          <w:sz w:val="24"/>
          <w:szCs w:val="24"/>
        </w:rPr>
        <w:t>(1)</w:t>
      </w:r>
      <w:r w:rsidR="00C609B3" w:rsidRPr="00B632D8">
        <w:rPr>
          <w:sz w:val="24"/>
          <w:szCs w:val="24"/>
        </w:rPr>
        <w:t xml:space="preserve"> This Act may be cited as the </w:t>
      </w:r>
      <w:r w:rsidR="00C609B3" w:rsidRPr="00B632D8">
        <w:rPr>
          <w:rStyle w:val="Bodytext4Italic"/>
          <w:sz w:val="24"/>
          <w:szCs w:val="24"/>
        </w:rPr>
        <w:t xml:space="preserve">Papua New Guinea Act </w:t>
      </w:r>
      <w:r w:rsidR="00C609B3" w:rsidRPr="00B632D8">
        <w:rPr>
          <w:rStyle w:val="Bodytext40"/>
          <w:sz w:val="24"/>
          <w:szCs w:val="24"/>
        </w:rPr>
        <w:t>1975</w:t>
      </w:r>
      <w:r w:rsidR="00C609B3" w:rsidRPr="00B632D8">
        <w:rPr>
          <w:rStyle w:val="Bodytext4Italic"/>
          <w:sz w:val="24"/>
          <w:szCs w:val="24"/>
        </w:rPr>
        <w:t>.</w:t>
      </w:r>
    </w:p>
    <w:p w14:paraId="3CFBDCFA" w14:textId="01726883" w:rsidR="00A23BBF" w:rsidRPr="00B632D8" w:rsidRDefault="00D9030A" w:rsidP="0003161A">
      <w:pPr>
        <w:pStyle w:val="Bodytext41"/>
        <w:spacing w:after="60" w:line="240" w:lineRule="auto"/>
        <w:ind w:firstLine="274"/>
        <w:jc w:val="left"/>
        <w:rPr>
          <w:sz w:val="24"/>
          <w:szCs w:val="24"/>
        </w:rPr>
      </w:pPr>
      <w:r w:rsidRPr="00B632D8">
        <w:rPr>
          <w:sz w:val="24"/>
          <w:szCs w:val="24"/>
        </w:rPr>
        <w:t xml:space="preserve">(2) </w:t>
      </w:r>
      <w:r w:rsidR="00C609B3" w:rsidRPr="00B632D8">
        <w:rPr>
          <w:sz w:val="24"/>
          <w:szCs w:val="24"/>
        </w:rPr>
        <w:t xml:space="preserve">The </w:t>
      </w:r>
      <w:r w:rsidR="00C609B3" w:rsidRPr="00B632D8">
        <w:rPr>
          <w:rStyle w:val="Bodytext4Italic"/>
          <w:sz w:val="24"/>
          <w:szCs w:val="24"/>
        </w:rPr>
        <w:t>Papua New Guinea Act</w:t>
      </w:r>
      <w:r w:rsidR="00C609B3" w:rsidRPr="00B632D8">
        <w:rPr>
          <w:sz w:val="24"/>
          <w:szCs w:val="24"/>
        </w:rPr>
        <w:t xml:space="preserve"> 1949-1974 is in this Act referred to as the Principal Act.</w:t>
      </w:r>
    </w:p>
    <w:p w14:paraId="2559462D" w14:textId="77777777" w:rsidR="00A23BBF" w:rsidRPr="00B632D8" w:rsidRDefault="00D9030A" w:rsidP="0003161A">
      <w:pPr>
        <w:pStyle w:val="Bodytext41"/>
        <w:spacing w:line="240" w:lineRule="auto"/>
        <w:ind w:firstLine="270"/>
        <w:jc w:val="left"/>
        <w:rPr>
          <w:sz w:val="24"/>
          <w:szCs w:val="24"/>
        </w:rPr>
      </w:pPr>
      <w:r w:rsidRPr="00B632D8">
        <w:rPr>
          <w:sz w:val="24"/>
          <w:szCs w:val="24"/>
        </w:rPr>
        <w:t xml:space="preserve">(3) </w:t>
      </w:r>
      <w:r w:rsidR="00C609B3" w:rsidRPr="00B632D8">
        <w:rPr>
          <w:sz w:val="24"/>
          <w:szCs w:val="24"/>
        </w:rPr>
        <w:t xml:space="preserve">The Principal Act, as amended by this Act, may be cited as the </w:t>
      </w:r>
      <w:r w:rsidR="00C609B3" w:rsidRPr="00B632D8">
        <w:rPr>
          <w:rStyle w:val="Bodytext4Italic"/>
          <w:sz w:val="24"/>
          <w:szCs w:val="24"/>
        </w:rPr>
        <w:t>Papua New Guinea Act</w:t>
      </w:r>
      <w:r w:rsidR="00C609B3" w:rsidRPr="00B632D8">
        <w:rPr>
          <w:sz w:val="24"/>
          <w:szCs w:val="24"/>
        </w:rPr>
        <w:t xml:space="preserve"> 1949-1975.</w:t>
      </w:r>
    </w:p>
    <w:p w14:paraId="6CE600A4" w14:textId="77777777" w:rsidR="00D9030A" w:rsidRPr="0003161A" w:rsidRDefault="00D9030A" w:rsidP="0003161A">
      <w:pPr>
        <w:pStyle w:val="BodyText1"/>
        <w:spacing w:before="120" w:after="60" w:line="240" w:lineRule="auto"/>
        <w:ind w:firstLine="0"/>
        <w:jc w:val="left"/>
        <w:rPr>
          <w:b/>
          <w:sz w:val="20"/>
          <w:szCs w:val="20"/>
        </w:rPr>
      </w:pPr>
      <w:r w:rsidRPr="0003161A">
        <w:rPr>
          <w:rStyle w:val="Bodytext8pt"/>
          <w:b/>
          <w:sz w:val="20"/>
          <w:szCs w:val="20"/>
        </w:rPr>
        <w:t>Commencement.</w:t>
      </w:r>
    </w:p>
    <w:p w14:paraId="4EB37AAE" w14:textId="72E593E8" w:rsidR="00A23BBF" w:rsidRPr="00B632D8" w:rsidRDefault="00D9030A" w:rsidP="0003161A">
      <w:pPr>
        <w:pStyle w:val="Bodytext41"/>
        <w:tabs>
          <w:tab w:val="left" w:pos="630"/>
        </w:tabs>
        <w:spacing w:after="60" w:line="240" w:lineRule="auto"/>
        <w:ind w:firstLine="274"/>
        <w:jc w:val="left"/>
        <w:rPr>
          <w:sz w:val="24"/>
          <w:szCs w:val="24"/>
        </w:rPr>
      </w:pPr>
      <w:r w:rsidRPr="0003161A">
        <w:rPr>
          <w:b/>
          <w:sz w:val="24"/>
          <w:szCs w:val="24"/>
        </w:rPr>
        <w:t>2.</w:t>
      </w:r>
      <w:r w:rsidR="0003161A">
        <w:rPr>
          <w:sz w:val="24"/>
          <w:szCs w:val="24"/>
        </w:rPr>
        <w:tab/>
      </w:r>
      <w:r w:rsidR="00C609B3" w:rsidRPr="00B632D8">
        <w:rPr>
          <w:sz w:val="24"/>
          <w:szCs w:val="24"/>
        </w:rPr>
        <w:t>This Act shall come into operation on the day on which it receives the Royal Assent.</w:t>
      </w:r>
    </w:p>
    <w:p w14:paraId="56763CA7" w14:textId="17A2D68A" w:rsidR="00A23BBF" w:rsidRPr="00B632D8" w:rsidRDefault="0003161A" w:rsidP="0003161A">
      <w:pPr>
        <w:pStyle w:val="Bodytext41"/>
        <w:tabs>
          <w:tab w:val="left" w:pos="630"/>
        </w:tabs>
        <w:spacing w:after="160" w:line="240" w:lineRule="auto"/>
        <w:ind w:firstLine="274"/>
        <w:jc w:val="left"/>
        <w:rPr>
          <w:sz w:val="24"/>
          <w:szCs w:val="24"/>
        </w:rPr>
      </w:pPr>
      <w:r w:rsidRPr="0003161A">
        <w:rPr>
          <w:b/>
          <w:sz w:val="24"/>
          <w:szCs w:val="24"/>
        </w:rPr>
        <w:t>3.</w:t>
      </w:r>
      <w:r>
        <w:rPr>
          <w:sz w:val="24"/>
          <w:szCs w:val="24"/>
        </w:rPr>
        <w:tab/>
      </w:r>
      <w:r w:rsidR="00C609B3" w:rsidRPr="00B632D8">
        <w:rPr>
          <w:sz w:val="24"/>
          <w:szCs w:val="24"/>
        </w:rPr>
        <w:t xml:space="preserve">After Part III of the Principal Act </w:t>
      </w:r>
      <w:r w:rsidR="00207FAB">
        <w:rPr>
          <w:sz w:val="24"/>
          <w:szCs w:val="24"/>
        </w:rPr>
        <w:t>the following Part is inserted:—</w:t>
      </w:r>
    </w:p>
    <w:p w14:paraId="1101AB89" w14:textId="76499C02" w:rsidR="00A23BBF" w:rsidRPr="00B632D8" w:rsidRDefault="00207FAB" w:rsidP="0003161A">
      <w:pPr>
        <w:pStyle w:val="Bodytext41"/>
        <w:spacing w:line="240" w:lineRule="auto"/>
        <w:ind w:firstLine="0"/>
        <w:rPr>
          <w:sz w:val="24"/>
          <w:szCs w:val="24"/>
        </w:rPr>
      </w:pPr>
      <w:r>
        <w:rPr>
          <w:sz w:val="24"/>
          <w:szCs w:val="24"/>
        </w:rPr>
        <w:t xml:space="preserve">“PART </w:t>
      </w:r>
      <w:proofErr w:type="spellStart"/>
      <w:r>
        <w:rPr>
          <w:sz w:val="24"/>
          <w:szCs w:val="24"/>
        </w:rPr>
        <w:t>III</w:t>
      </w:r>
      <w:r>
        <w:rPr>
          <w:smallCaps/>
          <w:sz w:val="24"/>
          <w:szCs w:val="24"/>
        </w:rPr>
        <w:t>a</w:t>
      </w:r>
      <w:proofErr w:type="spellEnd"/>
      <w:r>
        <w:rPr>
          <w:sz w:val="24"/>
          <w:szCs w:val="24"/>
        </w:rPr>
        <w:t>—</w:t>
      </w:r>
      <w:r w:rsidR="00C609B3" w:rsidRPr="00B632D8">
        <w:rPr>
          <w:sz w:val="24"/>
          <w:szCs w:val="24"/>
        </w:rPr>
        <w:t>POCKLINGTON REEF ISLANDS</w:t>
      </w:r>
    </w:p>
    <w:p w14:paraId="081E6A95" w14:textId="77777777" w:rsidR="00D9030A" w:rsidRPr="0003161A" w:rsidRDefault="00D9030A" w:rsidP="0003161A">
      <w:pPr>
        <w:pStyle w:val="BodyText1"/>
        <w:spacing w:before="120" w:after="60" w:line="240" w:lineRule="auto"/>
        <w:ind w:firstLine="0"/>
        <w:jc w:val="left"/>
        <w:rPr>
          <w:rStyle w:val="Bodytext8pt"/>
          <w:b/>
          <w:sz w:val="20"/>
          <w:szCs w:val="20"/>
        </w:rPr>
      </w:pPr>
      <w:r w:rsidRPr="0003161A">
        <w:rPr>
          <w:rStyle w:val="Bodytext8pt"/>
          <w:b/>
          <w:sz w:val="20"/>
          <w:szCs w:val="20"/>
        </w:rPr>
        <w:t>Pocklington Reef Islands.</w:t>
      </w:r>
    </w:p>
    <w:p w14:paraId="11EB985E" w14:textId="77777777" w:rsidR="00A23BBF" w:rsidRPr="00B632D8" w:rsidRDefault="00C609B3" w:rsidP="0003161A">
      <w:pPr>
        <w:pStyle w:val="Bodytext41"/>
        <w:spacing w:after="60" w:line="240" w:lineRule="auto"/>
        <w:ind w:firstLine="274"/>
        <w:jc w:val="left"/>
        <w:rPr>
          <w:sz w:val="24"/>
          <w:szCs w:val="24"/>
        </w:rPr>
      </w:pPr>
      <w:r w:rsidRPr="00B632D8">
        <w:rPr>
          <w:rStyle w:val="Bodytext4SmallCaps"/>
          <w:sz w:val="24"/>
          <w:szCs w:val="24"/>
        </w:rPr>
        <w:t>“12a.</w:t>
      </w:r>
      <w:r w:rsidRPr="00B632D8">
        <w:rPr>
          <w:sz w:val="24"/>
          <w:szCs w:val="24"/>
        </w:rPr>
        <w:t xml:space="preserve"> (1) In this section, ‘Pocklington Reef Islands’ means all of the islands lying between the parallels 10 degrees 30 minutes and 11 degrees South latitude and between the meridians 155 degrees and 156 degrees East longitude.</w:t>
      </w:r>
    </w:p>
    <w:p w14:paraId="16411782" w14:textId="77777777" w:rsidR="00A23BBF" w:rsidRPr="00B632D8" w:rsidRDefault="00C609B3" w:rsidP="0003161A">
      <w:pPr>
        <w:pStyle w:val="Bodytext41"/>
        <w:spacing w:after="60" w:line="240" w:lineRule="auto"/>
        <w:ind w:firstLine="274"/>
        <w:jc w:val="left"/>
        <w:rPr>
          <w:sz w:val="24"/>
          <w:szCs w:val="24"/>
        </w:rPr>
      </w:pPr>
      <w:r w:rsidRPr="00B632D8">
        <w:rPr>
          <w:rStyle w:val="Bodytext4Spacing1pt1"/>
          <w:spacing w:val="0"/>
          <w:sz w:val="24"/>
          <w:szCs w:val="24"/>
        </w:rPr>
        <w:t>“(2)</w:t>
      </w:r>
      <w:r w:rsidRPr="00B632D8">
        <w:rPr>
          <w:sz w:val="24"/>
          <w:szCs w:val="24"/>
        </w:rPr>
        <w:t xml:space="preserve"> The Pocklington Reef Islands shall be deemed to be annexed to, and to form part of, the Territory of Papua for all purposes, including the purposes of this Act and of all laws in force in the Territory of Papua immediately before the commencement of this section.</w:t>
      </w:r>
    </w:p>
    <w:p w14:paraId="28A2BEEF" w14:textId="2A1A7F6B" w:rsidR="00A23BBF" w:rsidRPr="00B632D8" w:rsidRDefault="00C609B3" w:rsidP="00207FAB">
      <w:pPr>
        <w:pStyle w:val="Bodytext41"/>
        <w:spacing w:line="240" w:lineRule="auto"/>
        <w:ind w:firstLine="270"/>
        <w:jc w:val="left"/>
        <w:rPr>
          <w:sz w:val="24"/>
          <w:szCs w:val="24"/>
        </w:rPr>
      </w:pPr>
      <w:r w:rsidRPr="00B632D8">
        <w:rPr>
          <w:rStyle w:val="Bodytext4Spacing1pt1"/>
          <w:spacing w:val="0"/>
          <w:sz w:val="24"/>
          <w:szCs w:val="24"/>
        </w:rPr>
        <w:t>“(3)</w:t>
      </w:r>
      <w:r w:rsidRPr="00B632D8">
        <w:rPr>
          <w:sz w:val="24"/>
          <w:szCs w:val="24"/>
        </w:rPr>
        <w:t xml:space="preserve"> The laws in force in the Pocklington Reef Islands immediately before the commencement of this section, other than laws that were, at that time, also in force in the Territory of Papua, shall, upon the</w:t>
      </w:r>
      <w:r w:rsidR="00207FAB">
        <w:rPr>
          <w:sz w:val="24"/>
          <w:szCs w:val="24"/>
        </w:rPr>
        <w:t xml:space="preserve"> </w:t>
      </w:r>
      <w:r w:rsidRPr="00B632D8">
        <w:rPr>
          <w:sz w:val="24"/>
          <w:szCs w:val="24"/>
        </w:rPr>
        <w:t>commencement of this section, cease to be in force in the Pocklington Reef Islands.”.</w:t>
      </w:r>
    </w:p>
    <w:p w14:paraId="0683AA13" w14:textId="77777777" w:rsidR="00A23BBF" w:rsidRPr="0003161A" w:rsidRDefault="00C609B3" w:rsidP="0003161A">
      <w:pPr>
        <w:pStyle w:val="BodyText1"/>
        <w:spacing w:before="120" w:after="60" w:line="240" w:lineRule="auto"/>
        <w:ind w:firstLine="0"/>
        <w:jc w:val="left"/>
        <w:rPr>
          <w:b/>
          <w:sz w:val="24"/>
          <w:szCs w:val="24"/>
        </w:rPr>
      </w:pPr>
      <w:r w:rsidRPr="0003161A">
        <w:rPr>
          <w:rStyle w:val="Bodytext8pt"/>
          <w:b/>
          <w:sz w:val="20"/>
          <w:szCs w:val="20"/>
        </w:rPr>
        <w:t>Laws relating to off-shore mineral resources</w:t>
      </w:r>
      <w:r w:rsidRPr="0003161A">
        <w:rPr>
          <w:rStyle w:val="Bodytext8pt"/>
          <w:b/>
          <w:sz w:val="24"/>
          <w:szCs w:val="24"/>
        </w:rPr>
        <w:t>.</w:t>
      </w:r>
    </w:p>
    <w:p w14:paraId="042046D0" w14:textId="616DE352" w:rsidR="00A23BBF" w:rsidRPr="00B632D8" w:rsidRDefault="00D9030A" w:rsidP="0003161A">
      <w:pPr>
        <w:pStyle w:val="Bodytext41"/>
        <w:tabs>
          <w:tab w:val="left" w:pos="630"/>
        </w:tabs>
        <w:spacing w:after="60" w:line="240" w:lineRule="auto"/>
        <w:ind w:firstLine="274"/>
        <w:jc w:val="left"/>
        <w:rPr>
          <w:sz w:val="24"/>
          <w:szCs w:val="24"/>
        </w:rPr>
      </w:pPr>
      <w:r w:rsidRPr="0003161A">
        <w:rPr>
          <w:b/>
          <w:sz w:val="24"/>
          <w:szCs w:val="24"/>
        </w:rPr>
        <w:t>4.</w:t>
      </w:r>
      <w:r w:rsidR="0003161A">
        <w:rPr>
          <w:sz w:val="24"/>
          <w:szCs w:val="24"/>
        </w:rPr>
        <w:tab/>
      </w:r>
      <w:r w:rsidR="00A90EFB">
        <w:rPr>
          <w:sz w:val="24"/>
          <w:szCs w:val="24"/>
        </w:rPr>
        <w:t>Section 52</w:t>
      </w:r>
      <w:r w:rsidR="00C609B3" w:rsidRPr="00BF1978">
        <w:rPr>
          <w:smallCaps/>
          <w:sz w:val="24"/>
          <w:szCs w:val="24"/>
        </w:rPr>
        <w:t>a</w:t>
      </w:r>
      <w:r w:rsidR="00C609B3" w:rsidRPr="00B632D8">
        <w:rPr>
          <w:sz w:val="24"/>
          <w:szCs w:val="24"/>
        </w:rPr>
        <w:t xml:space="preserve"> </w:t>
      </w:r>
      <w:r w:rsidR="00207FAB">
        <w:rPr>
          <w:sz w:val="24"/>
          <w:szCs w:val="24"/>
        </w:rPr>
        <w:t>of the Principal Act is amended—</w:t>
      </w:r>
    </w:p>
    <w:p w14:paraId="65495DF8" w14:textId="77777777" w:rsidR="00A23BBF" w:rsidRPr="00B632D8" w:rsidRDefault="00D9030A" w:rsidP="0003161A">
      <w:pPr>
        <w:pStyle w:val="Bodytext41"/>
        <w:spacing w:after="60" w:line="240" w:lineRule="auto"/>
        <w:ind w:firstLine="274"/>
        <w:jc w:val="left"/>
        <w:rPr>
          <w:sz w:val="24"/>
          <w:szCs w:val="24"/>
        </w:rPr>
      </w:pPr>
      <w:r w:rsidRPr="00B632D8">
        <w:rPr>
          <w:sz w:val="24"/>
          <w:szCs w:val="24"/>
        </w:rPr>
        <w:t xml:space="preserve">(a) </w:t>
      </w:r>
      <w:r w:rsidR="00C609B3" w:rsidRPr="00B632D8">
        <w:rPr>
          <w:sz w:val="24"/>
          <w:szCs w:val="24"/>
        </w:rPr>
        <w:t>by omitting from sub-section (1) the definition of “off-shore area”; and</w:t>
      </w:r>
    </w:p>
    <w:p w14:paraId="4AA6ED14" w14:textId="6AA9ABDD" w:rsidR="00A23BBF" w:rsidRPr="00B632D8" w:rsidRDefault="00D9030A" w:rsidP="0003161A">
      <w:pPr>
        <w:pStyle w:val="Bodytext41"/>
        <w:spacing w:after="60" w:line="240" w:lineRule="auto"/>
        <w:ind w:firstLine="274"/>
        <w:jc w:val="left"/>
        <w:rPr>
          <w:sz w:val="24"/>
          <w:szCs w:val="24"/>
        </w:rPr>
      </w:pPr>
      <w:r w:rsidRPr="00B632D8">
        <w:rPr>
          <w:sz w:val="24"/>
          <w:szCs w:val="24"/>
        </w:rPr>
        <w:t xml:space="preserve">(b) </w:t>
      </w:r>
      <w:r w:rsidR="00C609B3" w:rsidRPr="00B632D8">
        <w:rPr>
          <w:sz w:val="24"/>
          <w:szCs w:val="24"/>
        </w:rPr>
        <w:t>by inserting after sub-section</w:t>
      </w:r>
      <w:r w:rsidR="00207FAB">
        <w:rPr>
          <w:sz w:val="24"/>
          <w:szCs w:val="24"/>
        </w:rPr>
        <w:t xml:space="preserve"> (1) the following sub-section:—</w:t>
      </w:r>
    </w:p>
    <w:p w14:paraId="00E1E705" w14:textId="042777DB" w:rsidR="00A23BBF" w:rsidRPr="00B632D8" w:rsidRDefault="00C609B3" w:rsidP="0003161A">
      <w:pPr>
        <w:pStyle w:val="Bodytext41"/>
        <w:spacing w:after="60" w:line="240" w:lineRule="auto"/>
        <w:ind w:firstLine="806"/>
        <w:jc w:val="left"/>
        <w:rPr>
          <w:sz w:val="24"/>
          <w:szCs w:val="24"/>
        </w:rPr>
      </w:pPr>
      <w:r w:rsidRPr="00B632D8">
        <w:rPr>
          <w:rStyle w:val="Bodytext4Spacing1pt"/>
          <w:spacing w:val="0"/>
          <w:sz w:val="24"/>
          <w:szCs w:val="24"/>
        </w:rPr>
        <w:t>“(</w:t>
      </w:r>
      <w:r w:rsidR="00D9030A" w:rsidRPr="00B632D8">
        <w:rPr>
          <w:rStyle w:val="Bodytext4Spacing1pt"/>
          <w:spacing w:val="0"/>
          <w:sz w:val="24"/>
          <w:szCs w:val="24"/>
        </w:rPr>
        <w:t>1</w:t>
      </w:r>
      <w:r w:rsidR="00207FAB">
        <w:rPr>
          <w:rStyle w:val="Bodytext4Spacing1pt"/>
          <w:smallCaps/>
          <w:spacing w:val="0"/>
          <w:sz w:val="24"/>
          <w:szCs w:val="24"/>
        </w:rPr>
        <w:t>a</w:t>
      </w:r>
      <w:r w:rsidRPr="00B632D8">
        <w:rPr>
          <w:rStyle w:val="Bodytext4Spacing1pt"/>
          <w:spacing w:val="0"/>
          <w:sz w:val="24"/>
          <w:szCs w:val="24"/>
        </w:rPr>
        <w:t>)</w:t>
      </w:r>
      <w:r w:rsidRPr="00B632D8">
        <w:rPr>
          <w:sz w:val="24"/>
          <w:szCs w:val="24"/>
        </w:rPr>
        <w:t xml:space="preserve"> A reference in this section to the off-shore area is a reference to </w:t>
      </w:r>
      <w:r w:rsidR="00207FAB">
        <w:rPr>
          <w:sz w:val="24"/>
          <w:szCs w:val="24"/>
        </w:rPr>
        <w:t>the sea-bed and subsoil beneath—</w:t>
      </w:r>
    </w:p>
    <w:p w14:paraId="75685A9E" w14:textId="3743FA30" w:rsidR="00A23BBF" w:rsidRPr="00B632D8" w:rsidRDefault="00D9030A" w:rsidP="0003161A">
      <w:pPr>
        <w:pStyle w:val="Bodytext41"/>
        <w:spacing w:after="60" w:line="240" w:lineRule="auto"/>
        <w:ind w:firstLine="806"/>
        <w:jc w:val="left"/>
        <w:rPr>
          <w:sz w:val="24"/>
          <w:szCs w:val="24"/>
        </w:rPr>
      </w:pPr>
      <w:r w:rsidRPr="00B632D8">
        <w:rPr>
          <w:sz w:val="24"/>
          <w:szCs w:val="24"/>
        </w:rPr>
        <w:t xml:space="preserve">(a) </w:t>
      </w:r>
      <w:r w:rsidR="00C609B3" w:rsidRPr="00B632D8">
        <w:rPr>
          <w:sz w:val="24"/>
          <w:szCs w:val="24"/>
        </w:rPr>
        <w:t xml:space="preserve">the </w:t>
      </w:r>
      <w:r w:rsidR="00207FAB">
        <w:rPr>
          <w:sz w:val="24"/>
          <w:szCs w:val="24"/>
        </w:rPr>
        <w:t>waters of—</w:t>
      </w:r>
    </w:p>
    <w:p w14:paraId="3F695B42" w14:textId="77777777" w:rsidR="00A23BBF" w:rsidRPr="00B632D8" w:rsidRDefault="00D9030A" w:rsidP="0003161A">
      <w:pPr>
        <w:pStyle w:val="Bodytext41"/>
        <w:spacing w:after="60" w:line="240" w:lineRule="auto"/>
        <w:ind w:firstLine="1354"/>
        <w:jc w:val="left"/>
        <w:rPr>
          <w:sz w:val="24"/>
          <w:szCs w:val="24"/>
        </w:rPr>
      </w:pPr>
      <w:r w:rsidRPr="00B632D8">
        <w:rPr>
          <w:sz w:val="24"/>
          <w:szCs w:val="24"/>
        </w:rPr>
        <w:t xml:space="preserve">(i) </w:t>
      </w:r>
      <w:r w:rsidR="00C609B3" w:rsidRPr="00B632D8">
        <w:rPr>
          <w:sz w:val="24"/>
          <w:szCs w:val="24"/>
        </w:rPr>
        <w:t>the territorial sea appertaining to the Territory of Papua; and</w:t>
      </w:r>
    </w:p>
    <w:p w14:paraId="47DEBBBB" w14:textId="77777777" w:rsidR="00A23BBF" w:rsidRPr="00B632D8" w:rsidRDefault="00D9030A" w:rsidP="0003161A">
      <w:pPr>
        <w:pStyle w:val="Bodytext41"/>
        <w:spacing w:after="60" w:line="240" w:lineRule="auto"/>
        <w:ind w:firstLine="1354"/>
        <w:jc w:val="left"/>
        <w:rPr>
          <w:sz w:val="24"/>
          <w:szCs w:val="24"/>
        </w:rPr>
      </w:pPr>
      <w:r w:rsidRPr="00B632D8">
        <w:rPr>
          <w:sz w:val="24"/>
          <w:szCs w:val="24"/>
        </w:rPr>
        <w:t xml:space="preserve">(ii) </w:t>
      </w:r>
      <w:r w:rsidR="00C609B3" w:rsidRPr="00B632D8">
        <w:rPr>
          <w:sz w:val="24"/>
          <w:szCs w:val="24"/>
        </w:rPr>
        <w:t>the territorial sea appertaining to the Territory of New Guinea; and</w:t>
      </w:r>
    </w:p>
    <w:p w14:paraId="46D4DD15" w14:textId="77777777" w:rsidR="00A23BBF" w:rsidRPr="00B632D8" w:rsidRDefault="00D9030A" w:rsidP="0003161A">
      <w:pPr>
        <w:pStyle w:val="Bodytext41"/>
        <w:spacing w:after="60" w:line="240" w:lineRule="auto"/>
        <w:ind w:firstLine="806"/>
        <w:jc w:val="left"/>
        <w:rPr>
          <w:sz w:val="24"/>
          <w:szCs w:val="24"/>
        </w:rPr>
      </w:pPr>
      <w:r w:rsidRPr="00B632D8">
        <w:rPr>
          <w:sz w:val="24"/>
          <w:szCs w:val="24"/>
        </w:rPr>
        <w:t xml:space="preserve">(b) </w:t>
      </w:r>
      <w:r w:rsidR="00C609B3" w:rsidRPr="00B632D8">
        <w:rPr>
          <w:sz w:val="24"/>
          <w:szCs w:val="24"/>
        </w:rPr>
        <w:t>the superjacent waters of the continental shelf of each of those Territories,</w:t>
      </w:r>
    </w:p>
    <w:p w14:paraId="6F325AE6" w14:textId="77777777" w:rsidR="00A23BBF" w:rsidRDefault="00C609B3" w:rsidP="0003161A">
      <w:pPr>
        <w:pStyle w:val="Bodytext41"/>
        <w:spacing w:line="240" w:lineRule="auto"/>
        <w:ind w:firstLine="0"/>
        <w:jc w:val="left"/>
        <w:rPr>
          <w:sz w:val="24"/>
          <w:szCs w:val="24"/>
        </w:rPr>
      </w:pPr>
      <w:r w:rsidRPr="00B632D8">
        <w:rPr>
          <w:sz w:val="24"/>
          <w:szCs w:val="24"/>
        </w:rPr>
        <w:t xml:space="preserve">but, for the purposes of this sub-section, those waters shall not be taken to include waters to which, immediately before the commencement of this sub-section, the </w:t>
      </w:r>
      <w:r w:rsidRPr="00B632D8">
        <w:rPr>
          <w:rStyle w:val="Bodytext4Italic"/>
          <w:sz w:val="24"/>
          <w:szCs w:val="24"/>
        </w:rPr>
        <w:t>Petroleum (Submerged Lands) Act</w:t>
      </w:r>
      <w:r w:rsidRPr="00B632D8">
        <w:rPr>
          <w:sz w:val="24"/>
          <w:szCs w:val="24"/>
        </w:rPr>
        <w:t xml:space="preserve"> 1967-1974 applied.”.</w:t>
      </w:r>
    </w:p>
    <w:p w14:paraId="2501CC33" w14:textId="77777777" w:rsidR="0003161A" w:rsidRPr="00B632D8" w:rsidRDefault="0003161A" w:rsidP="0003161A">
      <w:pPr>
        <w:pStyle w:val="Bodytext41"/>
        <w:pBdr>
          <w:bottom w:val="single" w:sz="18" w:space="1" w:color="auto"/>
        </w:pBdr>
        <w:spacing w:after="160" w:line="240" w:lineRule="auto"/>
        <w:ind w:firstLine="0"/>
        <w:jc w:val="left"/>
        <w:rPr>
          <w:sz w:val="24"/>
          <w:szCs w:val="24"/>
        </w:rPr>
      </w:pPr>
    </w:p>
    <w:sectPr w:rsidR="0003161A" w:rsidRPr="00B632D8" w:rsidSect="00A87280">
      <w:headerReference w:type="even" r:id="rId7"/>
      <w:type w:val="continuous"/>
      <w:pgSz w:w="11909" w:h="18000" w:code="9"/>
      <w:pgMar w:top="1080" w:right="1080" w:bottom="1080" w:left="1080" w:header="540" w:footer="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B253D9" w14:textId="77777777" w:rsidR="00D34E0A" w:rsidRDefault="00D34E0A">
      <w:r>
        <w:separator/>
      </w:r>
    </w:p>
  </w:endnote>
  <w:endnote w:type="continuationSeparator" w:id="0">
    <w:p w14:paraId="0258FAC0" w14:textId="77777777" w:rsidR="00D34E0A" w:rsidRDefault="00D34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592C3C" w14:textId="77777777" w:rsidR="00D34E0A" w:rsidRDefault="00D34E0A">
      <w:r>
        <w:separator/>
      </w:r>
    </w:p>
  </w:footnote>
  <w:footnote w:type="continuationSeparator" w:id="0">
    <w:p w14:paraId="62DD18A3" w14:textId="77777777" w:rsidR="00D34E0A" w:rsidRDefault="00D34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6B2F5A" w14:textId="77777777" w:rsidR="00A87280" w:rsidRPr="00A87280" w:rsidRDefault="00A87280">
    <w:pPr>
      <w:pStyle w:val="Header"/>
      <w:rPr>
        <w:rFonts w:ascii="Times New Roman" w:hAnsi="Times New Roman" w:cs="Times New Roman"/>
        <w:sz w:val="22"/>
        <w:szCs w:val="22"/>
        <w:lang w:val="en-IN"/>
      </w:rPr>
    </w:pPr>
    <w:r w:rsidRPr="00A87280">
      <w:rPr>
        <w:rFonts w:ascii="Times New Roman" w:hAnsi="Times New Roman" w:cs="Times New Roman"/>
        <w:sz w:val="22"/>
        <w:szCs w:val="22"/>
        <w:lang w:val="en-IN"/>
      </w:rPr>
      <w:t>1975</w:t>
    </w:r>
    <w:r w:rsidRPr="00A87280">
      <w:rPr>
        <w:rFonts w:ascii="Times New Roman" w:hAnsi="Times New Roman" w:cs="Times New Roman"/>
        <w:sz w:val="22"/>
        <w:szCs w:val="22"/>
        <w:lang w:val="en-IN"/>
      </w:rPr>
      <w:tab/>
    </w:r>
    <w:r w:rsidRPr="00A87280">
      <w:rPr>
        <w:rFonts w:ascii="Times New Roman" w:hAnsi="Times New Roman" w:cs="Times New Roman"/>
        <w:i/>
        <w:sz w:val="22"/>
        <w:szCs w:val="22"/>
        <w:lang w:val="en-IN"/>
      </w:rPr>
      <w:t>Papua New Guinea</w:t>
    </w:r>
    <w:r w:rsidRPr="00A87280">
      <w:rPr>
        <w:rFonts w:ascii="Times New Roman" w:hAnsi="Times New Roman" w:cs="Times New Roman"/>
        <w:sz w:val="22"/>
        <w:szCs w:val="22"/>
        <w:lang w:val="en-IN"/>
      </w:rPr>
      <w:tab/>
      <w:t>No.97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A00C9"/>
    <w:multiLevelType w:val="multilevel"/>
    <w:tmpl w:val="831C4A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C143260"/>
    <w:multiLevelType w:val="multilevel"/>
    <w:tmpl w:val="8A26680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A742B8C"/>
    <w:multiLevelType w:val="multilevel"/>
    <w:tmpl w:val="BF4C6B2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7501C49"/>
    <w:multiLevelType w:val="multilevel"/>
    <w:tmpl w:val="9B3239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94B7466"/>
    <w:multiLevelType w:val="multilevel"/>
    <w:tmpl w:val="7030711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1C9439C"/>
    <w:multiLevelType w:val="multilevel"/>
    <w:tmpl w:val="1556CB8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A23BBF"/>
    <w:rsid w:val="0003161A"/>
    <w:rsid w:val="00080C7F"/>
    <w:rsid w:val="000C4996"/>
    <w:rsid w:val="00207FAB"/>
    <w:rsid w:val="00540E7B"/>
    <w:rsid w:val="00636E60"/>
    <w:rsid w:val="00853A64"/>
    <w:rsid w:val="00A23BBF"/>
    <w:rsid w:val="00A82757"/>
    <w:rsid w:val="00A87280"/>
    <w:rsid w:val="00A90EFB"/>
    <w:rsid w:val="00AD4F70"/>
    <w:rsid w:val="00B632D8"/>
    <w:rsid w:val="00BF1978"/>
    <w:rsid w:val="00C609B3"/>
    <w:rsid w:val="00CF2A0F"/>
    <w:rsid w:val="00D34E0A"/>
    <w:rsid w:val="00D90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4B91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
    <w:name w:val="Body text_"/>
    <w:basedOn w:val="DefaultParagraphFont"/>
    <w:link w:val="BodyText1"/>
    <w:rPr>
      <w:rFonts w:ascii="Times New Roman" w:eastAsia="Times New Roman" w:hAnsi="Times New Roman" w:cs="Times New Roman"/>
      <w:b w:val="0"/>
      <w:bCs w:val="0"/>
      <w:i w:val="0"/>
      <w:iCs w:val="0"/>
      <w:smallCaps w:val="0"/>
      <w:strike w:val="0"/>
      <w:sz w:val="22"/>
      <w:szCs w:val="22"/>
      <w:u w:val="none"/>
    </w:rPr>
  </w:style>
  <w:style w:type="character" w:customStyle="1" w:styleId="Bodytext8pt">
    <w:name w:val="Body text + 8 pt"/>
    <w:basedOn w:val="Bodytex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Heading1">
    <w:name w:val="Heading #1_"/>
    <w:basedOn w:val="DefaultParagraphFont"/>
    <w:link w:val="Heading10"/>
    <w:rPr>
      <w:rFonts w:ascii="Arial" w:eastAsia="Arial" w:hAnsi="Arial" w:cs="Arial"/>
      <w:b/>
      <w:bCs/>
      <w:i w:val="0"/>
      <w:iCs w:val="0"/>
      <w:smallCaps w:val="0"/>
      <w:strike w:val="0"/>
      <w:sz w:val="27"/>
      <w:szCs w:val="27"/>
      <w:u w:val="none"/>
    </w:rPr>
  </w:style>
  <w:style w:type="character" w:customStyle="1" w:styleId="Heading1NotBold">
    <w:name w:val="Heading #1 + Not Bold"/>
    <w:basedOn w:val="Heading1"/>
    <w:rPr>
      <w:rFonts w:ascii="Arial" w:eastAsia="Arial" w:hAnsi="Arial" w:cs="Arial"/>
      <w:b/>
      <w:bCs/>
      <w:i w:val="0"/>
      <w:iCs w:val="0"/>
      <w:smallCaps w:val="0"/>
      <w:strike w:val="0"/>
      <w:color w:val="000000"/>
      <w:spacing w:val="0"/>
      <w:w w:val="100"/>
      <w:position w:val="0"/>
      <w:sz w:val="27"/>
      <w:szCs w:val="27"/>
      <w:u w:val="none"/>
      <w:lang w:val="en-US"/>
    </w:rPr>
  </w:style>
  <w:style w:type="character" w:customStyle="1" w:styleId="Heading2">
    <w:name w:val="Heading #2_"/>
    <w:basedOn w:val="DefaultParagraphFont"/>
    <w:link w:val="Heading20"/>
    <w:rPr>
      <w:rFonts w:ascii="Arial" w:eastAsia="Arial" w:hAnsi="Arial" w:cs="Arial"/>
      <w:b/>
      <w:bCs/>
      <w:i w:val="0"/>
      <w:iCs w:val="0"/>
      <w:smallCaps w:val="0"/>
      <w:strike w:val="0"/>
      <w:sz w:val="27"/>
      <w:szCs w:val="27"/>
      <w:u w:val="none"/>
    </w:rPr>
  </w:style>
  <w:style w:type="character" w:customStyle="1" w:styleId="Heading2NotBold">
    <w:name w:val="Heading #2 + Not Bold"/>
    <w:basedOn w:val="Heading2"/>
    <w:rPr>
      <w:rFonts w:ascii="Arial" w:eastAsia="Arial" w:hAnsi="Arial" w:cs="Arial"/>
      <w:b/>
      <w:bCs/>
      <w:i w:val="0"/>
      <w:iCs w:val="0"/>
      <w:smallCaps w:val="0"/>
      <w:strike w:val="0"/>
      <w:color w:val="000000"/>
      <w:spacing w:val="0"/>
      <w:w w:val="100"/>
      <w:position w:val="0"/>
      <w:sz w:val="27"/>
      <w:szCs w:val="27"/>
      <w:u w:val="none"/>
      <w:lang w:val="en-US"/>
    </w:rPr>
  </w:style>
  <w:style w:type="character" w:customStyle="1" w:styleId="Bodytext4">
    <w:name w:val="Body text (4)_"/>
    <w:basedOn w:val="DefaultParagraphFont"/>
    <w:link w:val="Bodytext41"/>
    <w:rPr>
      <w:rFonts w:ascii="Times New Roman" w:eastAsia="Times New Roman" w:hAnsi="Times New Roman" w:cs="Times New Roman"/>
      <w:b w:val="0"/>
      <w:bCs w:val="0"/>
      <w:i w:val="0"/>
      <w:iCs w:val="0"/>
      <w:smallCaps w:val="0"/>
      <w:strike w:val="0"/>
      <w:sz w:val="22"/>
      <w:szCs w:val="22"/>
      <w:u w:val="none"/>
    </w:rPr>
  </w:style>
  <w:style w:type="character" w:customStyle="1" w:styleId="Bodytext4Spacing1pt">
    <w:name w:val="Body text (4) + Spacing 1 pt"/>
    <w:basedOn w:val="Bodytext4"/>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en-US"/>
    </w:rPr>
  </w:style>
  <w:style w:type="character" w:customStyle="1" w:styleId="Bodytext4Italic">
    <w:name w:val="Body text (4) + Italic"/>
    <w:basedOn w:val="Bodytext4"/>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40">
    <w:name w:val="Body text (4)"/>
    <w:basedOn w:val="Bodytext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4SmallCaps">
    <w:name w:val="Body text (4) + Small Caps"/>
    <w:basedOn w:val="Bodytext4"/>
    <w:rPr>
      <w:rFonts w:ascii="Times New Roman" w:eastAsia="Times New Roman" w:hAnsi="Times New Roman" w:cs="Times New Roman"/>
      <w:b w:val="0"/>
      <w:bCs w:val="0"/>
      <w:i w:val="0"/>
      <w:iCs w:val="0"/>
      <w:smallCaps/>
      <w:strike w:val="0"/>
      <w:color w:val="000000"/>
      <w:spacing w:val="0"/>
      <w:w w:val="100"/>
      <w:position w:val="0"/>
      <w:sz w:val="22"/>
      <w:szCs w:val="22"/>
      <w:u w:val="none"/>
      <w:lang w:val="en-US"/>
    </w:rPr>
  </w:style>
  <w:style w:type="character" w:customStyle="1" w:styleId="Bodytext4Spacing1pt1">
    <w:name w:val="Body text (4) + Spacing 1 pt1"/>
    <w:basedOn w:val="Bodytext4"/>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en-US"/>
    </w:rPr>
  </w:style>
  <w:style w:type="character" w:customStyle="1" w:styleId="Bodytext3">
    <w:name w:val="Body text (3)_"/>
    <w:basedOn w:val="DefaultParagraphFont"/>
    <w:link w:val="Bodytext30"/>
    <w:rPr>
      <w:rFonts w:ascii="Times New Roman" w:eastAsia="Times New Roman" w:hAnsi="Times New Roman" w:cs="Times New Roman"/>
      <w:b w:val="0"/>
      <w:bCs w:val="0"/>
      <w:i/>
      <w:iCs/>
      <w:smallCaps w:val="0"/>
      <w:strike w:val="0"/>
      <w:sz w:val="22"/>
      <w:szCs w:val="22"/>
      <w:u w:val="none"/>
    </w:rPr>
  </w:style>
  <w:style w:type="character" w:customStyle="1" w:styleId="Bodytext3NotItalic">
    <w:name w:val="Body text (3) + Not Italic"/>
    <w:basedOn w:val="Bodytext3"/>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42">
    <w:name w:val="Body text (4)2"/>
    <w:basedOn w:val="Bodytext4"/>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Bodytext495pt">
    <w:name w:val="Body text (4) + 9.5 pt"/>
    <w:basedOn w:val="Bodytext4"/>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style>
  <w:style w:type="character" w:customStyle="1" w:styleId="Bodytext5">
    <w:name w:val="Body text (5)_"/>
    <w:basedOn w:val="DefaultParagraphFont"/>
    <w:link w:val="Bodytext50"/>
    <w:rPr>
      <w:rFonts w:ascii="Times New Roman" w:eastAsia="Times New Roman" w:hAnsi="Times New Roman" w:cs="Times New Roman"/>
      <w:b w:val="0"/>
      <w:bCs w:val="0"/>
      <w:i w:val="0"/>
      <w:iCs w:val="0"/>
      <w:smallCaps w:val="0"/>
      <w:strike w:val="0"/>
      <w:sz w:val="19"/>
      <w:szCs w:val="19"/>
      <w:u w:val="none"/>
    </w:rPr>
  </w:style>
  <w:style w:type="paragraph" w:customStyle="1" w:styleId="BodyText1">
    <w:name w:val="Body Text1"/>
    <w:basedOn w:val="Normal"/>
    <w:link w:val="Bodytext"/>
    <w:pPr>
      <w:spacing w:line="0" w:lineRule="atLeast"/>
      <w:ind w:hanging="600"/>
      <w:jc w:val="center"/>
    </w:pPr>
    <w:rPr>
      <w:rFonts w:ascii="Times New Roman" w:eastAsia="Times New Roman" w:hAnsi="Times New Roman" w:cs="Times New Roman"/>
      <w:sz w:val="22"/>
      <w:szCs w:val="22"/>
    </w:rPr>
  </w:style>
  <w:style w:type="paragraph" w:customStyle="1" w:styleId="Heading10">
    <w:name w:val="Heading #1"/>
    <w:basedOn w:val="Normal"/>
    <w:link w:val="Heading1"/>
    <w:pPr>
      <w:spacing w:line="0" w:lineRule="atLeast"/>
      <w:jc w:val="center"/>
      <w:outlineLvl w:val="0"/>
    </w:pPr>
    <w:rPr>
      <w:rFonts w:ascii="Arial" w:eastAsia="Arial" w:hAnsi="Arial" w:cs="Arial"/>
      <w:b/>
      <w:bCs/>
      <w:sz w:val="27"/>
      <w:szCs w:val="27"/>
    </w:rPr>
  </w:style>
  <w:style w:type="paragraph" w:customStyle="1" w:styleId="Heading20">
    <w:name w:val="Heading #2"/>
    <w:basedOn w:val="Normal"/>
    <w:link w:val="Heading2"/>
    <w:pPr>
      <w:spacing w:line="0" w:lineRule="atLeast"/>
      <w:jc w:val="center"/>
      <w:outlineLvl w:val="1"/>
    </w:pPr>
    <w:rPr>
      <w:rFonts w:ascii="Arial" w:eastAsia="Arial" w:hAnsi="Arial" w:cs="Arial"/>
      <w:b/>
      <w:bCs/>
      <w:sz w:val="27"/>
      <w:szCs w:val="27"/>
    </w:rPr>
  </w:style>
  <w:style w:type="paragraph" w:customStyle="1" w:styleId="Bodytext41">
    <w:name w:val="Body text (4)1"/>
    <w:basedOn w:val="Normal"/>
    <w:link w:val="Bodytext4"/>
    <w:pPr>
      <w:spacing w:line="0" w:lineRule="atLeast"/>
      <w:ind w:hanging="600"/>
      <w:jc w:val="center"/>
    </w:pPr>
    <w:rPr>
      <w:rFonts w:ascii="Times New Roman" w:eastAsia="Times New Roman" w:hAnsi="Times New Roman" w:cs="Times New Roman"/>
      <w:sz w:val="22"/>
      <w:szCs w:val="22"/>
    </w:rPr>
  </w:style>
  <w:style w:type="paragraph" w:customStyle="1" w:styleId="Bodytext30">
    <w:name w:val="Body text (3)"/>
    <w:basedOn w:val="Normal"/>
    <w:link w:val="Bodytext3"/>
    <w:pPr>
      <w:spacing w:line="0" w:lineRule="atLeast"/>
    </w:pPr>
    <w:rPr>
      <w:rFonts w:ascii="Times New Roman" w:eastAsia="Times New Roman" w:hAnsi="Times New Roman" w:cs="Times New Roman"/>
      <w:i/>
      <w:iCs/>
      <w:sz w:val="22"/>
      <w:szCs w:val="22"/>
    </w:rPr>
  </w:style>
  <w:style w:type="paragraph" w:customStyle="1" w:styleId="Bodytext50">
    <w:name w:val="Body text (5)"/>
    <w:basedOn w:val="Normal"/>
    <w:link w:val="Bodytext5"/>
    <w:pPr>
      <w:spacing w:line="0" w:lineRule="atLeast"/>
      <w:ind w:hanging="320"/>
      <w:jc w:val="both"/>
    </w:pPr>
    <w:rPr>
      <w:rFonts w:ascii="Times New Roman" w:eastAsia="Times New Roman" w:hAnsi="Times New Roman" w:cs="Times New Roman"/>
      <w:sz w:val="19"/>
      <w:szCs w:val="19"/>
    </w:rPr>
  </w:style>
  <w:style w:type="paragraph" w:styleId="Header">
    <w:name w:val="header"/>
    <w:basedOn w:val="Normal"/>
    <w:link w:val="HeaderChar"/>
    <w:uiPriority w:val="99"/>
    <w:unhideWhenUsed/>
    <w:rsid w:val="00A87280"/>
    <w:pPr>
      <w:tabs>
        <w:tab w:val="center" w:pos="4513"/>
        <w:tab w:val="right" w:pos="9026"/>
      </w:tabs>
    </w:pPr>
  </w:style>
  <w:style w:type="character" w:customStyle="1" w:styleId="HeaderChar">
    <w:name w:val="Header Char"/>
    <w:basedOn w:val="DefaultParagraphFont"/>
    <w:link w:val="Header"/>
    <w:uiPriority w:val="99"/>
    <w:rsid w:val="00A87280"/>
    <w:rPr>
      <w:color w:val="000000"/>
    </w:rPr>
  </w:style>
  <w:style w:type="paragraph" w:styleId="Footer">
    <w:name w:val="footer"/>
    <w:basedOn w:val="Normal"/>
    <w:link w:val="FooterChar"/>
    <w:uiPriority w:val="99"/>
    <w:unhideWhenUsed/>
    <w:rsid w:val="00A87280"/>
    <w:pPr>
      <w:tabs>
        <w:tab w:val="center" w:pos="4513"/>
        <w:tab w:val="right" w:pos="9026"/>
      </w:tabs>
    </w:pPr>
  </w:style>
  <w:style w:type="character" w:customStyle="1" w:styleId="FooterChar">
    <w:name w:val="Footer Char"/>
    <w:basedOn w:val="DefaultParagraphFont"/>
    <w:link w:val="Footer"/>
    <w:uiPriority w:val="99"/>
    <w:rsid w:val="00A87280"/>
    <w:rPr>
      <w:color w:val="000000"/>
    </w:rPr>
  </w:style>
  <w:style w:type="character" w:styleId="CommentReference">
    <w:name w:val="annotation reference"/>
    <w:basedOn w:val="DefaultParagraphFont"/>
    <w:uiPriority w:val="99"/>
    <w:semiHidden/>
    <w:unhideWhenUsed/>
    <w:rsid w:val="00540E7B"/>
    <w:rPr>
      <w:sz w:val="16"/>
      <w:szCs w:val="16"/>
    </w:rPr>
  </w:style>
  <w:style w:type="paragraph" w:styleId="CommentText">
    <w:name w:val="annotation text"/>
    <w:basedOn w:val="Normal"/>
    <w:link w:val="CommentTextChar"/>
    <w:uiPriority w:val="99"/>
    <w:semiHidden/>
    <w:unhideWhenUsed/>
    <w:rsid w:val="00540E7B"/>
    <w:rPr>
      <w:sz w:val="20"/>
      <w:szCs w:val="20"/>
    </w:rPr>
  </w:style>
  <w:style w:type="character" w:customStyle="1" w:styleId="CommentTextChar">
    <w:name w:val="Comment Text Char"/>
    <w:basedOn w:val="DefaultParagraphFont"/>
    <w:link w:val="CommentText"/>
    <w:uiPriority w:val="99"/>
    <w:semiHidden/>
    <w:rsid w:val="00540E7B"/>
    <w:rPr>
      <w:color w:val="000000"/>
      <w:sz w:val="20"/>
      <w:szCs w:val="20"/>
    </w:rPr>
  </w:style>
  <w:style w:type="paragraph" w:styleId="CommentSubject">
    <w:name w:val="annotation subject"/>
    <w:basedOn w:val="CommentText"/>
    <w:next w:val="CommentText"/>
    <w:link w:val="CommentSubjectChar"/>
    <w:uiPriority w:val="99"/>
    <w:semiHidden/>
    <w:unhideWhenUsed/>
    <w:rsid w:val="00540E7B"/>
    <w:rPr>
      <w:b/>
      <w:bCs/>
    </w:rPr>
  </w:style>
  <w:style w:type="character" w:customStyle="1" w:styleId="CommentSubjectChar">
    <w:name w:val="Comment Subject Char"/>
    <w:basedOn w:val="CommentTextChar"/>
    <w:link w:val="CommentSubject"/>
    <w:uiPriority w:val="99"/>
    <w:semiHidden/>
    <w:rsid w:val="00540E7B"/>
    <w:rPr>
      <w:b/>
      <w:bCs/>
      <w:color w:val="000000"/>
      <w:sz w:val="20"/>
      <w:szCs w:val="20"/>
    </w:rPr>
  </w:style>
  <w:style w:type="paragraph" w:styleId="BalloonText">
    <w:name w:val="Balloon Text"/>
    <w:basedOn w:val="Normal"/>
    <w:link w:val="BalloonTextChar"/>
    <w:uiPriority w:val="99"/>
    <w:semiHidden/>
    <w:unhideWhenUsed/>
    <w:rsid w:val="00540E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0E7B"/>
    <w:rPr>
      <w:rFonts w:ascii="Segoe UI" w:hAnsi="Segoe UI" w:cs="Segoe UI"/>
      <w:color w:val="000000"/>
      <w:sz w:val="18"/>
      <w:szCs w:val="18"/>
    </w:rPr>
  </w:style>
  <w:style w:type="paragraph" w:styleId="Revision">
    <w:name w:val="Revision"/>
    <w:hidden/>
    <w:uiPriority w:val="99"/>
    <w:semiHidden/>
    <w:rsid w:val="00207FAB"/>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2724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Harper, Michael</dc:creator>
  <cp:lastModifiedBy>Harper, Michael</cp:lastModifiedBy>
  <cp:revision>1</cp:revision>
  <dcterms:created xsi:type="dcterms:W3CDTF">2018-09-25T04:15:00Z</dcterms:created>
  <dcterms:modified xsi:type="dcterms:W3CDTF">2019-07-22T07:58:00Z</dcterms:modified>
</cp:coreProperties>
</file>