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E3BA9" w14:textId="77777777" w:rsidR="00F10E59" w:rsidRPr="00F10E59" w:rsidRDefault="00C91034" w:rsidP="00F10E59">
      <w:pPr>
        <w:jc w:val="center"/>
        <w:rPr>
          <w:rFonts w:ascii="Times New Roman" w:hAnsi="Times New Roman" w:cs="Times New Roman"/>
          <w:b/>
          <w:sz w:val="36"/>
          <w:szCs w:val="36"/>
        </w:rPr>
      </w:pPr>
      <w:bookmarkStart w:id="0" w:name="bookmark0"/>
      <w:bookmarkStart w:id="1" w:name="_GoBack"/>
      <w:bookmarkEnd w:id="1"/>
      <w:r w:rsidRPr="00F10E59">
        <w:rPr>
          <w:rFonts w:ascii="Times New Roman" w:hAnsi="Times New Roman" w:cs="Times New Roman"/>
          <w:b/>
          <w:sz w:val="36"/>
          <w:szCs w:val="36"/>
        </w:rPr>
        <w:t>PAPUA NEW GUINEA (STAFFING</w:t>
      </w:r>
    </w:p>
    <w:p w14:paraId="36D3AC32" w14:textId="77777777" w:rsidR="004F6C9D" w:rsidRDefault="00C91034" w:rsidP="00F10E59">
      <w:pPr>
        <w:jc w:val="center"/>
        <w:rPr>
          <w:rFonts w:ascii="Times New Roman" w:hAnsi="Times New Roman" w:cs="Times New Roman"/>
          <w:b/>
          <w:sz w:val="36"/>
          <w:szCs w:val="36"/>
        </w:rPr>
      </w:pPr>
      <w:r w:rsidRPr="00F10E59">
        <w:rPr>
          <w:rFonts w:ascii="Times New Roman" w:hAnsi="Times New Roman" w:cs="Times New Roman"/>
          <w:b/>
          <w:sz w:val="36"/>
          <w:szCs w:val="36"/>
        </w:rPr>
        <w:t>ASSISTANCE) ACT 1975</w:t>
      </w:r>
      <w:bookmarkEnd w:id="0"/>
    </w:p>
    <w:p w14:paraId="7181BFEB" w14:textId="77777777" w:rsidR="00F10E59" w:rsidRPr="00F10E59" w:rsidRDefault="00F10E59" w:rsidP="00F10E59">
      <w:pPr>
        <w:jc w:val="center"/>
        <w:rPr>
          <w:rFonts w:ascii="Times New Roman" w:hAnsi="Times New Roman" w:cs="Times New Roman"/>
          <w:b/>
          <w:sz w:val="36"/>
          <w:szCs w:val="36"/>
        </w:rPr>
      </w:pPr>
    </w:p>
    <w:p w14:paraId="19AC9EB2" w14:textId="77777777" w:rsidR="004F6C9D" w:rsidRDefault="00C91034" w:rsidP="00F10E59">
      <w:pPr>
        <w:jc w:val="center"/>
        <w:rPr>
          <w:rFonts w:ascii="Times New Roman" w:hAnsi="Times New Roman" w:cs="Times New Roman"/>
          <w:b/>
          <w:sz w:val="28"/>
          <w:szCs w:val="28"/>
        </w:rPr>
      </w:pPr>
      <w:bookmarkStart w:id="2" w:name="bookmark1"/>
      <w:r w:rsidRPr="00F10E59">
        <w:rPr>
          <w:rFonts w:ascii="Times New Roman" w:hAnsi="Times New Roman" w:cs="Times New Roman"/>
          <w:b/>
          <w:sz w:val="28"/>
          <w:szCs w:val="28"/>
        </w:rPr>
        <w:t>No. 100 of 1975</w:t>
      </w:r>
      <w:bookmarkEnd w:id="2"/>
    </w:p>
    <w:p w14:paraId="504BF105" w14:textId="77777777" w:rsidR="00F10E59" w:rsidRPr="00F10E59" w:rsidRDefault="00F10E59" w:rsidP="00F10E59">
      <w:pPr>
        <w:jc w:val="center"/>
        <w:rPr>
          <w:rFonts w:ascii="Times New Roman" w:hAnsi="Times New Roman" w:cs="Times New Roman"/>
          <w:b/>
          <w:sz w:val="28"/>
          <w:szCs w:val="28"/>
        </w:rPr>
      </w:pPr>
    </w:p>
    <w:p w14:paraId="0C6A2768" w14:textId="77777777" w:rsidR="004F6C9D" w:rsidRDefault="00C91034" w:rsidP="00A04260">
      <w:pPr>
        <w:pStyle w:val="Bodytext20"/>
        <w:spacing w:line="240" w:lineRule="auto"/>
        <w:rPr>
          <w:rStyle w:val="Bodytext2NotItalic"/>
          <w:sz w:val="24"/>
          <w:szCs w:val="24"/>
        </w:rPr>
      </w:pPr>
      <w:r w:rsidRPr="002D7383">
        <w:rPr>
          <w:rStyle w:val="Bodytext2NotItalic"/>
          <w:sz w:val="24"/>
          <w:szCs w:val="24"/>
        </w:rPr>
        <w:t xml:space="preserve">An Act to amend the </w:t>
      </w:r>
      <w:r w:rsidRPr="002D7383">
        <w:rPr>
          <w:sz w:val="24"/>
          <w:szCs w:val="24"/>
        </w:rPr>
        <w:t>Papua New Guinea (Staffing Assistance) Act</w:t>
      </w:r>
      <w:r w:rsidRPr="002D7383">
        <w:rPr>
          <w:rStyle w:val="Bodytext2NotItalic"/>
          <w:sz w:val="24"/>
          <w:szCs w:val="24"/>
        </w:rPr>
        <w:t xml:space="preserve"> 1973.</w:t>
      </w:r>
    </w:p>
    <w:p w14:paraId="61CF11AF" w14:textId="77777777" w:rsidR="00F10E59" w:rsidRPr="002D7383" w:rsidRDefault="00F10E59" w:rsidP="00F10E59">
      <w:pPr>
        <w:pStyle w:val="Bodytext20"/>
        <w:spacing w:line="240" w:lineRule="auto"/>
        <w:jc w:val="left"/>
        <w:rPr>
          <w:sz w:val="24"/>
          <w:szCs w:val="24"/>
        </w:rPr>
      </w:pPr>
    </w:p>
    <w:p w14:paraId="5FE65EE8" w14:textId="3E53B188" w:rsidR="004F6C9D" w:rsidRPr="002D7383" w:rsidRDefault="00C91034" w:rsidP="00F10E59">
      <w:pPr>
        <w:pStyle w:val="BodyText1"/>
        <w:spacing w:line="240" w:lineRule="auto"/>
        <w:ind w:firstLine="274"/>
        <w:jc w:val="left"/>
        <w:rPr>
          <w:sz w:val="24"/>
          <w:szCs w:val="24"/>
        </w:rPr>
      </w:pPr>
      <w:r w:rsidRPr="002D7383">
        <w:rPr>
          <w:sz w:val="24"/>
          <w:szCs w:val="24"/>
        </w:rPr>
        <w:t>BE IT ENACTED by the Queen, the Senate and the House of Representa</w:t>
      </w:r>
      <w:r w:rsidR="00B359C3">
        <w:rPr>
          <w:sz w:val="24"/>
          <w:szCs w:val="24"/>
        </w:rPr>
        <w:t>tives of Australia, as follows:</w:t>
      </w:r>
      <w:r w:rsidRPr="002D7383">
        <w:rPr>
          <w:sz w:val="24"/>
          <w:szCs w:val="24"/>
        </w:rPr>
        <w:t>—</w:t>
      </w:r>
    </w:p>
    <w:p w14:paraId="23D3DF8C" w14:textId="77777777" w:rsidR="004F6C9D" w:rsidRPr="00F10E59" w:rsidRDefault="00C91034" w:rsidP="00F10E59">
      <w:pPr>
        <w:pStyle w:val="Bodytext40"/>
        <w:spacing w:before="120" w:after="60" w:line="240" w:lineRule="auto"/>
        <w:jc w:val="left"/>
        <w:rPr>
          <w:b/>
          <w:sz w:val="20"/>
          <w:szCs w:val="20"/>
        </w:rPr>
      </w:pPr>
      <w:r w:rsidRPr="00F10E59">
        <w:rPr>
          <w:b/>
          <w:sz w:val="20"/>
          <w:szCs w:val="20"/>
        </w:rPr>
        <w:t>Short title and citation.</w:t>
      </w:r>
    </w:p>
    <w:p w14:paraId="1233BB9A" w14:textId="2BCE91B0" w:rsidR="004F6C9D" w:rsidRPr="002D7383" w:rsidRDefault="002A71C3" w:rsidP="00F10E59">
      <w:pPr>
        <w:pStyle w:val="BodyText1"/>
        <w:spacing w:after="60" w:line="240" w:lineRule="auto"/>
        <w:ind w:firstLine="274"/>
        <w:jc w:val="left"/>
        <w:rPr>
          <w:sz w:val="24"/>
          <w:szCs w:val="24"/>
        </w:rPr>
      </w:pPr>
      <w:r w:rsidRPr="00F10E59">
        <w:rPr>
          <w:rStyle w:val="BodytextSpacing1pt"/>
          <w:b/>
          <w:spacing w:val="0"/>
          <w:sz w:val="24"/>
          <w:szCs w:val="24"/>
        </w:rPr>
        <w:t>1.</w:t>
      </w:r>
      <w:r w:rsidRPr="002D7383">
        <w:rPr>
          <w:rStyle w:val="BodytextSpacing1pt"/>
          <w:spacing w:val="0"/>
          <w:sz w:val="24"/>
          <w:szCs w:val="24"/>
        </w:rPr>
        <w:t xml:space="preserve"> </w:t>
      </w:r>
      <w:r w:rsidR="00C91034" w:rsidRPr="002D7383">
        <w:rPr>
          <w:rStyle w:val="BodytextSpacing1pt"/>
          <w:spacing w:val="0"/>
          <w:sz w:val="24"/>
          <w:szCs w:val="24"/>
        </w:rPr>
        <w:t>(1)</w:t>
      </w:r>
      <w:r w:rsidR="00C91034" w:rsidRPr="002D7383">
        <w:rPr>
          <w:sz w:val="24"/>
          <w:szCs w:val="24"/>
        </w:rPr>
        <w:t xml:space="preserve"> This Act may be cited as the </w:t>
      </w:r>
      <w:r w:rsidR="00C91034" w:rsidRPr="002D7383">
        <w:rPr>
          <w:rStyle w:val="BodytextItalic"/>
          <w:sz w:val="24"/>
          <w:szCs w:val="24"/>
        </w:rPr>
        <w:t>Papua New Guinea (Staffing Assistance) Act</w:t>
      </w:r>
      <w:r w:rsidR="00C91034" w:rsidRPr="002D7383">
        <w:rPr>
          <w:sz w:val="24"/>
          <w:szCs w:val="24"/>
        </w:rPr>
        <w:t xml:space="preserve"> 1975.</w:t>
      </w:r>
    </w:p>
    <w:p w14:paraId="65B0D032" w14:textId="2EB7DA44" w:rsidR="004F6C9D" w:rsidRPr="002D7383" w:rsidRDefault="002A71C3" w:rsidP="00F10E59">
      <w:pPr>
        <w:pStyle w:val="BodyText1"/>
        <w:spacing w:after="60" w:line="240" w:lineRule="auto"/>
        <w:ind w:firstLine="274"/>
        <w:jc w:val="left"/>
        <w:rPr>
          <w:sz w:val="24"/>
          <w:szCs w:val="24"/>
        </w:rPr>
      </w:pPr>
      <w:r w:rsidRPr="00F10E59">
        <w:rPr>
          <w:rStyle w:val="BodytextItalic"/>
          <w:i w:val="0"/>
          <w:sz w:val="24"/>
          <w:szCs w:val="24"/>
        </w:rPr>
        <w:t>(2)</w:t>
      </w:r>
      <w:r w:rsidRPr="002D7383">
        <w:rPr>
          <w:rStyle w:val="BodytextItalic"/>
          <w:sz w:val="24"/>
          <w:szCs w:val="24"/>
        </w:rPr>
        <w:t xml:space="preserve"> </w:t>
      </w:r>
      <w:r w:rsidR="00C91034" w:rsidRPr="002D7383">
        <w:rPr>
          <w:rStyle w:val="BodytextItalic"/>
          <w:sz w:val="24"/>
          <w:szCs w:val="24"/>
        </w:rPr>
        <w:t>The Papua New Guinea</w:t>
      </w:r>
      <w:r w:rsidR="00C91034" w:rsidRPr="00B359C3">
        <w:rPr>
          <w:rStyle w:val="BodytextItalic"/>
          <w:sz w:val="24"/>
          <w:szCs w:val="24"/>
        </w:rPr>
        <w:t xml:space="preserve"> (</w:t>
      </w:r>
      <w:r w:rsidR="00C91034" w:rsidRPr="002D7383">
        <w:rPr>
          <w:rStyle w:val="BodytextItalic"/>
          <w:sz w:val="24"/>
          <w:szCs w:val="24"/>
        </w:rPr>
        <w:t>Staffing Assistance</w:t>
      </w:r>
      <w:r w:rsidR="00C91034" w:rsidRPr="00B359C3">
        <w:rPr>
          <w:rStyle w:val="BodytextItalic"/>
          <w:sz w:val="24"/>
          <w:szCs w:val="24"/>
        </w:rPr>
        <w:t>)</w:t>
      </w:r>
      <w:r w:rsidR="00C91034" w:rsidRPr="002D7383">
        <w:rPr>
          <w:rStyle w:val="BodytextItalic"/>
          <w:sz w:val="24"/>
          <w:szCs w:val="24"/>
        </w:rPr>
        <w:t xml:space="preserve"> Act</w:t>
      </w:r>
      <w:r w:rsidR="00C91034" w:rsidRPr="002D7383">
        <w:rPr>
          <w:sz w:val="24"/>
          <w:szCs w:val="24"/>
        </w:rPr>
        <w:t xml:space="preserve"> 1973 is in this Act referred to as the Principal Act.</w:t>
      </w:r>
    </w:p>
    <w:p w14:paraId="4B2FF26B" w14:textId="77777777" w:rsidR="004F6C9D" w:rsidRPr="002D7383" w:rsidRDefault="002A71C3" w:rsidP="00F10E59">
      <w:pPr>
        <w:pStyle w:val="BodyText1"/>
        <w:spacing w:line="240" w:lineRule="auto"/>
        <w:ind w:firstLine="270"/>
        <w:jc w:val="left"/>
        <w:rPr>
          <w:sz w:val="24"/>
          <w:szCs w:val="24"/>
        </w:rPr>
      </w:pPr>
      <w:r w:rsidRPr="002D7383">
        <w:rPr>
          <w:sz w:val="24"/>
          <w:szCs w:val="24"/>
        </w:rPr>
        <w:t xml:space="preserve">(3) </w:t>
      </w:r>
      <w:r w:rsidR="00C91034" w:rsidRPr="002D7383">
        <w:rPr>
          <w:sz w:val="24"/>
          <w:szCs w:val="24"/>
        </w:rPr>
        <w:t xml:space="preserve">The Principal Act, as amended by this Act, may be cited as the </w:t>
      </w:r>
      <w:r w:rsidR="00C91034" w:rsidRPr="002D7383">
        <w:rPr>
          <w:rStyle w:val="BodytextItalic"/>
          <w:sz w:val="24"/>
          <w:szCs w:val="24"/>
        </w:rPr>
        <w:t>Papua New Guinea (Staffing Assistance) Act</w:t>
      </w:r>
      <w:r w:rsidR="00C91034" w:rsidRPr="002D7383">
        <w:rPr>
          <w:sz w:val="24"/>
          <w:szCs w:val="24"/>
        </w:rPr>
        <w:t xml:space="preserve"> 1973-1975.</w:t>
      </w:r>
    </w:p>
    <w:p w14:paraId="0973CE10" w14:textId="77777777" w:rsidR="004F6C9D" w:rsidRPr="00F10E59" w:rsidRDefault="002A71C3" w:rsidP="00F10E59">
      <w:pPr>
        <w:pStyle w:val="Bodytext40"/>
        <w:spacing w:before="120" w:after="60" w:line="240" w:lineRule="auto"/>
        <w:jc w:val="left"/>
        <w:rPr>
          <w:b/>
          <w:sz w:val="20"/>
          <w:szCs w:val="20"/>
        </w:rPr>
      </w:pPr>
      <w:r w:rsidRPr="00F10E59">
        <w:rPr>
          <w:b/>
          <w:sz w:val="20"/>
          <w:szCs w:val="20"/>
        </w:rPr>
        <w:t>Commence</w:t>
      </w:r>
      <w:r w:rsidR="00C91034" w:rsidRPr="00F10E59">
        <w:rPr>
          <w:b/>
          <w:sz w:val="20"/>
          <w:szCs w:val="20"/>
        </w:rPr>
        <w:t>ment.</w:t>
      </w:r>
    </w:p>
    <w:p w14:paraId="3AB4F176" w14:textId="4CE90C51" w:rsidR="004F6C9D" w:rsidRPr="002D7383" w:rsidRDefault="002A71C3" w:rsidP="00F10E59">
      <w:pPr>
        <w:pStyle w:val="BodyText1"/>
        <w:tabs>
          <w:tab w:val="left" w:pos="630"/>
        </w:tabs>
        <w:spacing w:line="240" w:lineRule="auto"/>
        <w:ind w:firstLine="270"/>
        <w:jc w:val="left"/>
        <w:rPr>
          <w:sz w:val="24"/>
          <w:szCs w:val="24"/>
        </w:rPr>
      </w:pPr>
      <w:r w:rsidRPr="00F10E59">
        <w:rPr>
          <w:b/>
          <w:sz w:val="24"/>
          <w:szCs w:val="24"/>
        </w:rPr>
        <w:t>2.</w:t>
      </w:r>
      <w:r w:rsidR="00F10E59">
        <w:rPr>
          <w:sz w:val="24"/>
          <w:szCs w:val="24"/>
        </w:rPr>
        <w:tab/>
      </w:r>
      <w:r w:rsidR="00C91034" w:rsidRPr="002D7383">
        <w:rPr>
          <w:sz w:val="24"/>
          <w:szCs w:val="24"/>
        </w:rPr>
        <w:t>This Act shall come into operation on the day on which it receives the Royal Assent.</w:t>
      </w:r>
    </w:p>
    <w:p w14:paraId="4AA017CE" w14:textId="77777777" w:rsidR="002A71C3" w:rsidRPr="00F10E59" w:rsidRDefault="002A71C3" w:rsidP="00F10E59">
      <w:pPr>
        <w:pStyle w:val="Bodytext40"/>
        <w:spacing w:before="120" w:after="60" w:line="240" w:lineRule="auto"/>
        <w:jc w:val="left"/>
        <w:rPr>
          <w:b/>
          <w:sz w:val="20"/>
          <w:szCs w:val="20"/>
        </w:rPr>
      </w:pPr>
      <w:r w:rsidRPr="00F10E59">
        <w:rPr>
          <w:b/>
          <w:sz w:val="20"/>
          <w:szCs w:val="20"/>
        </w:rPr>
        <w:t>Interpretation.</w:t>
      </w:r>
    </w:p>
    <w:p w14:paraId="7ABE0ECD" w14:textId="50C33D09" w:rsidR="004F6C9D" w:rsidRPr="002D7383" w:rsidRDefault="002A71C3" w:rsidP="00F10E59">
      <w:pPr>
        <w:pStyle w:val="BodyText1"/>
        <w:tabs>
          <w:tab w:val="left" w:pos="630"/>
        </w:tabs>
        <w:spacing w:after="60" w:line="240" w:lineRule="auto"/>
        <w:ind w:firstLine="274"/>
        <w:jc w:val="left"/>
        <w:rPr>
          <w:sz w:val="24"/>
          <w:szCs w:val="24"/>
        </w:rPr>
      </w:pPr>
      <w:r w:rsidRPr="00F10E59">
        <w:rPr>
          <w:b/>
          <w:sz w:val="24"/>
          <w:szCs w:val="24"/>
        </w:rPr>
        <w:t>3.</w:t>
      </w:r>
      <w:r w:rsidR="00F10E59">
        <w:rPr>
          <w:sz w:val="24"/>
          <w:szCs w:val="24"/>
        </w:rPr>
        <w:tab/>
      </w:r>
      <w:r w:rsidR="00C91034" w:rsidRPr="002D7383">
        <w:rPr>
          <w:sz w:val="24"/>
          <w:szCs w:val="24"/>
        </w:rPr>
        <w:t>Section 3 of the Principal Act is amended by adding at the end thereof the following sub-section:—</w:t>
      </w:r>
    </w:p>
    <w:p w14:paraId="684ACDEC" w14:textId="77777777" w:rsidR="004F6C9D" w:rsidRPr="002D7383" w:rsidRDefault="00C91034" w:rsidP="00F10E59">
      <w:pPr>
        <w:pStyle w:val="BodyText1"/>
        <w:spacing w:line="240" w:lineRule="auto"/>
        <w:ind w:firstLine="270"/>
        <w:jc w:val="left"/>
        <w:rPr>
          <w:sz w:val="24"/>
          <w:szCs w:val="24"/>
        </w:rPr>
      </w:pPr>
      <w:r w:rsidRPr="002D7383">
        <w:rPr>
          <w:sz w:val="24"/>
          <w:szCs w:val="24"/>
        </w:rPr>
        <w:t>“(3) In this Act, a reference to Papua New Guinea, in relation to a time after Papua New Guinea becomes an independent sovereign state, is a reference to the Independent State of Papua New Guinea.”.</w:t>
      </w:r>
    </w:p>
    <w:p w14:paraId="18CAD5E4" w14:textId="77777777" w:rsidR="002A71C3" w:rsidRPr="00F10E59" w:rsidRDefault="002A71C3" w:rsidP="00F10E59">
      <w:pPr>
        <w:pStyle w:val="Bodytext40"/>
        <w:spacing w:before="120" w:after="60" w:line="240" w:lineRule="auto"/>
        <w:jc w:val="left"/>
        <w:rPr>
          <w:b/>
          <w:sz w:val="20"/>
          <w:szCs w:val="20"/>
        </w:rPr>
      </w:pPr>
      <w:r w:rsidRPr="00F10E59">
        <w:rPr>
          <w:b/>
          <w:sz w:val="20"/>
          <w:szCs w:val="20"/>
        </w:rPr>
        <w:t>Termination of employment by Minister.</w:t>
      </w:r>
    </w:p>
    <w:p w14:paraId="387C48AC" w14:textId="255F36BA" w:rsidR="004F6C9D" w:rsidRPr="002D7383" w:rsidRDefault="002A71C3" w:rsidP="00F10E59">
      <w:pPr>
        <w:pStyle w:val="BodyText1"/>
        <w:tabs>
          <w:tab w:val="left" w:pos="630"/>
        </w:tabs>
        <w:spacing w:after="60" w:line="240" w:lineRule="auto"/>
        <w:ind w:firstLine="274"/>
        <w:jc w:val="left"/>
        <w:rPr>
          <w:sz w:val="24"/>
          <w:szCs w:val="24"/>
        </w:rPr>
      </w:pPr>
      <w:r w:rsidRPr="00F10E59">
        <w:rPr>
          <w:b/>
          <w:sz w:val="24"/>
          <w:szCs w:val="24"/>
        </w:rPr>
        <w:t>4.</w:t>
      </w:r>
      <w:r w:rsidR="00F10E59">
        <w:rPr>
          <w:sz w:val="24"/>
          <w:szCs w:val="24"/>
        </w:rPr>
        <w:tab/>
      </w:r>
      <w:r w:rsidR="00C91034" w:rsidRPr="002D7383">
        <w:rPr>
          <w:sz w:val="24"/>
          <w:szCs w:val="24"/>
        </w:rPr>
        <w:t>Section 14 of the Principal Act is amended by omitting sub</w:t>
      </w:r>
      <w:r w:rsidR="00B359C3">
        <w:rPr>
          <w:sz w:val="24"/>
          <w:szCs w:val="24"/>
        </w:rPr>
        <w:t>-</w:t>
      </w:r>
      <w:r w:rsidR="00C91034" w:rsidRPr="002D7383">
        <w:rPr>
          <w:sz w:val="24"/>
          <w:szCs w:val="24"/>
        </w:rPr>
        <w:t>section (1) and substituting the following sub-section:—</w:t>
      </w:r>
    </w:p>
    <w:p w14:paraId="12FCB4D8" w14:textId="70A0BEB5" w:rsidR="004F6C9D" w:rsidRPr="002D7383" w:rsidRDefault="00C91034" w:rsidP="00F10E59">
      <w:pPr>
        <w:pStyle w:val="BodyText1"/>
        <w:spacing w:line="240" w:lineRule="auto"/>
        <w:ind w:firstLine="270"/>
        <w:jc w:val="left"/>
        <w:rPr>
          <w:sz w:val="24"/>
          <w:szCs w:val="24"/>
        </w:rPr>
      </w:pPr>
      <w:r w:rsidRPr="002D7383">
        <w:rPr>
          <w:rStyle w:val="BodytextSpacing1pt"/>
          <w:spacing w:val="0"/>
          <w:sz w:val="24"/>
          <w:szCs w:val="24"/>
        </w:rPr>
        <w:t>“(1)</w:t>
      </w:r>
      <w:r w:rsidRPr="002D7383">
        <w:rPr>
          <w:sz w:val="24"/>
          <w:szCs w:val="24"/>
        </w:rPr>
        <w:t xml:space="preserve"> The Minister may, after giving the prescribed notice, terminate the employment of a person if he is satisfied that the services of the </w:t>
      </w:r>
      <w:r w:rsidR="00705638">
        <w:rPr>
          <w:sz w:val="24"/>
          <w:szCs w:val="24"/>
        </w:rPr>
        <w:t>person are no longer required.</w:t>
      </w:r>
      <w:r w:rsidRPr="002D7383">
        <w:rPr>
          <w:sz w:val="24"/>
          <w:szCs w:val="24"/>
        </w:rPr>
        <w:t>”.</w:t>
      </w:r>
    </w:p>
    <w:p w14:paraId="03B28B74" w14:textId="77777777" w:rsidR="002A71C3" w:rsidRPr="00F10E59" w:rsidRDefault="002A71C3" w:rsidP="00F10E59">
      <w:pPr>
        <w:pStyle w:val="Bodytext40"/>
        <w:spacing w:before="120" w:after="60" w:line="240" w:lineRule="auto"/>
        <w:jc w:val="left"/>
        <w:rPr>
          <w:b/>
          <w:sz w:val="20"/>
          <w:szCs w:val="20"/>
        </w:rPr>
      </w:pPr>
      <w:r w:rsidRPr="00F10E59">
        <w:rPr>
          <w:b/>
          <w:sz w:val="20"/>
          <w:szCs w:val="20"/>
        </w:rPr>
        <w:t>Benefits under this Part.</w:t>
      </w:r>
    </w:p>
    <w:p w14:paraId="739C9177" w14:textId="56B62967" w:rsidR="004F6C9D" w:rsidRPr="002D7383" w:rsidRDefault="002A71C3" w:rsidP="00F10E59">
      <w:pPr>
        <w:pStyle w:val="BodyText1"/>
        <w:tabs>
          <w:tab w:val="left" w:pos="630"/>
        </w:tabs>
        <w:spacing w:after="60" w:line="240" w:lineRule="auto"/>
        <w:ind w:firstLine="274"/>
        <w:jc w:val="left"/>
        <w:rPr>
          <w:sz w:val="24"/>
          <w:szCs w:val="24"/>
        </w:rPr>
      </w:pPr>
      <w:r w:rsidRPr="00F10E59">
        <w:rPr>
          <w:b/>
          <w:sz w:val="24"/>
          <w:szCs w:val="24"/>
        </w:rPr>
        <w:t>5.</w:t>
      </w:r>
      <w:r w:rsidR="00F10E59">
        <w:rPr>
          <w:sz w:val="24"/>
          <w:szCs w:val="24"/>
        </w:rPr>
        <w:tab/>
      </w:r>
      <w:r w:rsidR="00C91034" w:rsidRPr="002D7383">
        <w:rPr>
          <w:sz w:val="24"/>
          <w:szCs w:val="24"/>
        </w:rPr>
        <w:t>Section 19 of the Principal Act is amended by inserting after sub</w:t>
      </w:r>
      <w:r w:rsidR="00B359C3">
        <w:rPr>
          <w:sz w:val="24"/>
          <w:szCs w:val="24"/>
        </w:rPr>
        <w:t>-</w:t>
      </w:r>
      <w:r w:rsidR="00C91034" w:rsidRPr="002D7383">
        <w:rPr>
          <w:sz w:val="24"/>
          <w:szCs w:val="24"/>
        </w:rPr>
        <w:t>section (2) the following sub-section:—</w:t>
      </w:r>
    </w:p>
    <w:p w14:paraId="58858880" w14:textId="06239048" w:rsidR="004F6C9D" w:rsidRPr="002D7383" w:rsidRDefault="00C91034" w:rsidP="00F10E59">
      <w:pPr>
        <w:pStyle w:val="BodyText1"/>
        <w:spacing w:line="240" w:lineRule="auto"/>
        <w:ind w:firstLine="270"/>
        <w:jc w:val="left"/>
        <w:rPr>
          <w:sz w:val="24"/>
          <w:szCs w:val="24"/>
        </w:rPr>
      </w:pPr>
      <w:r w:rsidRPr="002D7383">
        <w:rPr>
          <w:rStyle w:val="BodytextSpacing1pt1"/>
          <w:spacing w:val="0"/>
          <w:sz w:val="24"/>
          <w:szCs w:val="24"/>
        </w:rPr>
        <w:t>“(2</w:t>
      </w:r>
      <w:r w:rsidR="00B359C3">
        <w:rPr>
          <w:rStyle w:val="BodytextSpacing1pt1"/>
          <w:smallCaps/>
          <w:spacing w:val="0"/>
          <w:sz w:val="24"/>
          <w:szCs w:val="24"/>
        </w:rPr>
        <w:t>a</w:t>
      </w:r>
      <w:r w:rsidRPr="002D7383">
        <w:rPr>
          <w:rStyle w:val="BodytextSpacing1pt1"/>
          <w:spacing w:val="0"/>
          <w:sz w:val="24"/>
          <w:szCs w:val="24"/>
        </w:rPr>
        <w:t>)</w:t>
      </w:r>
      <w:r w:rsidRPr="002D7383">
        <w:rPr>
          <w:sz w:val="24"/>
          <w:szCs w:val="24"/>
        </w:rPr>
        <w:t xml:space="preserve"> Regulations under sub-section (1) may include provision for deferred benefits in specified circumstances.”.</w:t>
      </w:r>
    </w:p>
    <w:p w14:paraId="15D28386" w14:textId="5EA7640D" w:rsidR="002A71C3" w:rsidRPr="00F10E59" w:rsidRDefault="002A71C3" w:rsidP="00F10E59">
      <w:pPr>
        <w:pStyle w:val="Bodytext40"/>
        <w:spacing w:before="120" w:after="60" w:line="240" w:lineRule="auto"/>
        <w:jc w:val="left"/>
        <w:rPr>
          <w:b/>
          <w:sz w:val="20"/>
          <w:szCs w:val="20"/>
        </w:rPr>
      </w:pPr>
      <w:r w:rsidRPr="00F10E59">
        <w:rPr>
          <w:b/>
          <w:sz w:val="20"/>
          <w:szCs w:val="20"/>
        </w:rPr>
        <w:t xml:space="preserve">Membership of </w:t>
      </w:r>
      <w:r w:rsidR="00B359C3">
        <w:rPr>
          <w:b/>
          <w:sz w:val="20"/>
          <w:szCs w:val="20"/>
        </w:rPr>
        <w:t>S</w:t>
      </w:r>
      <w:r w:rsidRPr="00F10E59">
        <w:rPr>
          <w:b/>
          <w:sz w:val="20"/>
          <w:szCs w:val="20"/>
        </w:rPr>
        <w:t>uperannuation Board.</w:t>
      </w:r>
    </w:p>
    <w:p w14:paraId="480C6A2B" w14:textId="161CC05F" w:rsidR="004F6C9D" w:rsidRPr="00B359C3" w:rsidRDefault="002A71C3" w:rsidP="00B359C3">
      <w:pPr>
        <w:pStyle w:val="BodyText1"/>
        <w:spacing w:line="240" w:lineRule="auto"/>
        <w:ind w:firstLine="270"/>
        <w:jc w:val="left"/>
        <w:rPr>
          <w:rStyle w:val="BodytextSpacing1pt1"/>
          <w:spacing w:val="0"/>
          <w:sz w:val="24"/>
          <w:szCs w:val="24"/>
        </w:rPr>
      </w:pPr>
      <w:r w:rsidRPr="009404E8">
        <w:rPr>
          <w:b/>
          <w:sz w:val="24"/>
          <w:szCs w:val="24"/>
        </w:rPr>
        <w:t>6.</w:t>
      </w:r>
      <w:r w:rsidR="009404E8">
        <w:rPr>
          <w:sz w:val="24"/>
          <w:szCs w:val="24"/>
        </w:rPr>
        <w:tab/>
      </w:r>
      <w:r w:rsidR="00C91034" w:rsidRPr="002D7383">
        <w:rPr>
          <w:sz w:val="24"/>
          <w:szCs w:val="24"/>
        </w:rPr>
        <w:t xml:space="preserve">Section 21 of the Principal Act is amended by omitting paragraph (a) of sub-section (1) and </w:t>
      </w:r>
      <w:r w:rsidR="00C91034" w:rsidRPr="00B359C3">
        <w:rPr>
          <w:rStyle w:val="BodytextSpacing1pt1"/>
          <w:spacing w:val="0"/>
          <w:sz w:val="24"/>
          <w:szCs w:val="24"/>
        </w:rPr>
        <w:t>substituting the following paragraph:—</w:t>
      </w:r>
    </w:p>
    <w:p w14:paraId="1F51E032" w14:textId="1A4219CE" w:rsidR="004F6C9D" w:rsidRPr="00B359C3" w:rsidRDefault="00C91034" w:rsidP="00B359C3">
      <w:pPr>
        <w:pStyle w:val="BodyText1"/>
        <w:spacing w:line="240" w:lineRule="auto"/>
        <w:ind w:firstLine="270"/>
        <w:jc w:val="left"/>
        <w:rPr>
          <w:rStyle w:val="BodytextSpacing1pt1"/>
          <w:spacing w:val="0"/>
          <w:sz w:val="24"/>
          <w:szCs w:val="24"/>
        </w:rPr>
      </w:pPr>
      <w:r w:rsidRPr="00B359C3">
        <w:rPr>
          <w:rStyle w:val="BodytextSpacing1pt1"/>
          <w:spacing w:val="0"/>
          <w:sz w:val="24"/>
          <w:szCs w:val="24"/>
        </w:rPr>
        <w:t xml:space="preserve">“(a) a person appointed by the Minister, being the holder of an office or appointment under the </w:t>
      </w:r>
      <w:r w:rsidRPr="00B359C3">
        <w:rPr>
          <w:rStyle w:val="BodytextSpacing1pt1"/>
          <w:i/>
          <w:iCs/>
          <w:spacing w:val="0"/>
          <w:sz w:val="24"/>
          <w:szCs w:val="24"/>
        </w:rPr>
        <w:t>Public Service Act</w:t>
      </w:r>
      <w:r w:rsidRPr="00B359C3">
        <w:rPr>
          <w:rStyle w:val="BodytextSpacing1pt1"/>
          <w:spacing w:val="0"/>
          <w:sz w:val="24"/>
          <w:szCs w:val="24"/>
        </w:rPr>
        <w:t xml:space="preserve"> 1922-1975 or any other Act;”.</w:t>
      </w:r>
    </w:p>
    <w:p w14:paraId="1B8C6531" w14:textId="77777777" w:rsidR="004F6C9D" w:rsidRPr="00F10E59" w:rsidRDefault="00C91034" w:rsidP="00F10E59">
      <w:pPr>
        <w:pStyle w:val="Bodytext40"/>
        <w:spacing w:before="120" w:after="60" w:line="240" w:lineRule="auto"/>
        <w:jc w:val="left"/>
        <w:rPr>
          <w:b/>
          <w:sz w:val="20"/>
          <w:szCs w:val="20"/>
        </w:rPr>
      </w:pPr>
      <w:r w:rsidRPr="00F10E59">
        <w:rPr>
          <w:b/>
          <w:sz w:val="20"/>
          <w:szCs w:val="20"/>
        </w:rPr>
        <w:t>Membership</w:t>
      </w:r>
      <w:r w:rsidR="002A71C3" w:rsidRPr="00F10E59">
        <w:rPr>
          <w:b/>
          <w:sz w:val="20"/>
          <w:szCs w:val="20"/>
        </w:rPr>
        <w:t xml:space="preserve"> </w:t>
      </w:r>
      <w:r w:rsidRPr="00F10E59">
        <w:rPr>
          <w:b/>
          <w:sz w:val="20"/>
          <w:szCs w:val="20"/>
        </w:rPr>
        <w:t>of Benefits</w:t>
      </w:r>
      <w:r w:rsidR="002A71C3" w:rsidRPr="00F10E59">
        <w:rPr>
          <w:b/>
          <w:sz w:val="20"/>
          <w:szCs w:val="20"/>
        </w:rPr>
        <w:t xml:space="preserve"> </w:t>
      </w:r>
      <w:r w:rsidRPr="00F10E59">
        <w:rPr>
          <w:b/>
          <w:sz w:val="20"/>
          <w:szCs w:val="20"/>
        </w:rPr>
        <w:t>Board.</w:t>
      </w:r>
    </w:p>
    <w:p w14:paraId="7412C198" w14:textId="77777777" w:rsidR="004F6C9D" w:rsidRPr="002D7383" w:rsidRDefault="002A71C3" w:rsidP="005D1655">
      <w:pPr>
        <w:pStyle w:val="BodyText1"/>
        <w:tabs>
          <w:tab w:val="left" w:pos="630"/>
        </w:tabs>
        <w:spacing w:after="60" w:line="240" w:lineRule="auto"/>
        <w:ind w:firstLine="274"/>
        <w:jc w:val="left"/>
        <w:rPr>
          <w:sz w:val="24"/>
          <w:szCs w:val="24"/>
        </w:rPr>
      </w:pPr>
      <w:r w:rsidRPr="005D1655">
        <w:rPr>
          <w:b/>
          <w:sz w:val="24"/>
          <w:szCs w:val="24"/>
        </w:rPr>
        <w:t>7.</w:t>
      </w:r>
      <w:r w:rsidR="005D1655">
        <w:rPr>
          <w:sz w:val="24"/>
          <w:szCs w:val="24"/>
        </w:rPr>
        <w:tab/>
      </w:r>
      <w:r w:rsidR="00C91034" w:rsidRPr="002D7383">
        <w:rPr>
          <w:sz w:val="24"/>
          <w:szCs w:val="24"/>
        </w:rPr>
        <w:t>Section 24 of the Principal Act is amended by omitting paragraph (a) of sub-section (1) and substituting the following paragraph:—</w:t>
      </w:r>
    </w:p>
    <w:p w14:paraId="0E99D849" w14:textId="509C4555" w:rsidR="004F6C9D" w:rsidRPr="002D7383" w:rsidRDefault="00C91034" w:rsidP="005D1655">
      <w:pPr>
        <w:pStyle w:val="BodyText1"/>
        <w:spacing w:after="60" w:line="240" w:lineRule="auto"/>
        <w:ind w:firstLine="274"/>
        <w:jc w:val="left"/>
        <w:rPr>
          <w:sz w:val="24"/>
          <w:szCs w:val="24"/>
        </w:rPr>
      </w:pPr>
      <w:r w:rsidRPr="002D7383">
        <w:rPr>
          <w:sz w:val="24"/>
          <w:szCs w:val="24"/>
        </w:rPr>
        <w:t xml:space="preserve">“(a) a person appointed by the Minister, being the holder of an office or appointment under the </w:t>
      </w:r>
      <w:r w:rsidRPr="002D7383">
        <w:rPr>
          <w:rStyle w:val="BodytextItalic"/>
          <w:sz w:val="24"/>
          <w:szCs w:val="24"/>
        </w:rPr>
        <w:t>Public Service Act</w:t>
      </w:r>
      <w:r w:rsidRPr="002D7383">
        <w:rPr>
          <w:sz w:val="24"/>
          <w:szCs w:val="24"/>
        </w:rPr>
        <w:t xml:space="preserve"> 1922-1975 or any other Act; ”.</w:t>
      </w:r>
    </w:p>
    <w:p w14:paraId="3F0B29EF" w14:textId="0205D648" w:rsidR="004F6C9D" w:rsidRPr="002D7383" w:rsidRDefault="002A71C3" w:rsidP="005D1655">
      <w:pPr>
        <w:pStyle w:val="BodyText1"/>
        <w:tabs>
          <w:tab w:val="left" w:pos="630"/>
        </w:tabs>
        <w:spacing w:line="240" w:lineRule="auto"/>
        <w:ind w:firstLine="270"/>
        <w:jc w:val="left"/>
        <w:rPr>
          <w:sz w:val="24"/>
          <w:szCs w:val="24"/>
        </w:rPr>
      </w:pPr>
      <w:r w:rsidRPr="005D1655">
        <w:rPr>
          <w:b/>
          <w:sz w:val="24"/>
          <w:szCs w:val="24"/>
        </w:rPr>
        <w:t>8.</w:t>
      </w:r>
      <w:r w:rsidR="005D1655">
        <w:rPr>
          <w:sz w:val="24"/>
          <w:szCs w:val="24"/>
        </w:rPr>
        <w:tab/>
      </w:r>
      <w:r w:rsidR="00C91034" w:rsidRPr="002D7383">
        <w:rPr>
          <w:sz w:val="24"/>
          <w:szCs w:val="24"/>
        </w:rPr>
        <w:t>After section 28 of the Principal Act the</w:t>
      </w:r>
      <w:r w:rsidR="00B359C3">
        <w:rPr>
          <w:sz w:val="24"/>
          <w:szCs w:val="24"/>
        </w:rPr>
        <w:t xml:space="preserve"> following section is inserted:</w:t>
      </w:r>
      <w:r w:rsidR="00C91034" w:rsidRPr="002D7383">
        <w:rPr>
          <w:sz w:val="24"/>
          <w:szCs w:val="24"/>
        </w:rPr>
        <w:t>—</w:t>
      </w:r>
    </w:p>
    <w:p w14:paraId="2A547F41" w14:textId="77777777" w:rsidR="004F6C9D" w:rsidRPr="00F10E59" w:rsidRDefault="00C91034" w:rsidP="00F10E59">
      <w:pPr>
        <w:pStyle w:val="Bodytext40"/>
        <w:spacing w:before="120" w:after="60" w:line="240" w:lineRule="auto"/>
        <w:jc w:val="left"/>
        <w:rPr>
          <w:b/>
          <w:sz w:val="20"/>
          <w:szCs w:val="20"/>
        </w:rPr>
      </w:pPr>
      <w:r w:rsidRPr="00F10E59">
        <w:rPr>
          <w:b/>
          <w:sz w:val="20"/>
          <w:szCs w:val="20"/>
        </w:rPr>
        <w:t>Effect of other Acts on certain</w:t>
      </w:r>
      <w:r w:rsidR="00F10E59" w:rsidRPr="00F10E59">
        <w:rPr>
          <w:b/>
          <w:sz w:val="20"/>
          <w:szCs w:val="20"/>
        </w:rPr>
        <w:t xml:space="preserve"> </w:t>
      </w:r>
      <w:r w:rsidRPr="00F10E59">
        <w:rPr>
          <w:b/>
          <w:sz w:val="20"/>
          <w:szCs w:val="20"/>
        </w:rPr>
        <w:t>appointments.</w:t>
      </w:r>
    </w:p>
    <w:p w14:paraId="06A2BAC1" w14:textId="34FA4406" w:rsidR="004F6C9D" w:rsidRDefault="00C91034" w:rsidP="005D1655">
      <w:pPr>
        <w:pStyle w:val="BodyText1"/>
        <w:spacing w:line="240" w:lineRule="auto"/>
        <w:ind w:firstLine="270"/>
        <w:jc w:val="left"/>
        <w:rPr>
          <w:sz w:val="24"/>
          <w:szCs w:val="24"/>
        </w:rPr>
      </w:pPr>
      <w:r w:rsidRPr="002D7383">
        <w:rPr>
          <w:rStyle w:val="BodytextSmallCaps"/>
          <w:sz w:val="24"/>
          <w:szCs w:val="24"/>
        </w:rPr>
        <w:t>“28a.</w:t>
      </w:r>
      <w:r w:rsidRPr="002D7383">
        <w:rPr>
          <w:sz w:val="24"/>
          <w:szCs w:val="24"/>
        </w:rPr>
        <w:t xml:space="preserve"> A person appointed as a membe</w:t>
      </w:r>
      <w:r w:rsidR="00B359C3">
        <w:rPr>
          <w:sz w:val="24"/>
          <w:szCs w:val="24"/>
        </w:rPr>
        <w:t>r of a Board under paragraph 21</w:t>
      </w:r>
      <w:r w:rsidRPr="002D7383">
        <w:rPr>
          <w:rStyle w:val="BodytextSpacing1pt"/>
          <w:spacing w:val="0"/>
          <w:sz w:val="24"/>
          <w:szCs w:val="24"/>
        </w:rPr>
        <w:t>(</w:t>
      </w:r>
      <w:r w:rsidR="00B359C3">
        <w:rPr>
          <w:rStyle w:val="BodytextSpacing1pt"/>
          <w:spacing w:val="0"/>
          <w:sz w:val="24"/>
          <w:szCs w:val="24"/>
        </w:rPr>
        <w:t>1</w:t>
      </w:r>
      <w:r w:rsidRPr="002D7383">
        <w:rPr>
          <w:rStyle w:val="BodytextSpacing1pt"/>
          <w:spacing w:val="0"/>
          <w:sz w:val="24"/>
          <w:szCs w:val="24"/>
        </w:rPr>
        <w:t>)(a) or 24(</w:t>
      </w:r>
      <w:r w:rsidR="00B359C3">
        <w:rPr>
          <w:rStyle w:val="BodytextSpacing1pt"/>
          <w:spacing w:val="0"/>
          <w:sz w:val="24"/>
          <w:szCs w:val="24"/>
        </w:rPr>
        <w:t>1</w:t>
      </w:r>
      <w:r w:rsidRPr="002D7383">
        <w:rPr>
          <w:rStyle w:val="BodytextSpacing1pt"/>
          <w:spacing w:val="0"/>
          <w:sz w:val="24"/>
          <w:szCs w:val="24"/>
        </w:rPr>
        <w:t>)(a)</w:t>
      </w:r>
      <w:r w:rsidRPr="002D7383">
        <w:rPr>
          <w:sz w:val="24"/>
          <w:szCs w:val="24"/>
        </w:rPr>
        <w:t xml:space="preserve"> shall be deemed to perform his duties under this Act as part of his duties under any other Act under which he holds an office or appointment.”.</w:t>
      </w:r>
    </w:p>
    <w:p w14:paraId="62B9CB84" w14:textId="77777777" w:rsidR="00B359C3" w:rsidRDefault="00B359C3">
      <w:pPr>
        <w:rPr>
          <w:rFonts w:ascii="Times New Roman" w:eastAsia="Times New Roman" w:hAnsi="Times New Roman" w:cs="Times New Roman"/>
          <w:b/>
          <w:sz w:val="20"/>
          <w:szCs w:val="20"/>
        </w:rPr>
      </w:pPr>
      <w:r>
        <w:rPr>
          <w:b/>
          <w:sz w:val="20"/>
          <w:szCs w:val="20"/>
        </w:rPr>
        <w:br w:type="page"/>
      </w:r>
    </w:p>
    <w:p w14:paraId="2BE3454C" w14:textId="5B40DF0D" w:rsidR="00F10E59" w:rsidRPr="00F10E59" w:rsidRDefault="00F10E59" w:rsidP="00F10E59">
      <w:pPr>
        <w:pStyle w:val="Bodytext40"/>
        <w:spacing w:before="120" w:after="60" w:line="240" w:lineRule="auto"/>
        <w:jc w:val="left"/>
        <w:rPr>
          <w:b/>
          <w:sz w:val="20"/>
          <w:szCs w:val="20"/>
        </w:rPr>
      </w:pPr>
      <w:r w:rsidRPr="00F10E59">
        <w:rPr>
          <w:b/>
          <w:sz w:val="20"/>
          <w:szCs w:val="20"/>
        </w:rPr>
        <w:lastRenderedPageBreak/>
        <w:t>Regulations for purposes of this Part</w:t>
      </w:r>
    </w:p>
    <w:p w14:paraId="48E63D84" w14:textId="69EED2A0" w:rsidR="004F6C9D" w:rsidRPr="002D7383" w:rsidRDefault="002A71C3" w:rsidP="005D1655">
      <w:pPr>
        <w:pStyle w:val="BodyText1"/>
        <w:tabs>
          <w:tab w:val="left" w:pos="630"/>
        </w:tabs>
        <w:spacing w:after="60" w:line="240" w:lineRule="auto"/>
        <w:ind w:firstLine="274"/>
        <w:jc w:val="left"/>
        <w:rPr>
          <w:sz w:val="24"/>
          <w:szCs w:val="24"/>
        </w:rPr>
      </w:pPr>
      <w:r w:rsidRPr="005D1655">
        <w:rPr>
          <w:b/>
          <w:sz w:val="24"/>
          <w:szCs w:val="24"/>
        </w:rPr>
        <w:t>9.</w:t>
      </w:r>
      <w:r w:rsidR="005D1655">
        <w:rPr>
          <w:sz w:val="24"/>
          <w:szCs w:val="24"/>
        </w:rPr>
        <w:tab/>
      </w:r>
      <w:r w:rsidR="00C91034" w:rsidRPr="002D7383">
        <w:rPr>
          <w:sz w:val="24"/>
          <w:szCs w:val="24"/>
        </w:rPr>
        <w:t xml:space="preserve">Section 38 of the Principal Act is amended by inserting in paragraph (a) of sub-section </w:t>
      </w:r>
      <w:r w:rsidR="00C91034" w:rsidRPr="002D7383">
        <w:rPr>
          <w:rStyle w:val="BodytextSpacing1pt"/>
          <w:spacing w:val="0"/>
          <w:sz w:val="24"/>
          <w:szCs w:val="24"/>
        </w:rPr>
        <w:t>(1),</w:t>
      </w:r>
      <w:r w:rsidR="00C91034" w:rsidRPr="002D7383">
        <w:rPr>
          <w:sz w:val="24"/>
          <w:szCs w:val="24"/>
        </w:rPr>
        <w:t xml:space="preserve"> after the word “persons”, the words “(including persons who have c</w:t>
      </w:r>
      <w:r w:rsidR="00B359C3">
        <w:rPr>
          <w:sz w:val="24"/>
          <w:szCs w:val="24"/>
        </w:rPr>
        <w:t>eased to be employed under Part </w:t>
      </w:r>
      <w:r w:rsidR="00C91034" w:rsidRPr="002D7383">
        <w:rPr>
          <w:sz w:val="24"/>
          <w:szCs w:val="24"/>
        </w:rPr>
        <w:t>II in specified circumstances)”.</w:t>
      </w:r>
    </w:p>
    <w:p w14:paraId="43D2C0AD" w14:textId="4D30F333" w:rsidR="004F6C9D" w:rsidRDefault="002A71C3" w:rsidP="005E6FBF">
      <w:pPr>
        <w:pStyle w:val="BodyText1"/>
        <w:tabs>
          <w:tab w:val="left" w:pos="630"/>
        </w:tabs>
        <w:spacing w:line="240" w:lineRule="auto"/>
        <w:ind w:firstLine="180"/>
        <w:jc w:val="left"/>
        <w:rPr>
          <w:sz w:val="24"/>
          <w:szCs w:val="24"/>
        </w:rPr>
      </w:pPr>
      <w:r w:rsidRPr="005D1655">
        <w:rPr>
          <w:b/>
          <w:sz w:val="24"/>
          <w:szCs w:val="24"/>
        </w:rPr>
        <w:t>10</w:t>
      </w:r>
      <w:r w:rsidR="005D1655" w:rsidRPr="005D1655">
        <w:rPr>
          <w:b/>
          <w:sz w:val="24"/>
          <w:szCs w:val="24"/>
        </w:rPr>
        <w:t>.</w:t>
      </w:r>
      <w:r w:rsidR="005D1655">
        <w:rPr>
          <w:sz w:val="24"/>
          <w:szCs w:val="24"/>
        </w:rPr>
        <w:tab/>
      </w:r>
      <w:r w:rsidR="00C91034" w:rsidRPr="002D7383">
        <w:rPr>
          <w:sz w:val="24"/>
          <w:szCs w:val="24"/>
        </w:rPr>
        <w:t>After section 62 of the Principal Act the</w:t>
      </w:r>
      <w:r w:rsidR="00B359C3">
        <w:rPr>
          <w:sz w:val="24"/>
          <w:szCs w:val="24"/>
        </w:rPr>
        <w:t xml:space="preserve"> following section is inserted:</w:t>
      </w:r>
      <w:r w:rsidR="00C91034" w:rsidRPr="002D7383">
        <w:rPr>
          <w:sz w:val="24"/>
          <w:szCs w:val="24"/>
        </w:rPr>
        <w:t>—</w:t>
      </w:r>
    </w:p>
    <w:p w14:paraId="073690E1" w14:textId="77777777" w:rsidR="00F10E59" w:rsidRPr="002D7383" w:rsidRDefault="00F10E59" w:rsidP="00F10E59">
      <w:pPr>
        <w:pStyle w:val="Bodytext40"/>
        <w:spacing w:before="120" w:after="60" w:line="240" w:lineRule="auto"/>
        <w:jc w:val="left"/>
        <w:rPr>
          <w:sz w:val="24"/>
          <w:szCs w:val="24"/>
        </w:rPr>
      </w:pPr>
      <w:r w:rsidRPr="00F10E59">
        <w:rPr>
          <w:b/>
          <w:sz w:val="20"/>
          <w:szCs w:val="20"/>
        </w:rPr>
        <w:t>Payments may be made by Papua New Guinea</w:t>
      </w:r>
      <w:r w:rsidRPr="002D7383">
        <w:rPr>
          <w:sz w:val="24"/>
          <w:szCs w:val="24"/>
        </w:rPr>
        <w:t>.</w:t>
      </w:r>
    </w:p>
    <w:p w14:paraId="5360CE05" w14:textId="238A5692" w:rsidR="004F6C9D" w:rsidRDefault="00C91034" w:rsidP="005D1655">
      <w:pPr>
        <w:pStyle w:val="BodyText1"/>
        <w:spacing w:line="240" w:lineRule="auto"/>
        <w:ind w:firstLine="180"/>
        <w:jc w:val="left"/>
        <w:rPr>
          <w:sz w:val="24"/>
          <w:szCs w:val="24"/>
        </w:rPr>
      </w:pPr>
      <w:r w:rsidRPr="002D7383">
        <w:rPr>
          <w:rStyle w:val="BodytextSmallCaps"/>
          <w:sz w:val="24"/>
          <w:szCs w:val="24"/>
        </w:rPr>
        <w:t>“62a.</w:t>
      </w:r>
      <w:r w:rsidRPr="002D7383">
        <w:rPr>
          <w:sz w:val="24"/>
          <w:szCs w:val="24"/>
        </w:rPr>
        <w:t xml:space="preserve"> Where the whole or part of any benefit payable to a person under this Act is paid to that person by the Government of Papua New Guinea out of the moneys of that Government, the amount of that benefit that would, but for this section, be payable under this Act by Australia to that person shall be</w:t>
      </w:r>
      <w:r w:rsidR="00705638">
        <w:rPr>
          <w:sz w:val="24"/>
          <w:szCs w:val="24"/>
        </w:rPr>
        <w:t xml:space="preserve"> reduced by the amount so paid.</w:t>
      </w:r>
      <w:r w:rsidRPr="002D7383">
        <w:rPr>
          <w:sz w:val="24"/>
          <w:szCs w:val="24"/>
        </w:rPr>
        <w:t>”.</w:t>
      </w:r>
    </w:p>
    <w:p w14:paraId="43CC7E31" w14:textId="77777777" w:rsidR="00F10E59" w:rsidRPr="00F10E59" w:rsidRDefault="00F10E59" w:rsidP="005D1655">
      <w:pPr>
        <w:pStyle w:val="Bodytext40"/>
        <w:spacing w:before="120" w:after="60" w:line="240" w:lineRule="auto"/>
        <w:jc w:val="left"/>
        <w:rPr>
          <w:b/>
          <w:sz w:val="20"/>
          <w:szCs w:val="20"/>
        </w:rPr>
      </w:pPr>
      <w:r w:rsidRPr="00F10E59">
        <w:rPr>
          <w:b/>
          <w:sz w:val="20"/>
          <w:szCs w:val="20"/>
        </w:rPr>
        <w:t>Making of regulations</w:t>
      </w:r>
    </w:p>
    <w:p w14:paraId="1711F89E" w14:textId="77777777" w:rsidR="004F6C9D" w:rsidRDefault="002A71C3" w:rsidP="005D1655">
      <w:pPr>
        <w:pStyle w:val="BodyText1"/>
        <w:tabs>
          <w:tab w:val="left" w:pos="630"/>
        </w:tabs>
        <w:spacing w:line="240" w:lineRule="auto"/>
        <w:ind w:firstLine="180"/>
        <w:jc w:val="left"/>
        <w:rPr>
          <w:sz w:val="24"/>
          <w:szCs w:val="24"/>
        </w:rPr>
      </w:pPr>
      <w:r w:rsidRPr="005D1655">
        <w:rPr>
          <w:b/>
          <w:sz w:val="24"/>
          <w:szCs w:val="24"/>
        </w:rPr>
        <w:t>11.</w:t>
      </w:r>
      <w:r w:rsidR="005D1655">
        <w:rPr>
          <w:sz w:val="24"/>
          <w:szCs w:val="24"/>
        </w:rPr>
        <w:tab/>
      </w:r>
      <w:r w:rsidR="00C91034" w:rsidRPr="002D7383">
        <w:rPr>
          <w:sz w:val="24"/>
          <w:szCs w:val="24"/>
        </w:rPr>
        <w:t>The power to make regulations under the Principal Act as amended by this Act extends to the making of regulations expressed to take effect on and from a date earlier than the date of commencement of this Act, not being a date earlier than 30 June 1975.</w:t>
      </w:r>
    </w:p>
    <w:p w14:paraId="277B7E92" w14:textId="77777777" w:rsidR="00F10E59" w:rsidRPr="002D7383" w:rsidRDefault="00F10E59" w:rsidP="005D1655">
      <w:pPr>
        <w:pStyle w:val="Bodytext40"/>
        <w:spacing w:before="120" w:after="60" w:line="240" w:lineRule="auto"/>
        <w:jc w:val="left"/>
        <w:rPr>
          <w:sz w:val="24"/>
          <w:szCs w:val="24"/>
        </w:rPr>
      </w:pPr>
      <w:r w:rsidRPr="00F10E59">
        <w:rPr>
          <w:b/>
          <w:sz w:val="20"/>
          <w:szCs w:val="20"/>
        </w:rPr>
        <w:t>Transitional provision</w:t>
      </w:r>
      <w:r w:rsidRPr="002D7383">
        <w:rPr>
          <w:sz w:val="24"/>
          <w:szCs w:val="24"/>
        </w:rPr>
        <w:t>.</w:t>
      </w:r>
    </w:p>
    <w:p w14:paraId="4A0B4470" w14:textId="680CC4F7" w:rsidR="005D1655" w:rsidRDefault="005D1655" w:rsidP="005D1655">
      <w:pPr>
        <w:pStyle w:val="BodyText1"/>
        <w:tabs>
          <w:tab w:val="left" w:pos="630"/>
        </w:tabs>
        <w:spacing w:line="240" w:lineRule="auto"/>
        <w:ind w:firstLine="180"/>
        <w:jc w:val="left"/>
        <w:rPr>
          <w:sz w:val="24"/>
          <w:szCs w:val="24"/>
        </w:rPr>
      </w:pPr>
      <w:r w:rsidRPr="005D1655">
        <w:rPr>
          <w:b/>
          <w:sz w:val="24"/>
          <w:szCs w:val="24"/>
        </w:rPr>
        <w:t>12.</w:t>
      </w:r>
      <w:r>
        <w:rPr>
          <w:sz w:val="24"/>
          <w:szCs w:val="24"/>
        </w:rPr>
        <w:tab/>
      </w:r>
      <w:r w:rsidR="00C91034" w:rsidRPr="002D7383">
        <w:rPr>
          <w:sz w:val="24"/>
          <w:szCs w:val="24"/>
        </w:rPr>
        <w:t>The amendments of sections 21 and 24 of the Principal Act made by this Act do not affect appointments under those sections made before the commencement of this Act.</w:t>
      </w:r>
    </w:p>
    <w:p w14:paraId="2D4D6763" w14:textId="77777777" w:rsidR="005D1655" w:rsidRPr="002D7383" w:rsidRDefault="005D1655" w:rsidP="005D1655">
      <w:pPr>
        <w:pStyle w:val="BodyText1"/>
        <w:pBdr>
          <w:bottom w:val="single" w:sz="18" w:space="1" w:color="auto"/>
        </w:pBdr>
        <w:tabs>
          <w:tab w:val="left" w:pos="630"/>
        </w:tabs>
        <w:spacing w:after="160" w:line="240" w:lineRule="auto"/>
        <w:ind w:firstLine="187"/>
        <w:jc w:val="left"/>
        <w:rPr>
          <w:sz w:val="24"/>
          <w:szCs w:val="24"/>
        </w:rPr>
      </w:pPr>
    </w:p>
    <w:sectPr w:rsidR="005D1655" w:rsidRPr="002D7383" w:rsidSect="005D1655">
      <w:headerReference w:type="even" r:id="rId7"/>
      <w:type w:val="continuous"/>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6F250" w14:textId="77777777" w:rsidR="00903BC1" w:rsidRDefault="00903BC1">
      <w:r>
        <w:separator/>
      </w:r>
    </w:p>
  </w:endnote>
  <w:endnote w:type="continuationSeparator" w:id="0">
    <w:p w14:paraId="31C1DBAD" w14:textId="77777777" w:rsidR="00903BC1" w:rsidRDefault="0090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8B050" w14:textId="77777777" w:rsidR="00903BC1" w:rsidRDefault="00903BC1">
      <w:r>
        <w:separator/>
      </w:r>
    </w:p>
  </w:footnote>
  <w:footnote w:type="continuationSeparator" w:id="0">
    <w:p w14:paraId="2ACEF1A7" w14:textId="77777777" w:rsidR="00903BC1" w:rsidRDefault="00903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3549" w14:textId="48413000" w:rsidR="005D1655" w:rsidRPr="005D1655" w:rsidRDefault="005D1655">
    <w:pPr>
      <w:pStyle w:val="Header"/>
      <w:rPr>
        <w:rFonts w:ascii="Times New Roman" w:hAnsi="Times New Roman" w:cs="Times New Roman"/>
        <w:sz w:val="22"/>
        <w:szCs w:val="22"/>
        <w:lang w:val="en-IN"/>
      </w:rPr>
    </w:pPr>
    <w:r w:rsidRPr="005D1655">
      <w:rPr>
        <w:rFonts w:ascii="Times New Roman" w:hAnsi="Times New Roman" w:cs="Times New Roman"/>
        <w:sz w:val="22"/>
        <w:szCs w:val="22"/>
        <w:lang w:val="en-IN"/>
      </w:rPr>
      <w:t>1975</w:t>
    </w:r>
    <w:r w:rsidRPr="005D1655">
      <w:rPr>
        <w:rFonts w:ascii="Times New Roman" w:hAnsi="Times New Roman" w:cs="Times New Roman"/>
        <w:sz w:val="22"/>
        <w:szCs w:val="22"/>
        <w:lang w:val="en-IN"/>
      </w:rPr>
      <w:tab/>
    </w:r>
    <w:r w:rsidRPr="005D1655">
      <w:rPr>
        <w:rFonts w:ascii="Times New Roman" w:hAnsi="Times New Roman" w:cs="Times New Roman"/>
        <w:i/>
        <w:sz w:val="22"/>
        <w:szCs w:val="22"/>
        <w:lang w:val="en-IN"/>
      </w:rPr>
      <w:t>Papua New Guinea</w:t>
    </w:r>
    <w:r w:rsidR="00705638">
      <w:rPr>
        <w:rFonts w:ascii="Times New Roman" w:hAnsi="Times New Roman" w:cs="Times New Roman"/>
        <w:i/>
        <w:sz w:val="22"/>
        <w:szCs w:val="22"/>
        <w:lang w:val="en-IN"/>
      </w:rPr>
      <w:t xml:space="preserve"> </w:t>
    </w:r>
    <w:r w:rsidRPr="005D1655">
      <w:rPr>
        <w:rFonts w:ascii="Times New Roman" w:hAnsi="Times New Roman" w:cs="Times New Roman"/>
        <w:i/>
        <w:sz w:val="22"/>
        <w:szCs w:val="22"/>
        <w:lang w:val="en-IN"/>
      </w:rPr>
      <w:t>(Staffing Assistance)</w:t>
    </w:r>
    <w:r w:rsidRPr="005D1655">
      <w:rPr>
        <w:rFonts w:ascii="Times New Roman" w:hAnsi="Times New Roman" w:cs="Times New Roman"/>
        <w:sz w:val="22"/>
        <w:szCs w:val="22"/>
        <w:lang w:val="en-IN"/>
      </w:rPr>
      <w:tab/>
      <w:t>No.</w:t>
    </w:r>
    <w:r w:rsidR="00B359C3">
      <w:rPr>
        <w:rFonts w:ascii="Times New Roman" w:hAnsi="Times New Roman" w:cs="Times New Roman"/>
        <w:sz w:val="22"/>
        <w:szCs w:val="22"/>
        <w:lang w:val="en-IN"/>
      </w:rPr>
      <w:t xml:space="preserve"> </w:t>
    </w:r>
    <w:r w:rsidRPr="005D1655">
      <w:rPr>
        <w:rFonts w:ascii="Times New Roman" w:hAnsi="Times New Roman" w:cs="Times New Roman"/>
        <w:sz w:val="22"/>
        <w:szCs w:val="22"/>
        <w:lang w:val="en-IN"/>
      </w:rPr>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26643"/>
    <w:multiLevelType w:val="multilevel"/>
    <w:tmpl w:val="E5F0C7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0324FA"/>
    <w:multiLevelType w:val="multilevel"/>
    <w:tmpl w:val="A23C6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103F39"/>
    <w:multiLevelType w:val="multilevel"/>
    <w:tmpl w:val="49F0E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F6C9D"/>
    <w:rsid w:val="002A71C3"/>
    <w:rsid w:val="002D7383"/>
    <w:rsid w:val="004F6C9D"/>
    <w:rsid w:val="005D1655"/>
    <w:rsid w:val="005E6FBF"/>
    <w:rsid w:val="00632A9E"/>
    <w:rsid w:val="00705638"/>
    <w:rsid w:val="00903BC1"/>
    <w:rsid w:val="009404E8"/>
    <w:rsid w:val="00950375"/>
    <w:rsid w:val="00A04260"/>
    <w:rsid w:val="00A931D7"/>
    <w:rsid w:val="00B359C3"/>
    <w:rsid w:val="00B70FB1"/>
    <w:rsid w:val="00C91034"/>
    <w:rsid w:val="00F10E59"/>
    <w:rsid w:val="00FB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0E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Unicode MS" w:eastAsia="Arial Unicode MS" w:hAnsi="Arial Unicode MS" w:cs="Arial Unicode MS"/>
      <w:b/>
      <w:bCs/>
      <w:i w:val="0"/>
      <w:iCs w:val="0"/>
      <w:smallCaps w:val="0"/>
      <w:strike w:val="0"/>
      <w:sz w:val="27"/>
      <w:szCs w:val="27"/>
      <w:u w:val="none"/>
    </w:rPr>
  </w:style>
  <w:style w:type="character" w:customStyle="1" w:styleId="Heading22">
    <w:name w:val="Heading #2 (2)_"/>
    <w:basedOn w:val="DefaultParagraphFont"/>
    <w:link w:val="Heading220"/>
    <w:rPr>
      <w:rFonts w:ascii="Arial Unicode MS" w:eastAsia="Arial Unicode MS" w:hAnsi="Arial Unicode MS" w:cs="Arial Unicode MS"/>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1"/>
      <w:szCs w:val="21"/>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pacing1pt1">
    <w:name w:val="Body text + Spacing 1 pt1"/>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8"/>
      <w:szCs w:val="18"/>
      <w:u w:val="none"/>
    </w:rPr>
  </w:style>
  <w:style w:type="paragraph" w:customStyle="1" w:styleId="Bodytext40">
    <w:name w:val="Body text (4)"/>
    <w:basedOn w:val="Normal"/>
    <w:link w:val="Bodytext4"/>
    <w:pPr>
      <w:spacing w:line="173"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336" w:lineRule="exact"/>
      <w:jc w:val="center"/>
      <w:outlineLvl w:val="0"/>
    </w:pPr>
    <w:rPr>
      <w:rFonts w:ascii="Arial Unicode MS" w:eastAsia="Arial Unicode MS" w:hAnsi="Arial Unicode MS" w:cs="Arial Unicode MS"/>
      <w:b/>
      <w:bCs/>
      <w:sz w:val="27"/>
      <w:szCs w:val="27"/>
    </w:rPr>
  </w:style>
  <w:style w:type="paragraph" w:customStyle="1" w:styleId="Heading220">
    <w:name w:val="Heading #2 (2)"/>
    <w:basedOn w:val="Normal"/>
    <w:link w:val="Heading22"/>
    <w:pPr>
      <w:spacing w:line="0" w:lineRule="atLeast"/>
      <w:jc w:val="center"/>
      <w:outlineLvl w:val="1"/>
    </w:pPr>
    <w:rPr>
      <w:rFonts w:ascii="Arial Unicode MS" w:eastAsia="Arial Unicode MS" w:hAnsi="Arial Unicode MS" w:cs="Arial Unicode MS"/>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i/>
      <w:iCs/>
      <w:sz w:val="21"/>
      <w:szCs w:val="21"/>
    </w:rPr>
  </w:style>
  <w:style w:type="paragraph" w:customStyle="1" w:styleId="BodyText1">
    <w:name w:val="Body Text1"/>
    <w:basedOn w:val="Normal"/>
    <w:link w:val="Bodytext"/>
    <w:pPr>
      <w:spacing w:line="240" w:lineRule="exact"/>
      <w:ind w:hanging="420"/>
      <w:jc w:val="both"/>
    </w:pPr>
    <w:rPr>
      <w:rFonts w:ascii="Times New Roman" w:eastAsia="Times New Roman" w:hAnsi="Times New Roman" w:cs="Times New Roman"/>
      <w:sz w:val="21"/>
      <w:szCs w:val="21"/>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5D1655"/>
    <w:pPr>
      <w:tabs>
        <w:tab w:val="center" w:pos="4513"/>
        <w:tab w:val="right" w:pos="9026"/>
      </w:tabs>
    </w:pPr>
  </w:style>
  <w:style w:type="character" w:customStyle="1" w:styleId="HeaderChar">
    <w:name w:val="Header Char"/>
    <w:basedOn w:val="DefaultParagraphFont"/>
    <w:link w:val="Header"/>
    <w:uiPriority w:val="99"/>
    <w:rsid w:val="005D1655"/>
    <w:rPr>
      <w:color w:val="000000"/>
    </w:rPr>
  </w:style>
  <w:style w:type="paragraph" w:styleId="Footer">
    <w:name w:val="footer"/>
    <w:basedOn w:val="Normal"/>
    <w:link w:val="FooterChar"/>
    <w:uiPriority w:val="99"/>
    <w:unhideWhenUsed/>
    <w:rsid w:val="005D1655"/>
    <w:pPr>
      <w:tabs>
        <w:tab w:val="center" w:pos="4513"/>
        <w:tab w:val="right" w:pos="9026"/>
      </w:tabs>
    </w:pPr>
  </w:style>
  <w:style w:type="character" w:customStyle="1" w:styleId="FooterChar">
    <w:name w:val="Footer Char"/>
    <w:basedOn w:val="DefaultParagraphFont"/>
    <w:link w:val="Footer"/>
    <w:uiPriority w:val="99"/>
    <w:rsid w:val="005D1655"/>
    <w:rPr>
      <w:color w:val="000000"/>
    </w:rPr>
  </w:style>
  <w:style w:type="character" w:styleId="CommentReference">
    <w:name w:val="annotation reference"/>
    <w:basedOn w:val="DefaultParagraphFont"/>
    <w:uiPriority w:val="99"/>
    <w:semiHidden/>
    <w:unhideWhenUsed/>
    <w:rsid w:val="00A931D7"/>
    <w:rPr>
      <w:sz w:val="16"/>
      <w:szCs w:val="16"/>
    </w:rPr>
  </w:style>
  <w:style w:type="paragraph" w:styleId="CommentText">
    <w:name w:val="annotation text"/>
    <w:basedOn w:val="Normal"/>
    <w:link w:val="CommentTextChar"/>
    <w:uiPriority w:val="99"/>
    <w:semiHidden/>
    <w:unhideWhenUsed/>
    <w:rsid w:val="00A931D7"/>
    <w:rPr>
      <w:sz w:val="20"/>
      <w:szCs w:val="20"/>
    </w:rPr>
  </w:style>
  <w:style w:type="character" w:customStyle="1" w:styleId="CommentTextChar">
    <w:name w:val="Comment Text Char"/>
    <w:basedOn w:val="DefaultParagraphFont"/>
    <w:link w:val="CommentText"/>
    <w:uiPriority w:val="99"/>
    <w:semiHidden/>
    <w:rsid w:val="00A931D7"/>
    <w:rPr>
      <w:color w:val="000000"/>
      <w:sz w:val="20"/>
      <w:szCs w:val="20"/>
    </w:rPr>
  </w:style>
  <w:style w:type="paragraph" w:styleId="CommentSubject">
    <w:name w:val="annotation subject"/>
    <w:basedOn w:val="CommentText"/>
    <w:next w:val="CommentText"/>
    <w:link w:val="CommentSubjectChar"/>
    <w:uiPriority w:val="99"/>
    <w:semiHidden/>
    <w:unhideWhenUsed/>
    <w:rsid w:val="00A931D7"/>
    <w:rPr>
      <w:b/>
      <w:bCs/>
    </w:rPr>
  </w:style>
  <w:style w:type="character" w:customStyle="1" w:styleId="CommentSubjectChar">
    <w:name w:val="Comment Subject Char"/>
    <w:basedOn w:val="CommentTextChar"/>
    <w:link w:val="CommentSubject"/>
    <w:uiPriority w:val="99"/>
    <w:semiHidden/>
    <w:rsid w:val="00A931D7"/>
    <w:rPr>
      <w:b/>
      <w:bCs/>
      <w:color w:val="000000"/>
      <w:sz w:val="20"/>
      <w:szCs w:val="20"/>
    </w:rPr>
  </w:style>
  <w:style w:type="paragraph" w:styleId="BalloonText">
    <w:name w:val="Balloon Text"/>
    <w:basedOn w:val="Normal"/>
    <w:link w:val="BalloonTextChar"/>
    <w:uiPriority w:val="99"/>
    <w:semiHidden/>
    <w:unhideWhenUsed/>
    <w:rsid w:val="00A93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D7"/>
    <w:rPr>
      <w:rFonts w:ascii="Segoe UI" w:hAnsi="Segoe UI" w:cs="Segoe UI"/>
      <w:color w:val="000000"/>
      <w:sz w:val="18"/>
      <w:szCs w:val="18"/>
    </w:rPr>
  </w:style>
  <w:style w:type="paragraph" w:styleId="Revision">
    <w:name w:val="Revision"/>
    <w:hidden/>
    <w:uiPriority w:val="99"/>
    <w:semiHidden/>
    <w:rsid w:val="00B359C3"/>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2018-09-25T04:17:00Z</dcterms:created>
  <dcterms:modified xsi:type="dcterms:W3CDTF">2019-07-22T07:59:00Z</dcterms:modified>
</cp:coreProperties>
</file>