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2C1E7" w14:textId="77777777" w:rsidR="00D12C87" w:rsidRPr="00C1299C" w:rsidRDefault="008D65A2" w:rsidP="00D12C87">
      <w:pPr>
        <w:jc w:val="center"/>
        <w:rPr>
          <w:rFonts w:ascii="Times New Roman" w:hAnsi="Times New Roman" w:cs="Times New Roman"/>
          <w:b/>
          <w:sz w:val="36"/>
          <w:szCs w:val="36"/>
        </w:rPr>
      </w:pPr>
      <w:bookmarkStart w:id="0" w:name="bookmark0"/>
      <w:bookmarkStart w:id="1" w:name="_GoBack"/>
      <w:bookmarkEnd w:id="1"/>
      <w:r w:rsidRPr="00C1299C">
        <w:rPr>
          <w:rFonts w:ascii="Times New Roman" w:hAnsi="Times New Roman" w:cs="Times New Roman"/>
          <w:b/>
          <w:sz w:val="36"/>
          <w:szCs w:val="36"/>
        </w:rPr>
        <w:t>SOCIAL SERVICES ACT (No. 2) 1975</w:t>
      </w:r>
    </w:p>
    <w:p w14:paraId="63858193" w14:textId="77777777" w:rsidR="00D12C87" w:rsidRPr="00C1299C" w:rsidRDefault="00D12C87" w:rsidP="00D12C87">
      <w:pPr>
        <w:jc w:val="center"/>
        <w:rPr>
          <w:rFonts w:ascii="Times New Roman" w:hAnsi="Times New Roman" w:cs="Times New Roman"/>
          <w:b/>
          <w:sz w:val="36"/>
          <w:szCs w:val="36"/>
        </w:rPr>
      </w:pPr>
    </w:p>
    <w:p w14:paraId="13C8C942" w14:textId="77777777" w:rsidR="00EB6D68" w:rsidRPr="00C1299C" w:rsidRDefault="008D65A2" w:rsidP="00D12C87">
      <w:pPr>
        <w:jc w:val="center"/>
        <w:rPr>
          <w:rFonts w:ascii="Times New Roman" w:hAnsi="Times New Roman" w:cs="Times New Roman"/>
          <w:b/>
          <w:sz w:val="28"/>
          <w:szCs w:val="28"/>
        </w:rPr>
      </w:pPr>
      <w:r w:rsidRPr="00C1299C">
        <w:rPr>
          <w:rFonts w:ascii="Times New Roman" w:hAnsi="Times New Roman" w:cs="Times New Roman"/>
          <w:b/>
          <w:sz w:val="28"/>
          <w:szCs w:val="28"/>
        </w:rPr>
        <w:t>No. 101 of 1975</w:t>
      </w:r>
      <w:bookmarkEnd w:id="0"/>
    </w:p>
    <w:p w14:paraId="0B967F7C" w14:textId="77777777" w:rsidR="00D12C87" w:rsidRPr="00C1299C" w:rsidRDefault="00D12C87" w:rsidP="00D12C87">
      <w:pPr>
        <w:jc w:val="center"/>
        <w:rPr>
          <w:rFonts w:ascii="Times New Roman" w:hAnsi="Times New Roman" w:cs="Times New Roman"/>
          <w:b/>
          <w:sz w:val="28"/>
          <w:szCs w:val="28"/>
        </w:rPr>
      </w:pPr>
    </w:p>
    <w:p w14:paraId="27A5709F" w14:textId="77777777" w:rsidR="00EB6D68" w:rsidRPr="00C1299C" w:rsidRDefault="008D65A2" w:rsidP="00271E21">
      <w:pPr>
        <w:pStyle w:val="Bodytext20"/>
        <w:spacing w:line="240" w:lineRule="auto"/>
        <w:jc w:val="center"/>
        <w:rPr>
          <w:rStyle w:val="Bodytext2105pt"/>
          <w:sz w:val="24"/>
          <w:szCs w:val="24"/>
        </w:rPr>
      </w:pPr>
      <w:r w:rsidRPr="00C1299C">
        <w:rPr>
          <w:rStyle w:val="Bodytext2105pt"/>
          <w:sz w:val="24"/>
          <w:szCs w:val="24"/>
        </w:rPr>
        <w:t>An Act relating to Eligibility for Social Services by reason of Residence in certain External Territories.</w:t>
      </w:r>
    </w:p>
    <w:p w14:paraId="38C607A7" w14:textId="77777777" w:rsidR="00D12C87" w:rsidRPr="00C1299C" w:rsidRDefault="00D12C87" w:rsidP="00271E21">
      <w:pPr>
        <w:pStyle w:val="Bodytext20"/>
        <w:spacing w:line="240" w:lineRule="auto"/>
        <w:rPr>
          <w:sz w:val="24"/>
          <w:szCs w:val="24"/>
        </w:rPr>
      </w:pPr>
    </w:p>
    <w:p w14:paraId="20205302" w14:textId="48EDE236" w:rsidR="00EB6D68" w:rsidRPr="00C1299C" w:rsidRDefault="008D65A2" w:rsidP="00271E21">
      <w:pPr>
        <w:pStyle w:val="Bodytext20"/>
        <w:spacing w:line="240" w:lineRule="auto"/>
        <w:ind w:firstLine="274"/>
        <w:rPr>
          <w:rStyle w:val="Bodytext2105pt"/>
          <w:sz w:val="24"/>
          <w:szCs w:val="24"/>
        </w:rPr>
      </w:pPr>
      <w:r w:rsidRPr="00C1299C">
        <w:rPr>
          <w:rStyle w:val="Bodytext2105pt"/>
          <w:sz w:val="24"/>
          <w:szCs w:val="24"/>
        </w:rPr>
        <w:t>BE IT ENACTED by the Queen, the Senate and the House of Representatives of Australia, as follows:—</w:t>
      </w:r>
    </w:p>
    <w:p w14:paraId="62B4ADB2" w14:textId="77777777" w:rsidR="00D12C87" w:rsidRPr="00C1299C" w:rsidRDefault="00D12C87" w:rsidP="00D12C87">
      <w:pPr>
        <w:pStyle w:val="Bodytext20"/>
        <w:spacing w:line="240" w:lineRule="auto"/>
        <w:ind w:firstLine="274"/>
        <w:jc w:val="left"/>
        <w:rPr>
          <w:sz w:val="24"/>
          <w:szCs w:val="24"/>
        </w:rPr>
      </w:pPr>
    </w:p>
    <w:p w14:paraId="487872D6" w14:textId="77777777" w:rsidR="00EB6D68" w:rsidRPr="00C1299C" w:rsidRDefault="008D65A2" w:rsidP="00D12C87">
      <w:pPr>
        <w:pStyle w:val="BodyText1"/>
        <w:spacing w:before="120" w:after="60" w:line="240" w:lineRule="auto"/>
        <w:ind w:firstLine="0"/>
        <w:jc w:val="left"/>
        <w:rPr>
          <w:b/>
          <w:sz w:val="20"/>
          <w:szCs w:val="20"/>
        </w:rPr>
      </w:pPr>
      <w:r w:rsidRPr="00C1299C">
        <w:rPr>
          <w:rStyle w:val="Bodytext8pt"/>
          <w:b/>
          <w:sz w:val="20"/>
          <w:szCs w:val="20"/>
        </w:rPr>
        <w:t>Short title and citation.</w:t>
      </w:r>
    </w:p>
    <w:p w14:paraId="4FDA482B" w14:textId="690C1DE3" w:rsidR="00EB6D68" w:rsidRPr="00C1299C" w:rsidRDefault="00657D17" w:rsidP="00271E21">
      <w:pPr>
        <w:pStyle w:val="Bodytext20"/>
        <w:spacing w:after="60" w:line="240" w:lineRule="auto"/>
        <w:ind w:firstLine="274"/>
        <w:rPr>
          <w:sz w:val="24"/>
          <w:szCs w:val="24"/>
        </w:rPr>
      </w:pPr>
      <w:r w:rsidRPr="00C1299C">
        <w:rPr>
          <w:rStyle w:val="Bodytext2105pt6"/>
          <w:b/>
          <w:sz w:val="24"/>
          <w:szCs w:val="24"/>
        </w:rPr>
        <w:t>1.</w:t>
      </w:r>
      <w:r w:rsidRPr="00C1299C">
        <w:rPr>
          <w:rStyle w:val="Bodytext2105pt6"/>
          <w:sz w:val="24"/>
          <w:szCs w:val="24"/>
        </w:rPr>
        <w:t xml:space="preserve"> </w:t>
      </w:r>
      <w:r w:rsidR="008D65A2" w:rsidRPr="00C1299C">
        <w:rPr>
          <w:rStyle w:val="Bodytext2105pt6"/>
          <w:sz w:val="24"/>
          <w:szCs w:val="24"/>
        </w:rPr>
        <w:t>(1)</w:t>
      </w:r>
      <w:r w:rsidR="008D65A2" w:rsidRPr="00C1299C">
        <w:rPr>
          <w:rStyle w:val="Bodytext2105pt"/>
          <w:sz w:val="24"/>
          <w:szCs w:val="24"/>
        </w:rPr>
        <w:t xml:space="preserve"> This Act may be cited as the </w:t>
      </w:r>
      <w:r w:rsidR="008D65A2" w:rsidRPr="00C1299C">
        <w:rPr>
          <w:rStyle w:val="Bodytext2105pt5"/>
          <w:sz w:val="24"/>
          <w:szCs w:val="24"/>
        </w:rPr>
        <w:t xml:space="preserve">Social Services Act </w:t>
      </w:r>
      <w:r w:rsidR="008D65A2" w:rsidRPr="00734135">
        <w:rPr>
          <w:rStyle w:val="Bodytext2105pt4"/>
          <w:i w:val="0"/>
          <w:spacing w:val="0"/>
          <w:sz w:val="24"/>
          <w:szCs w:val="24"/>
        </w:rPr>
        <w:t>(</w:t>
      </w:r>
      <w:r w:rsidR="008D65A2" w:rsidRPr="00C1299C">
        <w:rPr>
          <w:rStyle w:val="Bodytext2105pt4"/>
          <w:spacing w:val="0"/>
          <w:sz w:val="24"/>
          <w:szCs w:val="24"/>
        </w:rPr>
        <w:t>No.</w:t>
      </w:r>
      <w:r w:rsidR="008D65A2" w:rsidRPr="00C1299C">
        <w:rPr>
          <w:rStyle w:val="Bodytext2105pt5"/>
          <w:sz w:val="24"/>
          <w:szCs w:val="24"/>
        </w:rPr>
        <w:t xml:space="preserve"> </w:t>
      </w:r>
      <w:r w:rsidR="008D65A2" w:rsidRPr="00734135">
        <w:rPr>
          <w:rStyle w:val="Bodytext2105pt4"/>
          <w:i w:val="0"/>
          <w:spacing w:val="0"/>
          <w:sz w:val="24"/>
          <w:szCs w:val="24"/>
        </w:rPr>
        <w:t>2)</w:t>
      </w:r>
      <w:r w:rsidR="008D65A2" w:rsidRPr="00C1299C">
        <w:rPr>
          <w:rStyle w:val="Bodytext2105pt4"/>
          <w:spacing w:val="0"/>
          <w:sz w:val="24"/>
          <w:szCs w:val="24"/>
        </w:rPr>
        <w:t xml:space="preserve"> </w:t>
      </w:r>
      <w:r w:rsidR="003E7D6F" w:rsidRPr="00C1299C">
        <w:rPr>
          <w:rStyle w:val="Bodytext2105pt"/>
          <w:sz w:val="24"/>
          <w:szCs w:val="24"/>
        </w:rPr>
        <w:t>1975.</w:t>
      </w:r>
    </w:p>
    <w:p w14:paraId="040F7DF4" w14:textId="01B3ADD8" w:rsidR="00EB6D68" w:rsidRPr="00C1299C" w:rsidRDefault="00657D17" w:rsidP="00271E21">
      <w:pPr>
        <w:pStyle w:val="Bodytext20"/>
        <w:spacing w:after="60" w:line="240" w:lineRule="auto"/>
        <w:ind w:firstLine="274"/>
        <w:rPr>
          <w:sz w:val="24"/>
          <w:szCs w:val="24"/>
        </w:rPr>
      </w:pPr>
      <w:r w:rsidRPr="00C1299C">
        <w:rPr>
          <w:rStyle w:val="Bodytext2105pt"/>
          <w:sz w:val="24"/>
          <w:szCs w:val="24"/>
        </w:rPr>
        <w:t xml:space="preserve">(2) </w:t>
      </w:r>
      <w:r w:rsidR="008D65A2" w:rsidRPr="00C1299C">
        <w:rPr>
          <w:rStyle w:val="Bodytext2105pt"/>
          <w:sz w:val="24"/>
          <w:szCs w:val="24"/>
        </w:rPr>
        <w:t xml:space="preserve">The </w:t>
      </w:r>
      <w:r w:rsidR="008D65A2" w:rsidRPr="00C1299C">
        <w:rPr>
          <w:rStyle w:val="Bodytext2105pt5"/>
          <w:sz w:val="24"/>
          <w:szCs w:val="24"/>
        </w:rPr>
        <w:t>Social Services Act</w:t>
      </w:r>
      <w:r w:rsidR="008D65A2" w:rsidRPr="00C1299C">
        <w:rPr>
          <w:rStyle w:val="Bodytext2105pt"/>
          <w:sz w:val="24"/>
          <w:szCs w:val="24"/>
        </w:rPr>
        <w:t xml:space="preserve"> 1947-1974, as amended by the </w:t>
      </w:r>
      <w:r w:rsidR="008D65A2" w:rsidRPr="00C1299C">
        <w:rPr>
          <w:rStyle w:val="Bodytext2105pt5"/>
          <w:sz w:val="24"/>
          <w:szCs w:val="24"/>
        </w:rPr>
        <w:t>Social Services Act</w:t>
      </w:r>
      <w:r w:rsidR="008D65A2" w:rsidRPr="00C1299C">
        <w:rPr>
          <w:rStyle w:val="Bodytext2105pt"/>
          <w:sz w:val="24"/>
          <w:szCs w:val="24"/>
        </w:rPr>
        <w:t xml:space="preserve"> 1975, is in this Act referred to as the Principal Act.</w:t>
      </w:r>
    </w:p>
    <w:p w14:paraId="615FB56F" w14:textId="77777777" w:rsidR="00EB6D68" w:rsidRPr="00C1299C" w:rsidRDefault="00657D17" w:rsidP="00271E21">
      <w:pPr>
        <w:pStyle w:val="Bodytext20"/>
        <w:spacing w:after="60" w:line="240" w:lineRule="auto"/>
        <w:ind w:firstLine="274"/>
        <w:rPr>
          <w:sz w:val="24"/>
          <w:szCs w:val="24"/>
        </w:rPr>
      </w:pPr>
      <w:r w:rsidRPr="00C1299C">
        <w:rPr>
          <w:rStyle w:val="Bodytext2105pt"/>
          <w:sz w:val="24"/>
          <w:szCs w:val="24"/>
        </w:rPr>
        <w:t xml:space="preserve">(3) </w:t>
      </w:r>
      <w:r w:rsidR="008D65A2" w:rsidRPr="00C1299C">
        <w:rPr>
          <w:rStyle w:val="Bodytext2105pt"/>
          <w:sz w:val="24"/>
          <w:szCs w:val="24"/>
        </w:rPr>
        <w:t xml:space="preserve">Section 1 of the </w:t>
      </w:r>
      <w:r w:rsidR="008D65A2" w:rsidRPr="00C1299C">
        <w:rPr>
          <w:rStyle w:val="Bodytext2105pt5"/>
          <w:sz w:val="24"/>
          <w:szCs w:val="24"/>
        </w:rPr>
        <w:t>Social Services Act</w:t>
      </w:r>
      <w:r w:rsidR="008D65A2" w:rsidRPr="00C1299C">
        <w:rPr>
          <w:rStyle w:val="Bodytext2105pt"/>
          <w:sz w:val="24"/>
          <w:szCs w:val="24"/>
        </w:rPr>
        <w:t xml:space="preserve"> 1975 is amended by omitting</w:t>
      </w:r>
      <w:r w:rsidR="00D12C87" w:rsidRPr="00C1299C">
        <w:rPr>
          <w:rStyle w:val="Bodytext2105pt"/>
          <w:sz w:val="24"/>
          <w:szCs w:val="24"/>
        </w:rPr>
        <w:t xml:space="preserve"> </w:t>
      </w:r>
      <w:r w:rsidR="00CC6724" w:rsidRPr="00C1299C">
        <w:rPr>
          <w:rStyle w:val="Bodytext2105pt"/>
          <w:sz w:val="24"/>
          <w:szCs w:val="24"/>
        </w:rPr>
        <w:t>sub-section (3).</w:t>
      </w:r>
    </w:p>
    <w:p w14:paraId="2FC03B37" w14:textId="77777777" w:rsidR="00EB6D68" w:rsidRPr="00C1299C" w:rsidRDefault="00657D17" w:rsidP="00271E21">
      <w:pPr>
        <w:pStyle w:val="Bodytext20"/>
        <w:spacing w:line="240" w:lineRule="auto"/>
        <w:ind w:firstLine="270"/>
        <w:rPr>
          <w:sz w:val="24"/>
          <w:szCs w:val="24"/>
        </w:rPr>
      </w:pPr>
      <w:r w:rsidRPr="00C1299C">
        <w:rPr>
          <w:rStyle w:val="Bodytext2105pt"/>
          <w:sz w:val="24"/>
          <w:szCs w:val="24"/>
        </w:rPr>
        <w:t xml:space="preserve">(4) </w:t>
      </w:r>
      <w:r w:rsidR="008D65A2" w:rsidRPr="00C1299C">
        <w:rPr>
          <w:rStyle w:val="Bodytext2105pt"/>
          <w:sz w:val="24"/>
          <w:szCs w:val="24"/>
        </w:rPr>
        <w:t xml:space="preserve">The Principal Act, as amended by this Act, may be cited as the </w:t>
      </w:r>
      <w:r w:rsidR="008D65A2" w:rsidRPr="00C1299C">
        <w:rPr>
          <w:rStyle w:val="Bodytext2105pt5"/>
          <w:sz w:val="24"/>
          <w:szCs w:val="24"/>
        </w:rPr>
        <w:t>Social Services Act</w:t>
      </w:r>
      <w:r w:rsidR="008D65A2" w:rsidRPr="00C1299C">
        <w:rPr>
          <w:rStyle w:val="Bodytext2105pt"/>
          <w:sz w:val="24"/>
          <w:szCs w:val="24"/>
        </w:rPr>
        <w:t xml:space="preserve"> 1947-1975.</w:t>
      </w:r>
    </w:p>
    <w:p w14:paraId="7CAC894A" w14:textId="77777777" w:rsidR="00EB6D68" w:rsidRPr="00C1299C" w:rsidRDefault="00657D17" w:rsidP="00D12C87">
      <w:pPr>
        <w:pStyle w:val="BodyText1"/>
        <w:spacing w:before="120" w:after="60" w:line="240" w:lineRule="auto"/>
        <w:ind w:firstLine="0"/>
        <w:jc w:val="left"/>
        <w:rPr>
          <w:b/>
          <w:sz w:val="20"/>
          <w:szCs w:val="20"/>
        </w:rPr>
      </w:pPr>
      <w:r w:rsidRPr="00C1299C">
        <w:rPr>
          <w:rStyle w:val="Bodytext8pt"/>
          <w:b/>
          <w:sz w:val="20"/>
          <w:szCs w:val="20"/>
        </w:rPr>
        <w:t>Commence</w:t>
      </w:r>
      <w:r w:rsidR="008D65A2" w:rsidRPr="00C1299C">
        <w:rPr>
          <w:rStyle w:val="Bodytext8pt"/>
          <w:b/>
          <w:sz w:val="20"/>
          <w:szCs w:val="20"/>
        </w:rPr>
        <w:t>ment.</w:t>
      </w:r>
    </w:p>
    <w:p w14:paraId="021BD3B2" w14:textId="08ED0EC2" w:rsidR="00EB6D68" w:rsidRPr="00C1299C" w:rsidRDefault="00657D17" w:rsidP="00271E21">
      <w:pPr>
        <w:pStyle w:val="Bodytext20"/>
        <w:tabs>
          <w:tab w:val="left" w:pos="630"/>
        </w:tabs>
        <w:spacing w:line="240" w:lineRule="auto"/>
        <w:ind w:firstLine="270"/>
        <w:rPr>
          <w:sz w:val="24"/>
          <w:szCs w:val="24"/>
        </w:rPr>
      </w:pPr>
      <w:r w:rsidRPr="00C1299C">
        <w:rPr>
          <w:rStyle w:val="Bodytext2105pt"/>
          <w:b/>
          <w:sz w:val="24"/>
          <w:szCs w:val="24"/>
        </w:rPr>
        <w:t>2.</w:t>
      </w:r>
      <w:r w:rsidR="00D12C87" w:rsidRPr="00C1299C">
        <w:rPr>
          <w:rStyle w:val="Bodytext2105pt"/>
          <w:sz w:val="24"/>
          <w:szCs w:val="24"/>
        </w:rPr>
        <w:tab/>
      </w:r>
      <w:r w:rsidR="008D65A2" w:rsidRPr="00C1299C">
        <w:rPr>
          <w:rStyle w:val="Bodytext2105pt"/>
          <w:sz w:val="24"/>
          <w:szCs w:val="24"/>
        </w:rPr>
        <w:t>This Act shall come into operation on the day on which it receives the Royal Assent.</w:t>
      </w:r>
    </w:p>
    <w:p w14:paraId="0095183A" w14:textId="77777777" w:rsidR="00657D17" w:rsidRPr="00C1299C" w:rsidRDefault="00657D17" w:rsidP="00D12C87">
      <w:pPr>
        <w:pStyle w:val="BodyText1"/>
        <w:spacing w:before="120" w:after="60" w:line="240" w:lineRule="auto"/>
        <w:ind w:firstLine="0"/>
        <w:jc w:val="left"/>
        <w:rPr>
          <w:sz w:val="24"/>
          <w:szCs w:val="24"/>
        </w:rPr>
      </w:pPr>
      <w:r w:rsidRPr="00C1299C">
        <w:rPr>
          <w:rStyle w:val="Bodytext8pt"/>
          <w:b/>
          <w:sz w:val="20"/>
          <w:szCs w:val="20"/>
        </w:rPr>
        <w:t>Period of residence in an external Territory</w:t>
      </w:r>
      <w:r w:rsidRPr="00C1299C">
        <w:rPr>
          <w:rStyle w:val="Bodytext8pt"/>
          <w:sz w:val="24"/>
          <w:szCs w:val="24"/>
        </w:rPr>
        <w:t>.</w:t>
      </w:r>
    </w:p>
    <w:p w14:paraId="72CF2443" w14:textId="3F390120" w:rsidR="00EB6D68" w:rsidRPr="00C1299C" w:rsidRDefault="00657D17" w:rsidP="00271E21">
      <w:pPr>
        <w:pStyle w:val="Bodytext20"/>
        <w:tabs>
          <w:tab w:val="left" w:pos="630"/>
        </w:tabs>
        <w:spacing w:after="60" w:line="240" w:lineRule="auto"/>
        <w:ind w:firstLine="274"/>
        <w:rPr>
          <w:sz w:val="24"/>
          <w:szCs w:val="24"/>
        </w:rPr>
      </w:pPr>
      <w:r w:rsidRPr="00C1299C">
        <w:rPr>
          <w:rStyle w:val="Bodytext2105pt"/>
          <w:b/>
          <w:sz w:val="24"/>
          <w:szCs w:val="24"/>
        </w:rPr>
        <w:t>3.</w:t>
      </w:r>
      <w:r w:rsidR="00D12C87" w:rsidRPr="00C1299C">
        <w:rPr>
          <w:rStyle w:val="Bodytext2105pt"/>
          <w:sz w:val="24"/>
          <w:szCs w:val="24"/>
        </w:rPr>
        <w:tab/>
      </w:r>
      <w:r w:rsidR="008D65A2" w:rsidRPr="00C1299C">
        <w:rPr>
          <w:rStyle w:val="Bodytext2105pt"/>
          <w:sz w:val="24"/>
          <w:szCs w:val="24"/>
        </w:rPr>
        <w:t>After section 18</w:t>
      </w:r>
      <w:r w:rsidR="00734135">
        <w:rPr>
          <w:rStyle w:val="Bodytext2105pt"/>
          <w:smallCaps/>
          <w:sz w:val="24"/>
          <w:szCs w:val="24"/>
        </w:rPr>
        <w:t>b</w:t>
      </w:r>
      <w:r w:rsidR="008D65A2" w:rsidRPr="00C1299C">
        <w:rPr>
          <w:rStyle w:val="Bodytext2105pt"/>
          <w:sz w:val="24"/>
          <w:szCs w:val="24"/>
        </w:rPr>
        <w:t xml:space="preserve"> of the Principal Act the following section is inserted:—</w:t>
      </w:r>
    </w:p>
    <w:p w14:paraId="0FAF2236" w14:textId="6512CFFA" w:rsidR="00EB6D68" w:rsidRPr="00C1299C" w:rsidRDefault="00734135" w:rsidP="00271E21">
      <w:pPr>
        <w:pStyle w:val="Bodytext20"/>
        <w:spacing w:line="240" w:lineRule="auto"/>
        <w:ind w:firstLine="270"/>
        <w:rPr>
          <w:sz w:val="24"/>
          <w:szCs w:val="24"/>
        </w:rPr>
      </w:pPr>
      <w:r>
        <w:rPr>
          <w:rStyle w:val="Bodytext2105pt"/>
          <w:sz w:val="24"/>
          <w:szCs w:val="24"/>
        </w:rPr>
        <w:t>“</w:t>
      </w:r>
      <w:r w:rsidR="008D65A2" w:rsidRPr="00C1299C">
        <w:rPr>
          <w:rStyle w:val="Bodytext2105pt"/>
          <w:sz w:val="24"/>
          <w:szCs w:val="24"/>
        </w:rPr>
        <w:t>19. A reference in Division 2 (other than section 21</w:t>
      </w:r>
      <w:r w:rsidR="008D65A2" w:rsidRPr="00C1299C">
        <w:rPr>
          <w:rStyle w:val="Bodytext2105pt3"/>
          <w:sz w:val="24"/>
          <w:szCs w:val="24"/>
        </w:rPr>
        <w:t>a)</w:t>
      </w:r>
      <w:r w:rsidR="00B93D6B" w:rsidRPr="00C1299C">
        <w:rPr>
          <w:rStyle w:val="Bodytext2105pt"/>
          <w:sz w:val="24"/>
          <w:szCs w:val="24"/>
        </w:rPr>
        <w:t xml:space="preserve"> or in Div</w:t>
      </w:r>
      <w:r w:rsidR="008D65A2" w:rsidRPr="00C1299C">
        <w:rPr>
          <w:rStyle w:val="Bodytext2105pt"/>
          <w:sz w:val="24"/>
          <w:szCs w:val="24"/>
        </w:rPr>
        <w:t>ision 3 to a period of residence in Australia shall be read as including a reference to a period of residence in an area that was, at the time of the residence, an external Territory, other than Norfolk Island.</w:t>
      </w:r>
      <w:r>
        <w:rPr>
          <w:rStyle w:val="Bodytext2105pt"/>
          <w:sz w:val="24"/>
          <w:szCs w:val="24"/>
        </w:rPr>
        <w:t>”</w:t>
      </w:r>
      <w:r w:rsidR="008D65A2" w:rsidRPr="00C1299C">
        <w:rPr>
          <w:rStyle w:val="Bodytext2105pt"/>
          <w:sz w:val="24"/>
          <w:szCs w:val="24"/>
        </w:rPr>
        <w:t>.</w:t>
      </w:r>
    </w:p>
    <w:p w14:paraId="4CC02C6F" w14:textId="77777777" w:rsidR="00657D17" w:rsidRPr="00C1299C" w:rsidRDefault="00657D17" w:rsidP="00271E21">
      <w:pPr>
        <w:pStyle w:val="BodyText1"/>
        <w:spacing w:before="120" w:after="60" w:line="240" w:lineRule="auto"/>
        <w:ind w:firstLine="0"/>
        <w:rPr>
          <w:b/>
          <w:sz w:val="20"/>
          <w:szCs w:val="20"/>
        </w:rPr>
      </w:pPr>
      <w:r w:rsidRPr="00C1299C">
        <w:rPr>
          <w:rStyle w:val="Bodytext8pt"/>
          <w:b/>
          <w:sz w:val="20"/>
          <w:szCs w:val="20"/>
        </w:rPr>
        <w:t>Conditions of grant of invalid pension.</w:t>
      </w:r>
    </w:p>
    <w:p w14:paraId="03758EB8" w14:textId="25938EAD" w:rsidR="00EB6D68" w:rsidRPr="00C1299C" w:rsidRDefault="00657D17" w:rsidP="00271E21">
      <w:pPr>
        <w:pStyle w:val="Bodytext20"/>
        <w:tabs>
          <w:tab w:val="left" w:pos="630"/>
        </w:tabs>
        <w:spacing w:after="60" w:line="240" w:lineRule="auto"/>
        <w:ind w:firstLine="274"/>
        <w:rPr>
          <w:sz w:val="24"/>
          <w:szCs w:val="24"/>
        </w:rPr>
      </w:pPr>
      <w:r w:rsidRPr="00C1299C">
        <w:rPr>
          <w:rStyle w:val="Bodytext2105pt"/>
          <w:b/>
          <w:sz w:val="24"/>
          <w:szCs w:val="24"/>
        </w:rPr>
        <w:t>4.</w:t>
      </w:r>
      <w:r w:rsidR="00D12C87" w:rsidRPr="00C1299C">
        <w:rPr>
          <w:rStyle w:val="Bodytext2105pt"/>
          <w:sz w:val="24"/>
          <w:szCs w:val="24"/>
        </w:rPr>
        <w:tab/>
      </w:r>
      <w:r w:rsidR="008D65A2" w:rsidRPr="00C1299C">
        <w:rPr>
          <w:rStyle w:val="Bodytext2105pt"/>
          <w:sz w:val="24"/>
          <w:szCs w:val="24"/>
        </w:rPr>
        <w:t>Section 25 of the Principal Act is amended by omitting paragraph</w:t>
      </w:r>
      <w:r w:rsidR="00271E21">
        <w:rPr>
          <w:rStyle w:val="Bodytext2105pt"/>
          <w:sz w:val="24"/>
          <w:szCs w:val="24"/>
        </w:rPr>
        <w:t xml:space="preserve"> </w:t>
      </w:r>
      <w:r w:rsidRPr="00C1299C">
        <w:rPr>
          <w:rStyle w:val="Bodytext2105pt"/>
          <w:sz w:val="24"/>
          <w:szCs w:val="24"/>
        </w:rPr>
        <w:t xml:space="preserve">(b) </w:t>
      </w:r>
      <w:r w:rsidR="008D65A2" w:rsidRPr="00C1299C">
        <w:rPr>
          <w:rStyle w:val="Bodytext2105pt"/>
          <w:sz w:val="24"/>
          <w:szCs w:val="24"/>
        </w:rPr>
        <w:t>of sub-section (1) and substi</w:t>
      </w:r>
      <w:r w:rsidR="00734135">
        <w:rPr>
          <w:rStyle w:val="Bodytext2105pt"/>
          <w:sz w:val="24"/>
          <w:szCs w:val="24"/>
        </w:rPr>
        <w:t>tuting the following paragraph:</w:t>
      </w:r>
      <w:r w:rsidR="008D65A2" w:rsidRPr="00C1299C">
        <w:rPr>
          <w:rStyle w:val="Bodytext2105pt"/>
          <w:sz w:val="24"/>
          <w:szCs w:val="24"/>
        </w:rPr>
        <w:t>—</w:t>
      </w:r>
    </w:p>
    <w:p w14:paraId="4FF0EE00" w14:textId="77777777" w:rsidR="00EB6D68" w:rsidRPr="00C1299C" w:rsidRDefault="008D65A2" w:rsidP="00271E21">
      <w:pPr>
        <w:pStyle w:val="Bodytext20"/>
        <w:spacing w:after="60" w:line="240" w:lineRule="auto"/>
        <w:ind w:left="720" w:hanging="446"/>
        <w:rPr>
          <w:sz w:val="24"/>
          <w:szCs w:val="24"/>
        </w:rPr>
      </w:pPr>
      <w:r w:rsidRPr="00C1299C">
        <w:rPr>
          <w:rStyle w:val="Bodytext2105pt6"/>
          <w:sz w:val="24"/>
          <w:szCs w:val="24"/>
        </w:rPr>
        <w:t>“(b)</w:t>
      </w:r>
      <w:r w:rsidRPr="00C1299C">
        <w:rPr>
          <w:rStyle w:val="Bodytext2105pt"/>
          <w:sz w:val="24"/>
          <w:szCs w:val="24"/>
        </w:rPr>
        <w:t xml:space="preserve"> in the case of a claimant under section 24, unless he became permanently incapacitated for work or permanently blind—</w:t>
      </w:r>
    </w:p>
    <w:p w14:paraId="68E768F0" w14:textId="77777777" w:rsidR="00EB6D68" w:rsidRPr="00C1299C" w:rsidRDefault="00657D17" w:rsidP="00271E21">
      <w:pPr>
        <w:pStyle w:val="Bodytext20"/>
        <w:spacing w:after="60" w:line="240" w:lineRule="auto"/>
        <w:ind w:firstLine="907"/>
        <w:rPr>
          <w:sz w:val="24"/>
          <w:szCs w:val="24"/>
        </w:rPr>
      </w:pPr>
      <w:r w:rsidRPr="00C1299C">
        <w:rPr>
          <w:rStyle w:val="Bodytext2105pt"/>
          <w:sz w:val="24"/>
          <w:szCs w:val="24"/>
        </w:rPr>
        <w:t xml:space="preserve">(i) </w:t>
      </w:r>
      <w:r w:rsidR="008D65A2" w:rsidRPr="00C1299C">
        <w:rPr>
          <w:rStyle w:val="Bodytext2105pt"/>
          <w:sz w:val="24"/>
          <w:szCs w:val="24"/>
        </w:rPr>
        <w:t>while in Australia or during a temporary absence from Australia; or</w:t>
      </w:r>
    </w:p>
    <w:p w14:paraId="10B1B175" w14:textId="77777777" w:rsidR="00EB6D68" w:rsidRPr="00C1299C" w:rsidRDefault="00657D17" w:rsidP="00271E21">
      <w:pPr>
        <w:pStyle w:val="Bodytext20"/>
        <w:spacing w:after="60" w:line="240" w:lineRule="auto"/>
        <w:ind w:left="1181" w:hanging="274"/>
        <w:rPr>
          <w:sz w:val="24"/>
          <w:szCs w:val="24"/>
        </w:rPr>
      </w:pPr>
      <w:r w:rsidRPr="00C1299C">
        <w:rPr>
          <w:rStyle w:val="Bodytext2105pt"/>
          <w:sz w:val="24"/>
          <w:szCs w:val="24"/>
        </w:rPr>
        <w:t xml:space="preserve">(ii) </w:t>
      </w:r>
      <w:r w:rsidR="008D65A2" w:rsidRPr="00C1299C">
        <w:rPr>
          <w:rStyle w:val="Bodytext2105pt"/>
          <w:sz w:val="24"/>
          <w:szCs w:val="24"/>
        </w:rPr>
        <w:t>while in an area that</w:t>
      </w:r>
      <w:r w:rsidR="00B93D6B" w:rsidRPr="00C1299C">
        <w:rPr>
          <w:rStyle w:val="Bodytext2105pt"/>
          <w:sz w:val="24"/>
          <w:szCs w:val="24"/>
        </w:rPr>
        <w:t xml:space="preserve"> was, at the time he became per</w:t>
      </w:r>
      <w:r w:rsidR="008D65A2" w:rsidRPr="00C1299C">
        <w:rPr>
          <w:rStyle w:val="Bodytext2105pt"/>
          <w:sz w:val="24"/>
          <w:szCs w:val="24"/>
        </w:rPr>
        <w:t>manently incapacitated for work or permanently blind, an external Territ</w:t>
      </w:r>
      <w:r w:rsidR="00CD1990">
        <w:rPr>
          <w:rStyle w:val="Bodytext2105pt"/>
          <w:sz w:val="24"/>
          <w:szCs w:val="24"/>
        </w:rPr>
        <w:t>ory, other than Norfolk Island;</w:t>
      </w:r>
      <w:r w:rsidR="008D65A2" w:rsidRPr="00C1299C">
        <w:rPr>
          <w:rStyle w:val="Bodytext2105pt"/>
          <w:sz w:val="24"/>
          <w:szCs w:val="24"/>
        </w:rPr>
        <w:t>”.</w:t>
      </w:r>
    </w:p>
    <w:p w14:paraId="0BF1890F" w14:textId="270997DB" w:rsidR="00EB6D68" w:rsidRPr="00C1299C" w:rsidRDefault="00657D17" w:rsidP="00271E21">
      <w:pPr>
        <w:pStyle w:val="Bodytext20"/>
        <w:tabs>
          <w:tab w:val="left" w:pos="630"/>
        </w:tabs>
        <w:spacing w:line="240" w:lineRule="auto"/>
        <w:ind w:firstLine="270"/>
        <w:rPr>
          <w:sz w:val="24"/>
          <w:szCs w:val="24"/>
        </w:rPr>
      </w:pPr>
      <w:r w:rsidRPr="00C1299C">
        <w:rPr>
          <w:rStyle w:val="Bodytext2105pt"/>
          <w:b/>
          <w:sz w:val="24"/>
          <w:szCs w:val="24"/>
        </w:rPr>
        <w:t>5.</w:t>
      </w:r>
      <w:r w:rsidR="00D12C87" w:rsidRPr="00C1299C">
        <w:rPr>
          <w:rStyle w:val="Bodytext2105pt"/>
          <w:sz w:val="24"/>
          <w:szCs w:val="24"/>
        </w:rPr>
        <w:tab/>
      </w:r>
      <w:r w:rsidR="008D65A2" w:rsidRPr="00C1299C">
        <w:rPr>
          <w:rStyle w:val="Bodytext2105pt"/>
          <w:sz w:val="24"/>
          <w:szCs w:val="24"/>
        </w:rPr>
        <w:t>Before section 60 of the Principal Act the following section is ins</w:t>
      </w:r>
      <w:r w:rsidR="00734135">
        <w:rPr>
          <w:rStyle w:val="Bodytext2105pt"/>
          <w:sz w:val="24"/>
          <w:szCs w:val="24"/>
        </w:rPr>
        <w:t>erted in Division 2 of Part IV:</w:t>
      </w:r>
      <w:r w:rsidR="008D65A2" w:rsidRPr="00C1299C">
        <w:rPr>
          <w:rStyle w:val="Bodytext2105pt"/>
          <w:sz w:val="24"/>
          <w:szCs w:val="24"/>
        </w:rPr>
        <w:t>—</w:t>
      </w:r>
    </w:p>
    <w:p w14:paraId="1125D2D8" w14:textId="77777777" w:rsidR="00EB6D68" w:rsidRPr="00C1299C" w:rsidRDefault="008D65A2" w:rsidP="00271E21">
      <w:pPr>
        <w:pStyle w:val="BodyText1"/>
        <w:spacing w:before="120" w:after="60" w:line="240" w:lineRule="auto"/>
        <w:ind w:firstLine="0"/>
        <w:rPr>
          <w:b/>
          <w:sz w:val="20"/>
          <w:szCs w:val="20"/>
        </w:rPr>
      </w:pPr>
      <w:r w:rsidRPr="00C1299C">
        <w:rPr>
          <w:rStyle w:val="Bodytext8pt"/>
          <w:b/>
          <w:sz w:val="20"/>
          <w:szCs w:val="20"/>
        </w:rPr>
        <w:t>Period of residence in an external Territory.</w:t>
      </w:r>
    </w:p>
    <w:p w14:paraId="731650B4" w14:textId="77777777" w:rsidR="00EB6D68" w:rsidRPr="00C1299C" w:rsidRDefault="008D65A2" w:rsidP="00271E21">
      <w:pPr>
        <w:pStyle w:val="Bodytext20"/>
        <w:spacing w:line="240" w:lineRule="auto"/>
        <w:ind w:firstLine="270"/>
        <w:rPr>
          <w:sz w:val="24"/>
          <w:szCs w:val="24"/>
        </w:rPr>
      </w:pPr>
      <w:r w:rsidRPr="00C1299C">
        <w:rPr>
          <w:rStyle w:val="Bodytext2105pt3"/>
          <w:sz w:val="24"/>
          <w:szCs w:val="24"/>
        </w:rPr>
        <w:t>“59b.</w:t>
      </w:r>
      <w:r w:rsidRPr="00C1299C">
        <w:rPr>
          <w:rStyle w:val="Bodytext2105pt"/>
          <w:sz w:val="24"/>
          <w:szCs w:val="24"/>
        </w:rPr>
        <w:t xml:space="preserve"> A reference in this Division to a period of residence in Australia shall be read as including a reference to a period of residence in an area that was, at the time of the residence, an external Territor</w:t>
      </w:r>
      <w:r w:rsidR="00CD1990">
        <w:rPr>
          <w:rStyle w:val="Bodytext2105pt"/>
          <w:sz w:val="24"/>
          <w:szCs w:val="24"/>
        </w:rPr>
        <w:t>y, other than Norfolk Island.”</w:t>
      </w:r>
      <w:r w:rsidRPr="00C1299C">
        <w:rPr>
          <w:rStyle w:val="Bodytext2105pt"/>
          <w:sz w:val="24"/>
          <w:szCs w:val="24"/>
        </w:rPr>
        <w:t>.</w:t>
      </w:r>
    </w:p>
    <w:p w14:paraId="3A22F7FC" w14:textId="77777777" w:rsidR="00657D17" w:rsidRPr="00C1299C" w:rsidRDefault="00657D17" w:rsidP="00271E21">
      <w:pPr>
        <w:pStyle w:val="BodyText1"/>
        <w:spacing w:before="120" w:after="60" w:line="240" w:lineRule="auto"/>
        <w:ind w:firstLine="0"/>
        <w:rPr>
          <w:b/>
          <w:sz w:val="20"/>
          <w:szCs w:val="20"/>
        </w:rPr>
      </w:pPr>
      <w:r w:rsidRPr="00C1299C">
        <w:rPr>
          <w:rStyle w:val="Bodytext8pt"/>
          <w:b/>
          <w:sz w:val="20"/>
          <w:szCs w:val="20"/>
        </w:rPr>
        <w:t>Qualifications for widow’s pension.</w:t>
      </w:r>
    </w:p>
    <w:p w14:paraId="6A905C48" w14:textId="77777777" w:rsidR="00EB6D68" w:rsidRPr="00C1299C" w:rsidRDefault="00657D17" w:rsidP="00271E21">
      <w:pPr>
        <w:pStyle w:val="Bodytext20"/>
        <w:tabs>
          <w:tab w:val="left" w:pos="630"/>
        </w:tabs>
        <w:spacing w:after="60" w:line="240" w:lineRule="auto"/>
        <w:ind w:firstLine="274"/>
        <w:rPr>
          <w:sz w:val="24"/>
          <w:szCs w:val="24"/>
        </w:rPr>
      </w:pPr>
      <w:r w:rsidRPr="00C1299C">
        <w:rPr>
          <w:rStyle w:val="Bodytext2105pt"/>
          <w:b/>
          <w:sz w:val="24"/>
          <w:szCs w:val="24"/>
        </w:rPr>
        <w:t>6.</w:t>
      </w:r>
      <w:r w:rsidR="00D12C87" w:rsidRPr="00C1299C">
        <w:rPr>
          <w:rStyle w:val="Bodytext2105pt"/>
          <w:sz w:val="24"/>
          <w:szCs w:val="24"/>
        </w:rPr>
        <w:tab/>
      </w:r>
      <w:r w:rsidR="008D65A2" w:rsidRPr="00C1299C">
        <w:rPr>
          <w:rStyle w:val="Bodytext2105pt"/>
          <w:sz w:val="24"/>
          <w:szCs w:val="24"/>
        </w:rPr>
        <w:t>Section 60 of the Principal Act is amended by omitting paragraph (d) of sub-section (1) and substituting the following paragraph: —</w:t>
      </w:r>
    </w:p>
    <w:p w14:paraId="3F3118EA" w14:textId="77777777" w:rsidR="00EB6D68" w:rsidRPr="00C1299C" w:rsidRDefault="008D65A2" w:rsidP="00271E21">
      <w:pPr>
        <w:pStyle w:val="Bodytext20"/>
        <w:spacing w:line="240" w:lineRule="auto"/>
        <w:ind w:left="720" w:hanging="450"/>
        <w:rPr>
          <w:sz w:val="24"/>
          <w:szCs w:val="24"/>
        </w:rPr>
      </w:pPr>
      <w:r w:rsidRPr="00C1299C">
        <w:rPr>
          <w:rStyle w:val="Bodytext2105pt6"/>
          <w:sz w:val="24"/>
          <w:szCs w:val="24"/>
        </w:rPr>
        <w:t>“(d)</w:t>
      </w:r>
      <w:r w:rsidRPr="00C1299C">
        <w:rPr>
          <w:rStyle w:val="Bodytext2105pt"/>
          <w:sz w:val="24"/>
          <w:szCs w:val="24"/>
        </w:rPr>
        <w:t xml:space="preserve"> in the opinion of the Director-General, she and her husband or, in the case of a widow being a dependent female, she and the man in respect of whom she was a dependent female were, on the occurrence of the event by reason of which she became a widow, residing permanently in Australia or in an area that was, at the time of that occurrence, an external Territory, other than Norfolk Island;”.</w:t>
      </w:r>
    </w:p>
    <w:p w14:paraId="59958BEB" w14:textId="77777777" w:rsidR="00EB6D68" w:rsidRPr="00C1299C" w:rsidRDefault="00657D17" w:rsidP="00271E21">
      <w:pPr>
        <w:pStyle w:val="BodyText1"/>
        <w:spacing w:before="120" w:after="60" w:line="240" w:lineRule="auto"/>
        <w:ind w:firstLine="0"/>
        <w:rPr>
          <w:b/>
          <w:sz w:val="20"/>
          <w:szCs w:val="20"/>
        </w:rPr>
      </w:pPr>
      <w:r w:rsidRPr="00C1299C">
        <w:rPr>
          <w:rStyle w:val="Bodytext8pt"/>
          <w:b/>
          <w:sz w:val="20"/>
          <w:szCs w:val="20"/>
        </w:rPr>
        <w:t>Interpret</w:t>
      </w:r>
      <w:r w:rsidR="008D65A2" w:rsidRPr="00C1299C">
        <w:rPr>
          <w:rStyle w:val="Bodytext8pt"/>
          <w:b/>
          <w:sz w:val="20"/>
          <w:szCs w:val="20"/>
        </w:rPr>
        <w:t>ation.</w:t>
      </w:r>
    </w:p>
    <w:p w14:paraId="59259814" w14:textId="7D53DC33" w:rsidR="00EB6D68" w:rsidRPr="00C1299C" w:rsidRDefault="00657D17" w:rsidP="00271E21">
      <w:pPr>
        <w:pStyle w:val="Bodytext20"/>
        <w:tabs>
          <w:tab w:val="left" w:pos="630"/>
        </w:tabs>
        <w:spacing w:after="60" w:line="240" w:lineRule="auto"/>
        <w:ind w:firstLine="274"/>
        <w:rPr>
          <w:sz w:val="24"/>
          <w:szCs w:val="24"/>
        </w:rPr>
      </w:pPr>
      <w:r w:rsidRPr="00C1299C">
        <w:rPr>
          <w:rStyle w:val="Bodytext2105pt"/>
          <w:b/>
          <w:sz w:val="24"/>
          <w:szCs w:val="24"/>
        </w:rPr>
        <w:t>7.</w:t>
      </w:r>
      <w:r w:rsidR="00D12C87" w:rsidRPr="00C1299C">
        <w:rPr>
          <w:rStyle w:val="Bodytext2105pt"/>
          <w:sz w:val="24"/>
          <w:szCs w:val="24"/>
        </w:rPr>
        <w:tab/>
      </w:r>
      <w:r w:rsidR="008D65A2" w:rsidRPr="00C1299C">
        <w:rPr>
          <w:rStyle w:val="Bodytext2105pt"/>
          <w:sz w:val="24"/>
          <w:szCs w:val="24"/>
        </w:rPr>
        <w:t>Section 83</w:t>
      </w:r>
      <w:r w:rsidR="00734135">
        <w:rPr>
          <w:rStyle w:val="Bodytext2105pt"/>
          <w:smallCaps/>
          <w:sz w:val="24"/>
          <w:szCs w:val="24"/>
        </w:rPr>
        <w:t>aaa</w:t>
      </w:r>
      <w:r w:rsidR="008D65A2" w:rsidRPr="00C1299C">
        <w:rPr>
          <w:rStyle w:val="Bodytext2105pt"/>
          <w:sz w:val="24"/>
          <w:szCs w:val="24"/>
        </w:rPr>
        <w:t xml:space="preserve"> of the Principal Act is amended by adding after sub-section (5) the following sub-section: —</w:t>
      </w:r>
    </w:p>
    <w:p w14:paraId="12480BB7" w14:textId="77777777" w:rsidR="00EB6D68" w:rsidRPr="00C1299C" w:rsidRDefault="008D65A2" w:rsidP="00271E21">
      <w:pPr>
        <w:pStyle w:val="Bodytext20"/>
        <w:spacing w:line="240" w:lineRule="auto"/>
        <w:ind w:firstLine="270"/>
        <w:rPr>
          <w:sz w:val="24"/>
          <w:szCs w:val="24"/>
        </w:rPr>
      </w:pPr>
      <w:r w:rsidRPr="00C1299C">
        <w:rPr>
          <w:rStyle w:val="Bodytext2105pt6"/>
          <w:sz w:val="24"/>
          <w:szCs w:val="24"/>
        </w:rPr>
        <w:t>“(6)</w:t>
      </w:r>
      <w:r w:rsidRPr="00C1299C">
        <w:rPr>
          <w:rStyle w:val="Bodytext2105pt"/>
          <w:sz w:val="24"/>
          <w:szCs w:val="24"/>
        </w:rPr>
        <w:t xml:space="preserve"> A reference in this Part to a period of residence in Australia shall be read as including a reference to a period of residence in an area that was, at the time of the residence, an external Territory, other than Norfolk Island.</w:t>
      </w:r>
    </w:p>
    <w:p w14:paraId="561CC55D" w14:textId="77777777" w:rsidR="00734135" w:rsidRDefault="00734135">
      <w:pPr>
        <w:rPr>
          <w:rStyle w:val="Bodytext8pt"/>
          <w:rFonts w:eastAsia="Courier New"/>
          <w:b/>
          <w:sz w:val="20"/>
          <w:szCs w:val="20"/>
        </w:rPr>
      </w:pPr>
      <w:r>
        <w:rPr>
          <w:rStyle w:val="Bodytext8pt"/>
          <w:rFonts w:eastAsia="Courier New"/>
          <w:b/>
          <w:sz w:val="20"/>
          <w:szCs w:val="20"/>
        </w:rPr>
        <w:br w:type="page"/>
      </w:r>
    </w:p>
    <w:p w14:paraId="70F613CA" w14:textId="6289A8C7" w:rsidR="00EB6D68" w:rsidRPr="00C1299C" w:rsidRDefault="008D65A2" w:rsidP="00271E21">
      <w:pPr>
        <w:pStyle w:val="BodyText1"/>
        <w:spacing w:before="120" w:after="60" w:line="240" w:lineRule="auto"/>
        <w:ind w:firstLine="0"/>
        <w:rPr>
          <w:b/>
          <w:sz w:val="20"/>
          <w:szCs w:val="20"/>
        </w:rPr>
      </w:pPr>
      <w:r w:rsidRPr="00C1299C">
        <w:rPr>
          <w:rStyle w:val="Bodytext8pt"/>
          <w:b/>
          <w:sz w:val="20"/>
          <w:szCs w:val="20"/>
        </w:rPr>
        <w:lastRenderedPageBreak/>
        <w:t>Qualifications for benefit.</w:t>
      </w:r>
    </w:p>
    <w:p w14:paraId="2B6221F2" w14:textId="35F6ED7E" w:rsidR="00EB6D68" w:rsidRPr="00C1299C" w:rsidRDefault="00657D17" w:rsidP="00271E21">
      <w:pPr>
        <w:pStyle w:val="Bodytext20"/>
        <w:tabs>
          <w:tab w:val="left" w:pos="630"/>
        </w:tabs>
        <w:spacing w:after="60" w:line="240" w:lineRule="auto"/>
        <w:ind w:firstLine="274"/>
        <w:rPr>
          <w:sz w:val="24"/>
          <w:szCs w:val="24"/>
        </w:rPr>
      </w:pPr>
      <w:r w:rsidRPr="00C1299C">
        <w:rPr>
          <w:rStyle w:val="Bodytext2105pt"/>
          <w:b/>
          <w:sz w:val="24"/>
          <w:szCs w:val="24"/>
        </w:rPr>
        <w:t>8.</w:t>
      </w:r>
      <w:r w:rsidR="00D12C87" w:rsidRPr="00C1299C">
        <w:rPr>
          <w:rStyle w:val="Bodytext2105pt"/>
          <w:sz w:val="24"/>
          <w:szCs w:val="24"/>
        </w:rPr>
        <w:tab/>
      </w:r>
      <w:r w:rsidR="008D65A2" w:rsidRPr="00C1299C">
        <w:rPr>
          <w:rStyle w:val="Bodytext2105pt"/>
          <w:sz w:val="24"/>
          <w:szCs w:val="24"/>
        </w:rPr>
        <w:t>Section 83</w:t>
      </w:r>
      <w:r w:rsidR="00734135">
        <w:rPr>
          <w:rStyle w:val="Bodytext2105pt"/>
          <w:smallCaps/>
          <w:sz w:val="24"/>
          <w:szCs w:val="24"/>
        </w:rPr>
        <w:t>aac</w:t>
      </w:r>
      <w:r w:rsidR="008D65A2" w:rsidRPr="00C1299C">
        <w:rPr>
          <w:rStyle w:val="Bodytext2105pt"/>
          <w:sz w:val="24"/>
          <w:szCs w:val="24"/>
        </w:rPr>
        <w:t xml:space="preserve"> of the Principal Act is amended by inserting at the end thereof the following sub-section:—</w:t>
      </w:r>
    </w:p>
    <w:p w14:paraId="6EBD1A9A" w14:textId="2644BC42" w:rsidR="00EB6D68" w:rsidRPr="00C1299C" w:rsidRDefault="008D65A2" w:rsidP="00271E21">
      <w:pPr>
        <w:pStyle w:val="Bodytext20"/>
        <w:spacing w:line="240" w:lineRule="auto"/>
        <w:ind w:firstLine="270"/>
        <w:rPr>
          <w:sz w:val="24"/>
          <w:szCs w:val="24"/>
        </w:rPr>
      </w:pPr>
      <w:r w:rsidRPr="00C1299C">
        <w:rPr>
          <w:rStyle w:val="Bodytext2105pt6"/>
          <w:sz w:val="24"/>
          <w:szCs w:val="24"/>
        </w:rPr>
        <w:t>“(2)</w:t>
      </w:r>
      <w:r w:rsidRPr="00C1299C">
        <w:rPr>
          <w:rStyle w:val="Bodytext2105pt"/>
          <w:sz w:val="24"/>
          <w:szCs w:val="24"/>
        </w:rPr>
        <w:t xml:space="preserve"> A reference in paragraph </w:t>
      </w:r>
      <w:r w:rsidRPr="00C1299C">
        <w:rPr>
          <w:rStyle w:val="Bodytext2105pt6"/>
          <w:sz w:val="24"/>
          <w:szCs w:val="24"/>
        </w:rPr>
        <w:t>(a),</w:t>
      </w:r>
      <w:r w:rsidRPr="00C1299C">
        <w:rPr>
          <w:rStyle w:val="Bodytext2105pt"/>
          <w:sz w:val="24"/>
          <w:szCs w:val="24"/>
        </w:rPr>
        <w:t xml:space="preserve"> </w:t>
      </w:r>
      <w:r w:rsidRPr="00C1299C">
        <w:rPr>
          <w:rStyle w:val="Bodytext2105pt6"/>
          <w:sz w:val="24"/>
          <w:szCs w:val="24"/>
        </w:rPr>
        <w:t>(b)</w:t>
      </w:r>
      <w:r w:rsidRPr="00C1299C">
        <w:rPr>
          <w:rStyle w:val="Bodytext2105pt"/>
          <w:sz w:val="24"/>
          <w:szCs w:val="24"/>
        </w:rPr>
        <w:t xml:space="preserve"> or </w:t>
      </w:r>
      <w:r w:rsidRPr="00C1299C">
        <w:rPr>
          <w:rStyle w:val="Bodytext2105pt6"/>
          <w:sz w:val="24"/>
          <w:szCs w:val="24"/>
        </w:rPr>
        <w:t>(c)</w:t>
      </w:r>
      <w:r w:rsidRPr="00C1299C">
        <w:rPr>
          <w:rStyle w:val="Bodytext2105pt"/>
          <w:sz w:val="24"/>
          <w:szCs w:val="24"/>
        </w:rPr>
        <w:t xml:space="preserve"> of sub-section (1) to residence in Australia shall be read as including a reference to residence in an area that was, at the time of the residence, an external Territory, other than Norfolk Island.”.</w:t>
      </w:r>
    </w:p>
    <w:p w14:paraId="67B2700B" w14:textId="77777777" w:rsidR="00EB6D68" w:rsidRPr="00C1299C" w:rsidRDefault="008D65A2" w:rsidP="00271E21">
      <w:pPr>
        <w:pStyle w:val="BodyText1"/>
        <w:spacing w:before="120" w:after="60" w:line="240" w:lineRule="auto"/>
        <w:ind w:firstLine="0"/>
        <w:rPr>
          <w:b/>
          <w:sz w:val="20"/>
          <w:szCs w:val="20"/>
        </w:rPr>
      </w:pPr>
      <w:r w:rsidRPr="00C1299C">
        <w:rPr>
          <w:rStyle w:val="Bodytext8pt"/>
          <w:b/>
          <w:sz w:val="20"/>
          <w:szCs w:val="20"/>
        </w:rPr>
        <w:t>Pension granted to former resident of Australia, &amp;c.</w:t>
      </w:r>
    </w:p>
    <w:p w14:paraId="438137A1" w14:textId="051867DA" w:rsidR="00EB6D68" w:rsidRPr="00C1299C" w:rsidRDefault="00657D17" w:rsidP="00271E21">
      <w:pPr>
        <w:pStyle w:val="Bodytext20"/>
        <w:tabs>
          <w:tab w:val="left" w:pos="630"/>
        </w:tabs>
        <w:spacing w:after="60" w:line="240" w:lineRule="auto"/>
        <w:ind w:firstLine="274"/>
        <w:rPr>
          <w:sz w:val="24"/>
          <w:szCs w:val="24"/>
        </w:rPr>
      </w:pPr>
      <w:r w:rsidRPr="00C1299C">
        <w:rPr>
          <w:rStyle w:val="Bodytext2105pt"/>
          <w:b/>
          <w:sz w:val="24"/>
          <w:szCs w:val="24"/>
        </w:rPr>
        <w:t>9.</w:t>
      </w:r>
      <w:r w:rsidR="003E7D6F" w:rsidRPr="00C1299C">
        <w:rPr>
          <w:rStyle w:val="Bodytext2105pt"/>
          <w:sz w:val="24"/>
          <w:szCs w:val="24"/>
        </w:rPr>
        <w:tab/>
      </w:r>
      <w:r w:rsidR="008D65A2" w:rsidRPr="00C1299C">
        <w:rPr>
          <w:rStyle w:val="Bodytext2105pt"/>
          <w:sz w:val="24"/>
          <w:szCs w:val="24"/>
        </w:rPr>
        <w:t xml:space="preserve">Section </w:t>
      </w:r>
      <w:r w:rsidR="008D65A2" w:rsidRPr="00C1299C">
        <w:rPr>
          <w:rStyle w:val="Bodytext210pt"/>
          <w:b w:val="0"/>
          <w:sz w:val="24"/>
          <w:szCs w:val="24"/>
        </w:rPr>
        <w:t>83</w:t>
      </w:r>
      <w:r w:rsidR="00734135">
        <w:rPr>
          <w:rStyle w:val="Bodytext210pt"/>
          <w:b w:val="0"/>
          <w:smallCaps/>
          <w:sz w:val="24"/>
          <w:szCs w:val="24"/>
        </w:rPr>
        <w:t>ad</w:t>
      </w:r>
      <w:r w:rsidR="008D65A2" w:rsidRPr="00C1299C">
        <w:rPr>
          <w:rStyle w:val="Bodytext210pt"/>
          <w:b w:val="0"/>
          <w:sz w:val="24"/>
          <w:szCs w:val="24"/>
        </w:rPr>
        <w:t xml:space="preserve"> </w:t>
      </w:r>
      <w:r w:rsidR="008D65A2" w:rsidRPr="00C1299C">
        <w:rPr>
          <w:rStyle w:val="Bodytext2105pt"/>
          <w:sz w:val="24"/>
          <w:szCs w:val="24"/>
        </w:rPr>
        <w:t>of the Principal Act is amended—</w:t>
      </w:r>
    </w:p>
    <w:p w14:paraId="4F3FE8F7" w14:textId="71692E5F" w:rsidR="00EB6D68" w:rsidRPr="00C1299C" w:rsidRDefault="008D65A2" w:rsidP="00271E21">
      <w:pPr>
        <w:pStyle w:val="Bodytext20"/>
        <w:spacing w:after="60" w:line="240" w:lineRule="auto"/>
        <w:ind w:firstLine="274"/>
        <w:rPr>
          <w:sz w:val="24"/>
          <w:szCs w:val="24"/>
        </w:rPr>
      </w:pPr>
      <w:r w:rsidRPr="00C1299C">
        <w:rPr>
          <w:rStyle w:val="Bodytext2105pt"/>
          <w:sz w:val="24"/>
          <w:szCs w:val="24"/>
        </w:rPr>
        <w:t>(a) by omitting sub-section (1) and</w:t>
      </w:r>
      <w:r w:rsidR="00734135">
        <w:rPr>
          <w:rStyle w:val="Bodytext2105pt"/>
          <w:sz w:val="24"/>
          <w:szCs w:val="24"/>
        </w:rPr>
        <w:t xml:space="preserve"> substituting the following sub-s</w:t>
      </w:r>
      <w:r w:rsidRPr="00C1299C">
        <w:rPr>
          <w:rStyle w:val="Bodytext2105pt"/>
          <w:sz w:val="24"/>
          <w:szCs w:val="24"/>
        </w:rPr>
        <w:t>ection:—</w:t>
      </w:r>
    </w:p>
    <w:p w14:paraId="61D91E86" w14:textId="77777777" w:rsidR="00EB6D68" w:rsidRPr="00C1299C" w:rsidRDefault="008D65A2" w:rsidP="00271E21">
      <w:pPr>
        <w:pStyle w:val="Bodytext20"/>
        <w:spacing w:after="60" w:line="240" w:lineRule="auto"/>
        <w:ind w:left="806"/>
        <w:rPr>
          <w:sz w:val="24"/>
          <w:szCs w:val="24"/>
        </w:rPr>
      </w:pPr>
      <w:r w:rsidRPr="00C1299C">
        <w:rPr>
          <w:rStyle w:val="Bodytext2105pt6"/>
          <w:sz w:val="24"/>
          <w:szCs w:val="24"/>
        </w:rPr>
        <w:t>“(1)</w:t>
      </w:r>
      <w:r w:rsidRPr="00C1299C">
        <w:rPr>
          <w:rStyle w:val="Bodytext2105pt"/>
          <w:sz w:val="24"/>
          <w:szCs w:val="24"/>
        </w:rPr>
        <w:t xml:space="preserve"> Subject to this section, where—</w:t>
      </w:r>
    </w:p>
    <w:p w14:paraId="6174EFDE" w14:textId="77777777" w:rsidR="00EB6D68" w:rsidRPr="00C1299C" w:rsidRDefault="00657D17" w:rsidP="00271E21">
      <w:pPr>
        <w:pStyle w:val="Bodytext20"/>
        <w:spacing w:after="60" w:line="240" w:lineRule="auto"/>
        <w:ind w:left="1628" w:hanging="274"/>
        <w:rPr>
          <w:sz w:val="24"/>
          <w:szCs w:val="24"/>
        </w:rPr>
      </w:pPr>
      <w:r w:rsidRPr="00C1299C">
        <w:rPr>
          <w:rStyle w:val="Bodytext2105pt"/>
          <w:sz w:val="24"/>
          <w:szCs w:val="24"/>
        </w:rPr>
        <w:t xml:space="preserve">(a) </w:t>
      </w:r>
      <w:r w:rsidR="008D65A2" w:rsidRPr="00C1299C">
        <w:rPr>
          <w:rStyle w:val="Bodytext2105pt"/>
          <w:sz w:val="24"/>
          <w:szCs w:val="24"/>
        </w:rPr>
        <w:t>a person who formerly resided in Australia has returned to Australia or a person who formerly resided in an area that was, at the time of the residence, an external Territory but has never resided in Australia has arrived in Australia;</w:t>
      </w:r>
    </w:p>
    <w:p w14:paraId="5E22F4C8" w14:textId="77777777" w:rsidR="00EB6D68" w:rsidRPr="00C1299C" w:rsidRDefault="00657D17" w:rsidP="00271E21">
      <w:pPr>
        <w:pStyle w:val="Bodytext20"/>
        <w:spacing w:after="60" w:line="240" w:lineRule="auto"/>
        <w:ind w:left="1628" w:hanging="274"/>
        <w:rPr>
          <w:sz w:val="24"/>
          <w:szCs w:val="24"/>
        </w:rPr>
      </w:pPr>
      <w:r w:rsidRPr="00C1299C">
        <w:rPr>
          <w:rStyle w:val="Bodytext2105pt"/>
          <w:sz w:val="24"/>
          <w:szCs w:val="24"/>
        </w:rPr>
        <w:t xml:space="preserve">(b) </w:t>
      </w:r>
      <w:r w:rsidR="008D65A2" w:rsidRPr="00C1299C">
        <w:rPr>
          <w:rStyle w:val="Bodytext2105pt"/>
          <w:sz w:val="24"/>
          <w:szCs w:val="24"/>
        </w:rPr>
        <w:t>before the expiration of the period of 12 months that commenced on the date of his return to, or his arrival in, Australia, that person has lodged a claim for a pension; and</w:t>
      </w:r>
    </w:p>
    <w:p w14:paraId="70AA6409" w14:textId="47306589" w:rsidR="00EB6D68" w:rsidRPr="00C1299C" w:rsidRDefault="00657D17" w:rsidP="00734135">
      <w:pPr>
        <w:pStyle w:val="Bodytext20"/>
        <w:spacing w:line="240" w:lineRule="auto"/>
        <w:ind w:left="1620" w:hanging="270"/>
        <w:rPr>
          <w:sz w:val="24"/>
          <w:szCs w:val="24"/>
        </w:rPr>
      </w:pPr>
      <w:r w:rsidRPr="00C1299C">
        <w:rPr>
          <w:rStyle w:val="Bodytext2105pt"/>
          <w:sz w:val="24"/>
          <w:szCs w:val="24"/>
        </w:rPr>
        <w:t xml:space="preserve">(c) </w:t>
      </w:r>
      <w:r w:rsidR="008D65A2" w:rsidRPr="00C1299C">
        <w:rPr>
          <w:rStyle w:val="Bodytext2105pt"/>
          <w:sz w:val="24"/>
          <w:szCs w:val="24"/>
        </w:rPr>
        <w:t xml:space="preserve">that person leaves Australia (whether before or after his claim </w:t>
      </w:r>
      <w:r w:rsidR="003E7D6F" w:rsidRPr="00C1299C">
        <w:rPr>
          <w:rStyle w:val="Bodytext2105pt"/>
          <w:sz w:val="24"/>
          <w:szCs w:val="24"/>
        </w:rPr>
        <w:t>is determined) before the expir</w:t>
      </w:r>
      <w:r w:rsidR="008D65A2" w:rsidRPr="00C1299C">
        <w:rPr>
          <w:rStyle w:val="Bodytext2105pt"/>
          <w:sz w:val="24"/>
          <w:szCs w:val="24"/>
        </w:rPr>
        <w:t>ation of that period,</w:t>
      </w:r>
      <w:r w:rsidR="00734135">
        <w:rPr>
          <w:rStyle w:val="Bodytext2105pt"/>
          <w:sz w:val="24"/>
          <w:szCs w:val="24"/>
        </w:rPr>
        <w:t xml:space="preserve"> </w:t>
      </w:r>
      <w:r w:rsidR="008D65A2" w:rsidRPr="00C1299C">
        <w:rPr>
          <w:rStyle w:val="Bodytext2105pt"/>
          <w:sz w:val="24"/>
          <w:szCs w:val="24"/>
        </w:rPr>
        <w:t>any pension granted as a result of that claim is not payable in respect of any period during which the pensioner is outside Australia.”; and</w:t>
      </w:r>
    </w:p>
    <w:p w14:paraId="53CCA4DB" w14:textId="77777777" w:rsidR="00EB6D68" w:rsidRPr="00C1299C" w:rsidRDefault="00632B82" w:rsidP="00271E21">
      <w:pPr>
        <w:pStyle w:val="Bodytext20"/>
        <w:spacing w:line="240" w:lineRule="auto"/>
        <w:ind w:left="1620" w:hanging="270"/>
        <w:rPr>
          <w:sz w:val="24"/>
          <w:szCs w:val="24"/>
        </w:rPr>
      </w:pPr>
      <w:r w:rsidRPr="00C1299C">
        <w:rPr>
          <w:rStyle w:val="Bodytext2105pt"/>
          <w:sz w:val="24"/>
          <w:szCs w:val="24"/>
        </w:rPr>
        <w:t xml:space="preserve">(b) </w:t>
      </w:r>
      <w:r w:rsidR="008D65A2" w:rsidRPr="00C1299C">
        <w:rPr>
          <w:rStyle w:val="Bodytext2105pt"/>
          <w:sz w:val="24"/>
          <w:szCs w:val="24"/>
        </w:rPr>
        <w:t xml:space="preserve">by inserting in sub-section </w:t>
      </w:r>
      <w:r w:rsidR="008D65A2" w:rsidRPr="00C1299C">
        <w:rPr>
          <w:rStyle w:val="Bodytext2105pt6"/>
          <w:sz w:val="24"/>
          <w:szCs w:val="24"/>
        </w:rPr>
        <w:t>(2),</w:t>
      </w:r>
      <w:r w:rsidR="008D65A2" w:rsidRPr="00C1299C">
        <w:rPr>
          <w:rStyle w:val="Bodytext2105pt"/>
          <w:sz w:val="24"/>
          <w:szCs w:val="24"/>
        </w:rPr>
        <w:t xml:space="preserve"> after the words “return to”, the words “, or his arrival in,”.</w:t>
      </w:r>
    </w:p>
    <w:p w14:paraId="6CDD3B80" w14:textId="77777777" w:rsidR="00EB6D68" w:rsidRPr="00C1299C" w:rsidRDefault="008D65A2" w:rsidP="00271E21">
      <w:pPr>
        <w:pStyle w:val="BodyText1"/>
        <w:spacing w:before="120" w:after="60" w:line="240" w:lineRule="auto"/>
        <w:ind w:firstLine="0"/>
        <w:rPr>
          <w:b/>
          <w:sz w:val="20"/>
          <w:szCs w:val="20"/>
        </w:rPr>
      </w:pPr>
      <w:r w:rsidRPr="00C1299C">
        <w:rPr>
          <w:rStyle w:val="Bodytext8pt"/>
          <w:b/>
          <w:sz w:val="20"/>
          <w:szCs w:val="20"/>
        </w:rPr>
        <w:t>Payment of maternity allowance in respect of birth during temporary absence from</w:t>
      </w:r>
      <w:r w:rsidR="00632B82" w:rsidRPr="00C1299C">
        <w:rPr>
          <w:b/>
          <w:sz w:val="20"/>
          <w:szCs w:val="20"/>
        </w:rPr>
        <w:t xml:space="preserve"> </w:t>
      </w:r>
      <w:r w:rsidRPr="00C1299C">
        <w:rPr>
          <w:rStyle w:val="Bodytext8pt"/>
          <w:b/>
          <w:sz w:val="20"/>
          <w:szCs w:val="20"/>
        </w:rPr>
        <w:t>Australia.</w:t>
      </w:r>
    </w:p>
    <w:p w14:paraId="7E408473" w14:textId="391FAC8E" w:rsidR="00EB6D68" w:rsidRPr="00C1299C" w:rsidRDefault="00632B82" w:rsidP="00271E21">
      <w:pPr>
        <w:pStyle w:val="Bodytext20"/>
        <w:tabs>
          <w:tab w:val="left" w:pos="630"/>
        </w:tabs>
        <w:spacing w:after="60" w:line="240" w:lineRule="auto"/>
        <w:ind w:firstLine="274"/>
        <w:rPr>
          <w:sz w:val="24"/>
          <w:szCs w:val="24"/>
        </w:rPr>
      </w:pPr>
      <w:r w:rsidRPr="00C1299C">
        <w:rPr>
          <w:rStyle w:val="Bodytext2105pt"/>
          <w:b/>
          <w:sz w:val="24"/>
          <w:szCs w:val="24"/>
        </w:rPr>
        <w:t>10.</w:t>
      </w:r>
      <w:r w:rsidR="003E7D6F" w:rsidRPr="00C1299C">
        <w:rPr>
          <w:rStyle w:val="Bodytext2105pt"/>
          <w:sz w:val="24"/>
          <w:szCs w:val="24"/>
        </w:rPr>
        <w:tab/>
      </w:r>
      <w:r w:rsidR="008D65A2" w:rsidRPr="00C1299C">
        <w:rPr>
          <w:rStyle w:val="Bodytext2105pt"/>
          <w:sz w:val="24"/>
          <w:szCs w:val="24"/>
        </w:rPr>
        <w:t>Section 92 of the Principal Act is amended by omitting from s</w:t>
      </w:r>
      <w:r w:rsidR="00734135">
        <w:rPr>
          <w:rStyle w:val="Bodytext2105pt"/>
          <w:sz w:val="24"/>
          <w:szCs w:val="24"/>
        </w:rPr>
        <w:t>ub-</w:t>
      </w:r>
      <w:r w:rsidR="008D65A2" w:rsidRPr="00C1299C">
        <w:rPr>
          <w:rStyle w:val="Bodytext2105pt"/>
          <w:sz w:val="24"/>
          <w:szCs w:val="24"/>
        </w:rPr>
        <w:t>paragraph (ii) of paragraph (a) of sub-section (2) the figure “7” and substituting the figure and letter “7</w:t>
      </w:r>
      <w:r w:rsidR="008D65A2" w:rsidRPr="00C1299C">
        <w:rPr>
          <w:rStyle w:val="Bodytext2105pt3"/>
          <w:sz w:val="24"/>
          <w:szCs w:val="24"/>
        </w:rPr>
        <w:t>a”.</w:t>
      </w:r>
    </w:p>
    <w:p w14:paraId="0C261FCC" w14:textId="77777777" w:rsidR="00632B82" w:rsidRPr="00C1299C" w:rsidRDefault="00632B82" w:rsidP="00271E21">
      <w:pPr>
        <w:pStyle w:val="BodyText1"/>
        <w:spacing w:before="120" w:after="60" w:line="240" w:lineRule="auto"/>
        <w:ind w:firstLine="0"/>
        <w:rPr>
          <w:rStyle w:val="Bodytext8pt"/>
          <w:b/>
          <w:sz w:val="20"/>
          <w:szCs w:val="20"/>
        </w:rPr>
      </w:pPr>
      <w:r w:rsidRPr="00C1299C">
        <w:rPr>
          <w:rStyle w:val="Bodytext8pt"/>
          <w:b/>
          <w:sz w:val="20"/>
          <w:szCs w:val="20"/>
        </w:rPr>
        <w:t>Payment of</w:t>
      </w:r>
      <w:r w:rsidRPr="00C1299C">
        <w:rPr>
          <w:b/>
          <w:sz w:val="20"/>
          <w:szCs w:val="20"/>
        </w:rPr>
        <w:t xml:space="preserve"> </w:t>
      </w:r>
      <w:r w:rsidRPr="00C1299C">
        <w:rPr>
          <w:rStyle w:val="Bodytext8pt"/>
          <w:b/>
          <w:sz w:val="20"/>
          <w:szCs w:val="20"/>
        </w:rPr>
        <w:t xml:space="preserve">endowment </w:t>
      </w:r>
      <w:r w:rsidRPr="00C1299C">
        <w:rPr>
          <w:b/>
          <w:sz w:val="20"/>
          <w:szCs w:val="20"/>
        </w:rPr>
        <w:t xml:space="preserve">during </w:t>
      </w:r>
      <w:r w:rsidRPr="00C1299C">
        <w:rPr>
          <w:rStyle w:val="Bodytext8pt"/>
          <w:b/>
          <w:sz w:val="20"/>
          <w:szCs w:val="20"/>
        </w:rPr>
        <w:t>temporary</w:t>
      </w:r>
      <w:r w:rsidRPr="00C1299C">
        <w:rPr>
          <w:b/>
          <w:sz w:val="20"/>
          <w:szCs w:val="20"/>
        </w:rPr>
        <w:t xml:space="preserve"> </w:t>
      </w:r>
      <w:r w:rsidRPr="00C1299C">
        <w:rPr>
          <w:rStyle w:val="Bodytext8pt"/>
          <w:b/>
          <w:sz w:val="20"/>
          <w:szCs w:val="20"/>
        </w:rPr>
        <w:t>absence</w:t>
      </w:r>
      <w:r w:rsidRPr="00C1299C">
        <w:rPr>
          <w:b/>
          <w:sz w:val="20"/>
          <w:szCs w:val="20"/>
        </w:rPr>
        <w:t xml:space="preserve"> </w:t>
      </w:r>
      <w:r w:rsidRPr="00C1299C">
        <w:rPr>
          <w:rStyle w:val="Bodytext8pt"/>
          <w:b/>
          <w:sz w:val="20"/>
          <w:szCs w:val="20"/>
        </w:rPr>
        <w:t>from</w:t>
      </w:r>
      <w:r w:rsidRPr="00C1299C">
        <w:rPr>
          <w:b/>
          <w:sz w:val="20"/>
          <w:szCs w:val="20"/>
        </w:rPr>
        <w:t xml:space="preserve"> </w:t>
      </w:r>
      <w:r w:rsidRPr="00C1299C">
        <w:rPr>
          <w:rStyle w:val="Bodytext8pt"/>
          <w:b/>
          <w:sz w:val="20"/>
          <w:szCs w:val="20"/>
        </w:rPr>
        <w:t>Australia.</w:t>
      </w:r>
    </w:p>
    <w:p w14:paraId="2D9E9DDE" w14:textId="650F6705" w:rsidR="00EB6D68" w:rsidRPr="00C1299C" w:rsidRDefault="00632B82" w:rsidP="00271E21">
      <w:pPr>
        <w:pStyle w:val="Bodytext20"/>
        <w:tabs>
          <w:tab w:val="left" w:pos="630"/>
        </w:tabs>
        <w:spacing w:line="240" w:lineRule="auto"/>
        <w:ind w:firstLine="270"/>
        <w:rPr>
          <w:sz w:val="24"/>
          <w:szCs w:val="24"/>
        </w:rPr>
      </w:pPr>
      <w:r w:rsidRPr="00C1299C">
        <w:rPr>
          <w:rStyle w:val="Bodytext2105pt"/>
          <w:b/>
          <w:sz w:val="24"/>
          <w:szCs w:val="24"/>
        </w:rPr>
        <w:t>11.</w:t>
      </w:r>
      <w:r w:rsidR="003E7D6F" w:rsidRPr="00C1299C">
        <w:rPr>
          <w:rStyle w:val="Bodytext2105pt"/>
          <w:sz w:val="24"/>
          <w:szCs w:val="24"/>
        </w:rPr>
        <w:tab/>
      </w:r>
      <w:r w:rsidR="008D65A2" w:rsidRPr="00C1299C">
        <w:rPr>
          <w:rStyle w:val="Bodytext2105pt"/>
          <w:sz w:val="24"/>
          <w:szCs w:val="24"/>
        </w:rPr>
        <w:t>Section 104 of the Principal Act is amended by omitting from paragraph (b) of sub-section (2) the figure “7” and subst</w:t>
      </w:r>
      <w:r w:rsidR="00CD1990">
        <w:rPr>
          <w:rStyle w:val="Bodytext2105pt"/>
          <w:sz w:val="24"/>
          <w:szCs w:val="24"/>
        </w:rPr>
        <w:t>ituting the figure and letter “7</w:t>
      </w:r>
      <w:r w:rsidR="00734135">
        <w:rPr>
          <w:rStyle w:val="Bodytext2105pt"/>
          <w:smallCaps/>
          <w:sz w:val="24"/>
          <w:szCs w:val="24"/>
        </w:rPr>
        <w:t>a</w:t>
      </w:r>
      <w:r w:rsidR="008D65A2" w:rsidRPr="00C1299C">
        <w:rPr>
          <w:rStyle w:val="Bodytext2105pt"/>
          <w:sz w:val="24"/>
          <w:szCs w:val="24"/>
        </w:rPr>
        <w:t>”.</w:t>
      </w:r>
    </w:p>
    <w:p w14:paraId="391B0F70" w14:textId="77777777" w:rsidR="00632B82" w:rsidRPr="00C1299C" w:rsidRDefault="00632B82" w:rsidP="00271E21">
      <w:pPr>
        <w:pStyle w:val="BodyText1"/>
        <w:spacing w:before="120" w:after="60" w:line="240" w:lineRule="auto"/>
        <w:ind w:firstLine="0"/>
        <w:rPr>
          <w:b/>
          <w:sz w:val="20"/>
          <w:szCs w:val="20"/>
        </w:rPr>
      </w:pPr>
      <w:r w:rsidRPr="00C1299C">
        <w:rPr>
          <w:b/>
          <w:sz w:val="20"/>
          <w:szCs w:val="20"/>
        </w:rPr>
        <w:t>Certain pensions to continue to be payable.</w:t>
      </w:r>
    </w:p>
    <w:p w14:paraId="5946101D" w14:textId="54345BEC" w:rsidR="003E7D6F" w:rsidRPr="00C1299C" w:rsidRDefault="00632B82" w:rsidP="00734135">
      <w:pPr>
        <w:pStyle w:val="Bodytext20"/>
        <w:tabs>
          <w:tab w:val="left" w:pos="630"/>
        </w:tabs>
        <w:spacing w:line="240" w:lineRule="auto"/>
        <w:ind w:firstLine="270"/>
        <w:rPr>
          <w:rStyle w:val="Bodytext2105pt"/>
          <w:sz w:val="24"/>
          <w:szCs w:val="24"/>
        </w:rPr>
      </w:pPr>
      <w:r w:rsidRPr="00C1299C">
        <w:rPr>
          <w:rStyle w:val="Bodytext2105pt"/>
          <w:b/>
          <w:sz w:val="24"/>
          <w:szCs w:val="24"/>
        </w:rPr>
        <w:t>12.</w:t>
      </w:r>
      <w:r w:rsidR="003E7D6F" w:rsidRPr="00C1299C">
        <w:rPr>
          <w:rStyle w:val="Bodytext2105pt"/>
          <w:sz w:val="24"/>
          <w:szCs w:val="24"/>
        </w:rPr>
        <w:tab/>
      </w:r>
      <w:r w:rsidR="008D65A2" w:rsidRPr="00C1299C">
        <w:rPr>
          <w:rStyle w:val="Bodytext2105pt"/>
          <w:sz w:val="24"/>
          <w:szCs w:val="24"/>
        </w:rPr>
        <w:t xml:space="preserve">Where, immediately before 16 September 1975, a pension was payable to a pensioner in Papua New Guinea by virtue of section 14 of the </w:t>
      </w:r>
      <w:r w:rsidR="008D65A2" w:rsidRPr="00C1299C">
        <w:rPr>
          <w:rStyle w:val="Bodytext2105pt5"/>
          <w:sz w:val="24"/>
          <w:szCs w:val="24"/>
        </w:rPr>
        <w:t xml:space="preserve">Social Services Act </w:t>
      </w:r>
      <w:r w:rsidR="008D65A2" w:rsidRPr="00734135">
        <w:rPr>
          <w:rStyle w:val="Bodytext2105pt4"/>
          <w:i w:val="0"/>
          <w:spacing w:val="0"/>
          <w:sz w:val="24"/>
          <w:szCs w:val="24"/>
        </w:rPr>
        <w:t>(</w:t>
      </w:r>
      <w:r w:rsidR="008D65A2" w:rsidRPr="00C1299C">
        <w:rPr>
          <w:rStyle w:val="Bodytext2105pt4"/>
          <w:spacing w:val="0"/>
          <w:sz w:val="24"/>
          <w:szCs w:val="24"/>
        </w:rPr>
        <w:t>No.</w:t>
      </w:r>
      <w:r w:rsidR="008D65A2" w:rsidRPr="00C1299C">
        <w:rPr>
          <w:rStyle w:val="Bodytext2105pt"/>
          <w:sz w:val="24"/>
          <w:szCs w:val="24"/>
        </w:rPr>
        <w:t xml:space="preserve"> 2) 1973, t</w:t>
      </w:r>
      <w:r w:rsidR="003E7D6F" w:rsidRPr="00C1299C">
        <w:rPr>
          <w:rStyle w:val="Bodytext2105pt"/>
          <w:sz w:val="24"/>
          <w:szCs w:val="24"/>
        </w:rPr>
        <w:t>hat pension continues to be pay</w:t>
      </w:r>
      <w:r w:rsidR="008D65A2" w:rsidRPr="00C1299C">
        <w:rPr>
          <w:rStyle w:val="Bodytext2105pt"/>
          <w:sz w:val="24"/>
          <w:szCs w:val="24"/>
        </w:rPr>
        <w:t xml:space="preserve">able, while he remains in the area that comprised Papua New Guinea immediately before that date, as if that area formed part of Australia and, if that pensioner leaves that area (other than to come to Australia), he shall, for the purposes of Part </w:t>
      </w:r>
      <w:proofErr w:type="spellStart"/>
      <w:r w:rsidR="008D65A2" w:rsidRPr="00C1299C">
        <w:rPr>
          <w:rStyle w:val="Bodytext2105pt"/>
          <w:sz w:val="24"/>
          <w:szCs w:val="24"/>
        </w:rPr>
        <w:t>I</w:t>
      </w:r>
      <w:r w:rsidR="00734135">
        <w:rPr>
          <w:rStyle w:val="Bodytext2105pt"/>
          <w:sz w:val="24"/>
          <w:szCs w:val="24"/>
        </w:rPr>
        <w:t>V</w:t>
      </w:r>
      <w:r w:rsidR="00734135">
        <w:rPr>
          <w:rStyle w:val="Bodytext29pt"/>
          <w:smallCaps/>
          <w:sz w:val="24"/>
          <w:szCs w:val="24"/>
        </w:rPr>
        <w:t>aa</w:t>
      </w:r>
      <w:proofErr w:type="spellEnd"/>
      <w:r w:rsidR="00734135">
        <w:rPr>
          <w:rStyle w:val="Bodytext29pt"/>
          <w:smallCaps/>
          <w:sz w:val="24"/>
          <w:szCs w:val="24"/>
        </w:rPr>
        <w:t xml:space="preserve"> </w:t>
      </w:r>
      <w:r w:rsidR="008D65A2" w:rsidRPr="00C1299C">
        <w:rPr>
          <w:rStyle w:val="Bodytext2105pt"/>
          <w:sz w:val="24"/>
          <w:szCs w:val="24"/>
        </w:rPr>
        <w:t>of the Principal Act as amended by this Act, be deemed to leave Australia.</w:t>
      </w:r>
    </w:p>
    <w:p w14:paraId="6FE517F3" w14:textId="77777777" w:rsidR="003E7D6F" w:rsidRPr="00C1299C" w:rsidRDefault="003E7D6F" w:rsidP="003E7D6F">
      <w:pPr>
        <w:pStyle w:val="Bodytext20"/>
        <w:pBdr>
          <w:bottom w:val="single" w:sz="18" w:space="1" w:color="auto"/>
        </w:pBdr>
        <w:tabs>
          <w:tab w:val="left" w:pos="630"/>
        </w:tabs>
        <w:spacing w:after="160" w:line="240" w:lineRule="auto"/>
        <w:ind w:firstLine="274"/>
        <w:jc w:val="left"/>
        <w:rPr>
          <w:sz w:val="24"/>
          <w:szCs w:val="24"/>
        </w:rPr>
      </w:pPr>
    </w:p>
    <w:sectPr w:rsidR="003E7D6F" w:rsidRPr="00C1299C" w:rsidSect="003E7D6F">
      <w:headerReference w:type="even" r:id="rId8"/>
      <w:headerReference w:type="default" r:id="rId9"/>
      <w:type w:val="continuous"/>
      <w:pgSz w:w="12240" w:h="18000"/>
      <w:pgMar w:top="1080" w:right="1080" w:bottom="1080" w:left="1080" w:header="54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4E9D0" w14:textId="77777777" w:rsidR="00ED1B81" w:rsidRDefault="00ED1B81">
      <w:r>
        <w:separator/>
      </w:r>
    </w:p>
  </w:endnote>
  <w:endnote w:type="continuationSeparator" w:id="0">
    <w:p w14:paraId="33BA4139" w14:textId="77777777" w:rsidR="00ED1B81" w:rsidRDefault="00ED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08DF0" w14:textId="77777777" w:rsidR="00ED1B81" w:rsidRDefault="00ED1B81"/>
  </w:footnote>
  <w:footnote w:type="continuationSeparator" w:id="0">
    <w:p w14:paraId="0F34136A" w14:textId="77777777" w:rsidR="00ED1B81" w:rsidRDefault="00ED1B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400D5" w14:textId="301DAD2D" w:rsidR="003E7D6F" w:rsidRPr="003E7D6F" w:rsidRDefault="003E7D6F">
    <w:pPr>
      <w:pStyle w:val="Header"/>
      <w:rPr>
        <w:rFonts w:ascii="Times New Roman" w:hAnsi="Times New Roman" w:cs="Times New Roman"/>
        <w:sz w:val="22"/>
        <w:szCs w:val="22"/>
        <w:lang w:val="en-IN"/>
      </w:rPr>
    </w:pPr>
    <w:r w:rsidRPr="003E7D6F">
      <w:rPr>
        <w:rFonts w:ascii="Times New Roman" w:hAnsi="Times New Roman" w:cs="Times New Roman"/>
        <w:sz w:val="22"/>
        <w:szCs w:val="22"/>
        <w:lang w:val="en-IN"/>
      </w:rPr>
      <w:t>1975</w:t>
    </w:r>
    <w:r w:rsidRPr="003E7D6F">
      <w:rPr>
        <w:rFonts w:ascii="Times New Roman" w:hAnsi="Times New Roman" w:cs="Times New Roman"/>
        <w:sz w:val="22"/>
        <w:szCs w:val="22"/>
        <w:lang w:val="en-IN"/>
      </w:rPr>
      <w:tab/>
    </w:r>
    <w:r w:rsidRPr="003E7D6F">
      <w:rPr>
        <w:rFonts w:ascii="Times New Roman" w:hAnsi="Times New Roman" w:cs="Times New Roman"/>
        <w:i/>
        <w:sz w:val="22"/>
        <w:szCs w:val="22"/>
        <w:lang w:val="en-IN"/>
      </w:rPr>
      <w:t>Social Services</w:t>
    </w:r>
    <w:r>
      <w:rPr>
        <w:rFonts w:ascii="Times New Roman" w:hAnsi="Times New Roman" w:cs="Times New Roman"/>
        <w:i/>
        <w:sz w:val="22"/>
        <w:szCs w:val="22"/>
        <w:lang w:val="en-IN"/>
      </w:rPr>
      <w:t xml:space="preserve"> </w:t>
    </w:r>
    <w:r w:rsidRPr="00734135">
      <w:rPr>
        <w:rFonts w:ascii="Times New Roman" w:hAnsi="Times New Roman" w:cs="Times New Roman"/>
        <w:sz w:val="22"/>
        <w:szCs w:val="22"/>
        <w:lang w:val="en-IN"/>
      </w:rPr>
      <w:t>(</w:t>
    </w:r>
    <w:r w:rsidRPr="003E7D6F">
      <w:rPr>
        <w:rFonts w:ascii="Times New Roman" w:hAnsi="Times New Roman" w:cs="Times New Roman"/>
        <w:i/>
        <w:sz w:val="22"/>
        <w:szCs w:val="22"/>
        <w:lang w:val="en-IN"/>
      </w:rPr>
      <w:t>No.</w:t>
    </w:r>
    <w:r w:rsidR="00734135">
      <w:rPr>
        <w:rFonts w:ascii="Times New Roman" w:hAnsi="Times New Roman" w:cs="Times New Roman"/>
        <w:i/>
        <w:sz w:val="22"/>
        <w:szCs w:val="22"/>
        <w:lang w:val="en-IN"/>
      </w:rPr>
      <w:t xml:space="preserve"> </w:t>
    </w:r>
    <w:r w:rsidRPr="003E7D6F">
      <w:rPr>
        <w:rFonts w:ascii="Times New Roman" w:hAnsi="Times New Roman" w:cs="Times New Roman"/>
        <w:sz w:val="22"/>
        <w:szCs w:val="22"/>
        <w:lang w:val="en-IN"/>
      </w:rPr>
      <w:t>2</w:t>
    </w:r>
    <w:r w:rsidRPr="00734135">
      <w:rPr>
        <w:rFonts w:ascii="Times New Roman" w:hAnsi="Times New Roman" w:cs="Times New Roman"/>
        <w:sz w:val="22"/>
        <w:szCs w:val="22"/>
        <w:lang w:val="en-IN"/>
      </w:rPr>
      <w:t>)</w:t>
    </w:r>
    <w:r w:rsidRPr="003E7D6F">
      <w:rPr>
        <w:rFonts w:ascii="Times New Roman" w:hAnsi="Times New Roman" w:cs="Times New Roman"/>
        <w:sz w:val="22"/>
        <w:szCs w:val="22"/>
        <w:lang w:val="en-IN"/>
      </w:rPr>
      <w:tab/>
      <w:t>No.</w:t>
    </w:r>
    <w:r w:rsidR="00734135">
      <w:rPr>
        <w:rFonts w:ascii="Times New Roman" w:hAnsi="Times New Roman" w:cs="Times New Roman"/>
        <w:sz w:val="22"/>
        <w:szCs w:val="22"/>
        <w:lang w:val="en-IN"/>
      </w:rPr>
      <w:t xml:space="preserve"> </w:t>
    </w:r>
    <w:r w:rsidRPr="003E7D6F">
      <w:rPr>
        <w:rFonts w:ascii="Times New Roman" w:hAnsi="Times New Roman" w:cs="Times New Roman"/>
        <w:sz w:val="22"/>
        <w:szCs w:val="22"/>
        <w:lang w:val="en-IN"/>
      </w:rPr>
      <w:t>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89348" w14:textId="77777777" w:rsidR="003E7D6F" w:rsidRPr="003E7D6F" w:rsidRDefault="003E7D6F">
    <w:pPr>
      <w:pStyle w:val="Header"/>
      <w:rPr>
        <w:rFonts w:ascii="Times New Roman" w:hAnsi="Times New Roman" w:cs="Times New Roman"/>
        <w:sz w:val="22"/>
        <w:szCs w:val="22"/>
        <w:lang w:val="en-IN"/>
      </w:rPr>
    </w:pPr>
    <w:r w:rsidRPr="003E7D6F">
      <w:rPr>
        <w:rFonts w:ascii="Times New Roman" w:hAnsi="Times New Roman" w:cs="Times New Roman"/>
        <w:sz w:val="22"/>
        <w:szCs w:val="22"/>
        <w:lang w:val="en-IN"/>
      </w:rPr>
      <w:t>No.101</w:t>
    </w:r>
    <w:r w:rsidRPr="003E7D6F">
      <w:rPr>
        <w:rFonts w:ascii="Times New Roman" w:hAnsi="Times New Roman" w:cs="Times New Roman"/>
        <w:sz w:val="22"/>
        <w:szCs w:val="22"/>
        <w:lang w:val="en-IN"/>
      </w:rPr>
      <w:tab/>
    </w:r>
    <w:r w:rsidRPr="003E7D6F">
      <w:rPr>
        <w:rFonts w:ascii="Times New Roman" w:hAnsi="Times New Roman" w:cs="Times New Roman"/>
        <w:i/>
        <w:sz w:val="22"/>
        <w:szCs w:val="22"/>
        <w:lang w:val="en-IN"/>
      </w:rPr>
      <w:t>Social Services (No.2)</w:t>
    </w:r>
    <w:r w:rsidRPr="003E7D6F">
      <w:rPr>
        <w:rFonts w:ascii="Times New Roman" w:hAnsi="Times New Roman" w:cs="Times New Roman"/>
        <w:sz w:val="22"/>
        <w:szCs w:val="22"/>
        <w:lang w:val="en-IN"/>
      </w:rPr>
      <w:tab/>
      <w:t>1975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1970"/>
    <w:multiLevelType w:val="multilevel"/>
    <w:tmpl w:val="490000B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4E13E5"/>
    <w:multiLevelType w:val="multilevel"/>
    <w:tmpl w:val="E294CC2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D969D1"/>
    <w:multiLevelType w:val="multilevel"/>
    <w:tmpl w:val="A678D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DD0103"/>
    <w:multiLevelType w:val="multilevel"/>
    <w:tmpl w:val="046E5E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AD4EA6"/>
    <w:multiLevelType w:val="multilevel"/>
    <w:tmpl w:val="052EFC5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3B5CB8"/>
    <w:multiLevelType w:val="multilevel"/>
    <w:tmpl w:val="874ABF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FF2526"/>
    <w:multiLevelType w:val="multilevel"/>
    <w:tmpl w:val="B052A5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B6D68"/>
    <w:rsid w:val="000812AC"/>
    <w:rsid w:val="001478E2"/>
    <w:rsid w:val="00185ED6"/>
    <w:rsid w:val="00271E21"/>
    <w:rsid w:val="003E7D6F"/>
    <w:rsid w:val="00632B82"/>
    <w:rsid w:val="00657D17"/>
    <w:rsid w:val="00734135"/>
    <w:rsid w:val="008D65A2"/>
    <w:rsid w:val="00B26013"/>
    <w:rsid w:val="00B93D6B"/>
    <w:rsid w:val="00C1299C"/>
    <w:rsid w:val="00C365C1"/>
    <w:rsid w:val="00CC6724"/>
    <w:rsid w:val="00CD1990"/>
    <w:rsid w:val="00D12C87"/>
    <w:rsid w:val="00DC0DB1"/>
    <w:rsid w:val="00EB6D68"/>
    <w:rsid w:val="00ED1B81"/>
    <w:rsid w:val="00EE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26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1"/>
      <w:szCs w:val="21"/>
      <w:u w:val="none"/>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7">
    <w:name w:val="Body text (7)_"/>
    <w:basedOn w:val="DefaultParagraphFont"/>
    <w:link w:val="Bodytext70"/>
    <w:rPr>
      <w:rFonts w:ascii="FrankRuehl" w:eastAsia="FrankRuehl" w:hAnsi="FrankRuehl" w:cs="FrankRuehl"/>
      <w:b w:val="0"/>
      <w:bCs w:val="0"/>
      <w:i w:val="0"/>
      <w:iCs w:val="0"/>
      <w:smallCaps w:val="0"/>
      <w:strike w:val="0"/>
      <w:sz w:val="17"/>
      <w:szCs w:val="17"/>
      <w:u w:val="none"/>
    </w:rPr>
  </w:style>
  <w:style w:type="character" w:customStyle="1" w:styleId="Bodytext8">
    <w:name w:val="Body text (8)_"/>
    <w:basedOn w:val="DefaultParagraphFont"/>
    <w:link w:val="Bodytext80"/>
    <w:rPr>
      <w:rFonts w:ascii="FrankRuehl" w:eastAsia="FrankRuehl" w:hAnsi="FrankRuehl" w:cs="FrankRuehl"/>
      <w:b w:val="0"/>
      <w:bCs w:val="0"/>
      <w:i w:val="0"/>
      <w:iCs w:val="0"/>
      <w:smallCaps w:val="0"/>
      <w:strike w:val="0"/>
      <w:sz w:val="16"/>
      <w:szCs w:val="16"/>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2105pt6">
    <w:name w:val="Body text (2) + 10.5 pt6"/>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2105pt5">
    <w:name w:val="Body text (2) + 10.5 pt5"/>
    <w:aliases w:val="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105pt4">
    <w:name w:val="Body text (2) + 10.5 pt4"/>
    <w:aliases w:val="Italic1,Spacing 1 pt"/>
    <w:basedOn w:val="Bodytext2"/>
    <w:rPr>
      <w:rFonts w:ascii="Times New Roman" w:eastAsia="Times New Roman" w:hAnsi="Times New Roman" w:cs="Times New Roman"/>
      <w:b w:val="0"/>
      <w:bCs w:val="0"/>
      <w:i/>
      <w:iCs/>
      <w:smallCaps w:val="0"/>
      <w:strike w:val="0"/>
      <w:color w:val="000000"/>
      <w:spacing w:val="30"/>
      <w:w w:val="100"/>
      <w:position w:val="0"/>
      <w:sz w:val="21"/>
      <w:szCs w:val="21"/>
      <w:u w:val="none"/>
      <w:lang w:val="en-US"/>
    </w:rPr>
  </w:style>
  <w:style w:type="character" w:customStyle="1" w:styleId="Bodytext2105pt3">
    <w:name w:val="Body text (2) + 10.5 pt3"/>
    <w:aliases w:val="Small Caps"/>
    <w:basedOn w:val="Bodytext2"/>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1"/>
      <w:szCs w:val="21"/>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Spacing1pt">
    <w:name w:val="Body text (5) + Spacing 1 pt"/>
    <w:basedOn w:val="Bodytext5"/>
    <w:rPr>
      <w:rFonts w:ascii="Times New Roman" w:eastAsia="Times New Roman" w:hAnsi="Times New Roman" w:cs="Times New Roman"/>
      <w:b w:val="0"/>
      <w:bCs w:val="0"/>
      <w:i/>
      <w:iCs/>
      <w:smallCaps w:val="0"/>
      <w:strike w:val="0"/>
      <w:color w:val="000000"/>
      <w:spacing w:val="30"/>
      <w:w w:val="100"/>
      <w:position w:val="0"/>
      <w:sz w:val="21"/>
      <w:szCs w:val="21"/>
      <w:u w:val="none"/>
      <w:lang w:val="en-US"/>
    </w:rPr>
  </w:style>
  <w:style w:type="character" w:customStyle="1" w:styleId="Bodytext210pt">
    <w:name w:val="Body text (2) + 10 pt"/>
    <w:aliases w:val="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2105pt2">
    <w:name w:val="Body text (2) + 10.5 pt2"/>
    <w:aliases w:val="Bold2"/>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2105pt1">
    <w:name w:val="Body text (2) + 10.5 pt1"/>
    <w:aliases w:val="Bold1"/>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8"/>
      <w:szCs w:val="18"/>
      <w:u w:val="none"/>
    </w:rPr>
  </w:style>
  <w:style w:type="paragraph" w:customStyle="1" w:styleId="BodyText1">
    <w:name w:val="Body Text1"/>
    <w:basedOn w:val="Normal"/>
    <w:link w:val="Bodytext"/>
    <w:pPr>
      <w:spacing w:line="240" w:lineRule="exact"/>
      <w:ind w:hanging="460"/>
      <w:jc w:val="both"/>
    </w:pPr>
    <w:rPr>
      <w:rFonts w:ascii="Times New Roman" w:eastAsia="Times New Roman" w:hAnsi="Times New Roman" w:cs="Times New Roman"/>
      <w:sz w:val="21"/>
      <w:szCs w:val="21"/>
    </w:rPr>
  </w:style>
  <w:style w:type="paragraph" w:customStyle="1" w:styleId="Bodytext70">
    <w:name w:val="Body text (7)"/>
    <w:basedOn w:val="Normal"/>
    <w:link w:val="Bodytext7"/>
    <w:pPr>
      <w:spacing w:line="168" w:lineRule="exact"/>
      <w:jc w:val="both"/>
    </w:pPr>
    <w:rPr>
      <w:rFonts w:ascii="FrankRuehl" w:eastAsia="FrankRuehl" w:hAnsi="FrankRuehl" w:cs="FrankRuehl"/>
      <w:sz w:val="17"/>
      <w:szCs w:val="17"/>
    </w:rPr>
  </w:style>
  <w:style w:type="paragraph" w:customStyle="1" w:styleId="Bodytext80">
    <w:name w:val="Body text (8)"/>
    <w:basedOn w:val="Normal"/>
    <w:link w:val="Bodytext8"/>
    <w:pPr>
      <w:spacing w:line="168" w:lineRule="exact"/>
      <w:jc w:val="both"/>
    </w:pPr>
    <w:rPr>
      <w:rFonts w:ascii="FrankRuehl" w:eastAsia="FrankRuehl" w:hAnsi="FrankRuehl" w:cs="FrankRuehl"/>
      <w:sz w:val="16"/>
      <w:szCs w:val="16"/>
    </w:rPr>
  </w:style>
  <w:style w:type="paragraph" w:customStyle="1" w:styleId="Heading10">
    <w:name w:val="Heading #1"/>
    <w:basedOn w:val="Normal"/>
    <w:link w:val="Heading1"/>
    <w:pPr>
      <w:spacing w:line="518" w:lineRule="exact"/>
      <w:jc w:val="center"/>
      <w:outlineLvl w:val="0"/>
    </w:pPr>
    <w:rPr>
      <w:rFonts w:ascii="Arial" w:eastAsia="Arial" w:hAnsi="Arial" w:cs="Arial"/>
      <w:b/>
      <w:bCs/>
      <w:sz w:val="26"/>
      <w:szCs w:val="26"/>
    </w:rPr>
  </w:style>
  <w:style w:type="paragraph" w:customStyle="1" w:styleId="Bodytext20">
    <w:name w:val="Body text (2)"/>
    <w:basedOn w:val="Normal"/>
    <w:link w:val="Bodytext2"/>
    <w:pPr>
      <w:spacing w:line="168" w:lineRule="exact"/>
      <w:jc w:val="both"/>
    </w:pPr>
    <w:rPr>
      <w:rFonts w:ascii="Times New Roman" w:eastAsia="Times New Roman" w:hAnsi="Times New Roman" w:cs="Times New Roman"/>
      <w:sz w:val="16"/>
      <w:szCs w:val="16"/>
    </w:rPr>
  </w:style>
  <w:style w:type="paragraph" w:customStyle="1" w:styleId="Bodytext50">
    <w:name w:val="Body text (5)"/>
    <w:basedOn w:val="Normal"/>
    <w:link w:val="Bodytext5"/>
    <w:pPr>
      <w:spacing w:line="0" w:lineRule="atLeast"/>
      <w:ind w:hanging="320"/>
      <w:jc w:val="both"/>
    </w:pPr>
    <w:rPr>
      <w:rFonts w:ascii="Times New Roman" w:eastAsia="Times New Roman" w:hAnsi="Times New Roman" w:cs="Times New Roman"/>
      <w:i/>
      <w:iCs/>
      <w:sz w:val="21"/>
      <w:szCs w:val="21"/>
    </w:rPr>
  </w:style>
  <w:style w:type="paragraph" w:customStyle="1" w:styleId="Bodytext60">
    <w:name w:val="Body text (6)"/>
    <w:basedOn w:val="Normal"/>
    <w:link w:val="Bodytext6"/>
    <w:pPr>
      <w:spacing w:line="0" w:lineRule="atLeast"/>
      <w:ind w:hanging="320"/>
      <w:jc w:val="both"/>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3E7D6F"/>
    <w:pPr>
      <w:tabs>
        <w:tab w:val="center" w:pos="4513"/>
        <w:tab w:val="right" w:pos="9026"/>
      </w:tabs>
    </w:pPr>
  </w:style>
  <w:style w:type="character" w:customStyle="1" w:styleId="HeaderChar">
    <w:name w:val="Header Char"/>
    <w:basedOn w:val="DefaultParagraphFont"/>
    <w:link w:val="Header"/>
    <w:uiPriority w:val="99"/>
    <w:rsid w:val="003E7D6F"/>
    <w:rPr>
      <w:color w:val="000000"/>
    </w:rPr>
  </w:style>
  <w:style w:type="paragraph" w:styleId="Footer">
    <w:name w:val="footer"/>
    <w:basedOn w:val="Normal"/>
    <w:link w:val="FooterChar"/>
    <w:uiPriority w:val="99"/>
    <w:unhideWhenUsed/>
    <w:rsid w:val="003E7D6F"/>
    <w:pPr>
      <w:tabs>
        <w:tab w:val="center" w:pos="4513"/>
        <w:tab w:val="right" w:pos="9026"/>
      </w:tabs>
    </w:pPr>
  </w:style>
  <w:style w:type="character" w:customStyle="1" w:styleId="FooterChar">
    <w:name w:val="Footer Char"/>
    <w:basedOn w:val="DefaultParagraphFont"/>
    <w:link w:val="Footer"/>
    <w:uiPriority w:val="99"/>
    <w:rsid w:val="003E7D6F"/>
    <w:rPr>
      <w:color w:val="000000"/>
    </w:rPr>
  </w:style>
  <w:style w:type="character" w:styleId="CommentReference">
    <w:name w:val="annotation reference"/>
    <w:basedOn w:val="DefaultParagraphFont"/>
    <w:uiPriority w:val="99"/>
    <w:semiHidden/>
    <w:unhideWhenUsed/>
    <w:rsid w:val="00185ED6"/>
    <w:rPr>
      <w:sz w:val="16"/>
      <w:szCs w:val="16"/>
    </w:rPr>
  </w:style>
  <w:style w:type="paragraph" w:styleId="CommentText">
    <w:name w:val="annotation text"/>
    <w:basedOn w:val="Normal"/>
    <w:link w:val="CommentTextChar"/>
    <w:uiPriority w:val="99"/>
    <w:semiHidden/>
    <w:unhideWhenUsed/>
    <w:rsid w:val="00185ED6"/>
    <w:rPr>
      <w:sz w:val="20"/>
      <w:szCs w:val="20"/>
    </w:rPr>
  </w:style>
  <w:style w:type="character" w:customStyle="1" w:styleId="CommentTextChar">
    <w:name w:val="Comment Text Char"/>
    <w:basedOn w:val="DefaultParagraphFont"/>
    <w:link w:val="CommentText"/>
    <w:uiPriority w:val="99"/>
    <w:semiHidden/>
    <w:rsid w:val="00185ED6"/>
    <w:rPr>
      <w:color w:val="000000"/>
      <w:sz w:val="20"/>
      <w:szCs w:val="20"/>
    </w:rPr>
  </w:style>
  <w:style w:type="paragraph" w:styleId="CommentSubject">
    <w:name w:val="annotation subject"/>
    <w:basedOn w:val="CommentText"/>
    <w:next w:val="CommentText"/>
    <w:link w:val="CommentSubjectChar"/>
    <w:uiPriority w:val="99"/>
    <w:semiHidden/>
    <w:unhideWhenUsed/>
    <w:rsid w:val="00185ED6"/>
    <w:rPr>
      <w:b/>
      <w:bCs/>
    </w:rPr>
  </w:style>
  <w:style w:type="character" w:customStyle="1" w:styleId="CommentSubjectChar">
    <w:name w:val="Comment Subject Char"/>
    <w:basedOn w:val="CommentTextChar"/>
    <w:link w:val="CommentSubject"/>
    <w:uiPriority w:val="99"/>
    <w:semiHidden/>
    <w:rsid w:val="00185ED6"/>
    <w:rPr>
      <w:b/>
      <w:bCs/>
      <w:color w:val="000000"/>
      <w:sz w:val="20"/>
      <w:szCs w:val="20"/>
    </w:rPr>
  </w:style>
  <w:style w:type="paragraph" w:styleId="BalloonText">
    <w:name w:val="Balloon Text"/>
    <w:basedOn w:val="Normal"/>
    <w:link w:val="BalloonTextChar"/>
    <w:uiPriority w:val="99"/>
    <w:semiHidden/>
    <w:unhideWhenUsed/>
    <w:rsid w:val="00185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ED6"/>
    <w:rPr>
      <w:rFonts w:ascii="Segoe UI" w:hAnsi="Segoe UI" w:cs="Segoe UI"/>
      <w:color w:val="000000"/>
      <w:sz w:val="18"/>
      <w:szCs w:val="18"/>
    </w:rPr>
  </w:style>
  <w:style w:type="paragraph" w:styleId="Revision">
    <w:name w:val="Revision"/>
    <w:hidden/>
    <w:uiPriority w:val="99"/>
    <w:semiHidden/>
    <w:rsid w:val="00734135"/>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CB7B-EF2F-4021-B8DA-1855FBD8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2018-09-25T04:22:00Z</dcterms:created>
  <dcterms:modified xsi:type="dcterms:W3CDTF">2019-07-22T07:59:00Z</dcterms:modified>
</cp:coreProperties>
</file>