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2FA22" w14:textId="77777777" w:rsidR="00551876" w:rsidRPr="00551876" w:rsidRDefault="00894CD2" w:rsidP="00551876">
      <w:pPr>
        <w:spacing w:after="160"/>
        <w:jc w:val="center"/>
        <w:rPr>
          <w:rFonts w:ascii="Times New Roman" w:hAnsi="Times New Roman"/>
          <w:b/>
          <w:sz w:val="32"/>
          <w:szCs w:val="32"/>
        </w:rPr>
      </w:pPr>
      <w:bookmarkStart w:id="0" w:name="bookmark0"/>
      <w:r w:rsidRPr="00551876">
        <w:rPr>
          <w:rFonts w:ascii="Times New Roman" w:hAnsi="Times New Roman"/>
          <w:b/>
          <w:sz w:val="32"/>
          <w:szCs w:val="32"/>
        </w:rPr>
        <w:t>CITI</w:t>
      </w:r>
      <w:r w:rsidR="00551876" w:rsidRPr="00551876">
        <w:rPr>
          <w:rFonts w:ascii="Times New Roman" w:hAnsi="Times New Roman"/>
          <w:b/>
          <w:sz w:val="32"/>
          <w:szCs w:val="32"/>
        </w:rPr>
        <w:t>ES COMMISSION (REPEAL) ACT 1975</w:t>
      </w:r>
    </w:p>
    <w:p w14:paraId="0642CA0A" w14:textId="77777777" w:rsidR="00D91ED3" w:rsidRPr="00551876" w:rsidRDefault="00894CD2" w:rsidP="00551876">
      <w:pPr>
        <w:spacing w:after="240"/>
        <w:jc w:val="center"/>
        <w:rPr>
          <w:rFonts w:ascii="Times New Roman" w:hAnsi="Times New Roman"/>
          <w:b/>
          <w:sz w:val="28"/>
          <w:szCs w:val="28"/>
        </w:rPr>
      </w:pPr>
      <w:r w:rsidRPr="00551876">
        <w:rPr>
          <w:rFonts w:ascii="Times New Roman" w:hAnsi="Times New Roman"/>
          <w:b/>
          <w:sz w:val="28"/>
          <w:szCs w:val="28"/>
        </w:rPr>
        <w:t>No. 120 of 1975</w:t>
      </w:r>
      <w:bookmarkEnd w:id="0"/>
    </w:p>
    <w:p w14:paraId="4B4D9363" w14:textId="77777777" w:rsidR="00D91ED3" w:rsidRPr="007960E0" w:rsidRDefault="00894CD2" w:rsidP="00A45235">
      <w:pPr>
        <w:pStyle w:val="BodyText1"/>
        <w:spacing w:after="240" w:line="240" w:lineRule="auto"/>
        <w:ind w:firstLine="0"/>
        <w:jc w:val="center"/>
        <w:rPr>
          <w:sz w:val="24"/>
        </w:rPr>
      </w:pPr>
      <w:r w:rsidRPr="007960E0">
        <w:rPr>
          <w:sz w:val="24"/>
        </w:rPr>
        <w:t xml:space="preserve">An Act to repeal the </w:t>
      </w:r>
      <w:r w:rsidRPr="007960E0">
        <w:rPr>
          <w:rStyle w:val="BodytextItalic"/>
          <w:sz w:val="24"/>
        </w:rPr>
        <w:t>Cities Commission Act</w:t>
      </w:r>
      <w:r w:rsidRPr="007960E0">
        <w:rPr>
          <w:sz w:val="24"/>
        </w:rPr>
        <w:t xml:space="preserve"> 1972-1973, and for related purposes.</w:t>
      </w:r>
    </w:p>
    <w:p w14:paraId="7A1C07D1" w14:textId="1390B347" w:rsidR="00D91ED3" w:rsidRPr="007960E0" w:rsidRDefault="00894CD2" w:rsidP="00551876">
      <w:pPr>
        <w:pStyle w:val="BodyText1"/>
        <w:spacing w:line="240" w:lineRule="auto"/>
        <w:ind w:firstLine="270"/>
        <w:jc w:val="both"/>
        <w:rPr>
          <w:sz w:val="24"/>
        </w:rPr>
      </w:pPr>
      <w:r w:rsidRPr="007960E0">
        <w:rPr>
          <w:sz w:val="24"/>
        </w:rPr>
        <w:t>BE IT ENACTED by the Queen, the Senate and the House of Representatives of Australia, as follows:—</w:t>
      </w:r>
    </w:p>
    <w:p w14:paraId="2064C860" w14:textId="77777777" w:rsidR="00D91ED3" w:rsidRPr="00551876" w:rsidRDefault="00894CD2" w:rsidP="00551876">
      <w:pPr>
        <w:pStyle w:val="Bodytext30"/>
        <w:spacing w:before="120" w:after="60" w:line="240" w:lineRule="auto"/>
        <w:jc w:val="both"/>
        <w:rPr>
          <w:b w:val="0"/>
          <w:sz w:val="20"/>
          <w:szCs w:val="20"/>
        </w:rPr>
      </w:pPr>
      <w:r w:rsidRPr="00551876">
        <w:rPr>
          <w:rStyle w:val="Bodytext3NotBold"/>
          <w:b/>
          <w:sz w:val="20"/>
          <w:szCs w:val="20"/>
        </w:rPr>
        <w:t>Short title.</w:t>
      </w:r>
    </w:p>
    <w:p w14:paraId="5567D0A2" w14:textId="79AA411B" w:rsidR="007960E0" w:rsidRDefault="007960E0" w:rsidP="00551876">
      <w:pPr>
        <w:pStyle w:val="BodyText1"/>
        <w:tabs>
          <w:tab w:val="left" w:pos="630"/>
        </w:tabs>
        <w:spacing w:line="240" w:lineRule="auto"/>
        <w:ind w:firstLine="270"/>
        <w:jc w:val="both"/>
        <w:rPr>
          <w:sz w:val="24"/>
        </w:rPr>
      </w:pPr>
      <w:r w:rsidRPr="00551876">
        <w:rPr>
          <w:b/>
          <w:sz w:val="24"/>
        </w:rPr>
        <w:t>1.</w:t>
      </w:r>
      <w:r w:rsidR="00551876">
        <w:rPr>
          <w:b/>
          <w:sz w:val="24"/>
        </w:rPr>
        <w:tab/>
      </w:r>
      <w:r w:rsidRPr="007960E0">
        <w:rPr>
          <w:sz w:val="24"/>
        </w:rPr>
        <w:t xml:space="preserve">This Act may be cited as the </w:t>
      </w:r>
      <w:r w:rsidRPr="00A45235">
        <w:rPr>
          <w:i/>
          <w:sz w:val="24"/>
        </w:rPr>
        <w:t>Cities Commission (Repeal) Act</w:t>
      </w:r>
      <w:r w:rsidRPr="007960E0">
        <w:rPr>
          <w:sz w:val="24"/>
        </w:rPr>
        <w:t xml:space="preserve"> 1975.</w:t>
      </w:r>
    </w:p>
    <w:p w14:paraId="0ABBB4D1" w14:textId="77777777" w:rsidR="00F429E6" w:rsidRPr="00551876" w:rsidRDefault="00F429E6" w:rsidP="00551876">
      <w:pPr>
        <w:pStyle w:val="Bodytext30"/>
        <w:spacing w:before="120" w:after="60" w:line="240" w:lineRule="auto"/>
        <w:jc w:val="both"/>
        <w:rPr>
          <w:b w:val="0"/>
          <w:sz w:val="20"/>
          <w:szCs w:val="20"/>
        </w:rPr>
      </w:pPr>
      <w:r w:rsidRPr="00551876">
        <w:rPr>
          <w:rStyle w:val="Bodytext3NotBold"/>
          <w:b/>
          <w:sz w:val="20"/>
          <w:szCs w:val="20"/>
        </w:rPr>
        <w:t>Commencement.</w:t>
      </w:r>
    </w:p>
    <w:p w14:paraId="5E1460DC" w14:textId="77777777" w:rsidR="007960E0" w:rsidRDefault="007960E0" w:rsidP="00551876">
      <w:pPr>
        <w:pStyle w:val="BodyText1"/>
        <w:tabs>
          <w:tab w:val="left" w:pos="630"/>
        </w:tabs>
        <w:spacing w:line="240" w:lineRule="auto"/>
        <w:ind w:firstLine="270"/>
        <w:jc w:val="both"/>
        <w:rPr>
          <w:sz w:val="24"/>
        </w:rPr>
      </w:pPr>
      <w:r w:rsidRPr="00551876">
        <w:rPr>
          <w:b/>
          <w:sz w:val="24"/>
        </w:rPr>
        <w:t>2.</w:t>
      </w:r>
      <w:r w:rsidR="00551876">
        <w:rPr>
          <w:b/>
          <w:sz w:val="24"/>
        </w:rPr>
        <w:tab/>
      </w:r>
      <w:bookmarkStart w:id="1" w:name="_GoBack"/>
      <w:r w:rsidRPr="007960E0">
        <w:rPr>
          <w:sz w:val="24"/>
        </w:rPr>
        <w:t>This Act shall come into operation on a date to be fixed by Proclamation.</w:t>
      </w:r>
      <w:bookmarkEnd w:id="1"/>
    </w:p>
    <w:p w14:paraId="4ED4B4D5" w14:textId="77777777" w:rsidR="00F429E6" w:rsidRPr="00551876" w:rsidRDefault="00F429E6" w:rsidP="00551876">
      <w:pPr>
        <w:pStyle w:val="Bodytext30"/>
        <w:spacing w:before="120" w:after="60" w:line="240" w:lineRule="auto"/>
        <w:jc w:val="both"/>
        <w:rPr>
          <w:b w:val="0"/>
          <w:sz w:val="20"/>
          <w:szCs w:val="20"/>
        </w:rPr>
      </w:pPr>
      <w:r w:rsidRPr="00551876">
        <w:rPr>
          <w:rStyle w:val="Bodytext3NotBold"/>
          <w:b/>
          <w:sz w:val="20"/>
          <w:szCs w:val="20"/>
        </w:rPr>
        <w:t>Repeal.</w:t>
      </w:r>
    </w:p>
    <w:p w14:paraId="512A3235" w14:textId="2B1C2240" w:rsidR="007960E0" w:rsidRDefault="007960E0" w:rsidP="00551876">
      <w:pPr>
        <w:pStyle w:val="BodyText1"/>
        <w:tabs>
          <w:tab w:val="left" w:pos="630"/>
        </w:tabs>
        <w:spacing w:line="240" w:lineRule="auto"/>
        <w:ind w:firstLine="270"/>
        <w:jc w:val="both"/>
        <w:rPr>
          <w:sz w:val="24"/>
        </w:rPr>
      </w:pPr>
      <w:r w:rsidRPr="00551876">
        <w:rPr>
          <w:b/>
          <w:sz w:val="24"/>
        </w:rPr>
        <w:t>3.</w:t>
      </w:r>
      <w:r w:rsidR="00551876">
        <w:rPr>
          <w:b/>
          <w:sz w:val="24"/>
        </w:rPr>
        <w:tab/>
      </w:r>
      <w:r w:rsidRPr="007960E0">
        <w:rPr>
          <w:sz w:val="24"/>
        </w:rPr>
        <w:t xml:space="preserve">The </w:t>
      </w:r>
      <w:r w:rsidRPr="00A45235">
        <w:rPr>
          <w:i/>
          <w:sz w:val="24"/>
        </w:rPr>
        <w:t xml:space="preserve">National Urban and Regional Development Authority Act </w:t>
      </w:r>
      <w:r w:rsidRPr="007960E0">
        <w:rPr>
          <w:sz w:val="24"/>
        </w:rPr>
        <w:t xml:space="preserve">1972 and the </w:t>
      </w:r>
      <w:r w:rsidRPr="00A45235">
        <w:rPr>
          <w:i/>
          <w:sz w:val="24"/>
        </w:rPr>
        <w:t>Cities Commission Act</w:t>
      </w:r>
      <w:r w:rsidRPr="007960E0">
        <w:rPr>
          <w:sz w:val="24"/>
        </w:rPr>
        <w:t xml:space="preserve"> 1973 are repealed.</w:t>
      </w:r>
    </w:p>
    <w:p w14:paraId="5AD50B7F" w14:textId="77777777" w:rsidR="00F429E6" w:rsidRPr="00551876" w:rsidRDefault="00F429E6" w:rsidP="00551876">
      <w:pPr>
        <w:pStyle w:val="Bodytext30"/>
        <w:spacing w:before="120" w:after="60" w:line="240" w:lineRule="auto"/>
        <w:jc w:val="both"/>
        <w:rPr>
          <w:b w:val="0"/>
          <w:sz w:val="20"/>
          <w:szCs w:val="20"/>
        </w:rPr>
      </w:pPr>
      <w:r w:rsidRPr="00551876">
        <w:rPr>
          <w:rStyle w:val="Bodytext3NotBold"/>
          <w:b/>
          <w:sz w:val="20"/>
          <w:szCs w:val="20"/>
        </w:rPr>
        <w:t>Definitions.</w:t>
      </w:r>
    </w:p>
    <w:p w14:paraId="3A26E4B9" w14:textId="77777777" w:rsidR="007960E0" w:rsidRDefault="007960E0" w:rsidP="00551876">
      <w:pPr>
        <w:pStyle w:val="BodyText1"/>
        <w:tabs>
          <w:tab w:val="left" w:pos="630"/>
        </w:tabs>
        <w:spacing w:line="240" w:lineRule="auto"/>
        <w:ind w:firstLine="270"/>
        <w:jc w:val="both"/>
        <w:rPr>
          <w:sz w:val="24"/>
        </w:rPr>
      </w:pPr>
      <w:r w:rsidRPr="00551876">
        <w:rPr>
          <w:b/>
          <w:sz w:val="24"/>
        </w:rPr>
        <w:t>4</w:t>
      </w:r>
      <w:r w:rsidR="00551876">
        <w:rPr>
          <w:b/>
          <w:sz w:val="24"/>
        </w:rPr>
        <w:t>.</w:t>
      </w:r>
      <w:r w:rsidR="00551876">
        <w:rPr>
          <w:b/>
          <w:sz w:val="24"/>
        </w:rPr>
        <w:tab/>
      </w:r>
      <w:r w:rsidRPr="007960E0">
        <w:rPr>
          <w:sz w:val="24"/>
        </w:rPr>
        <w:t>In this Act, unless the contrary intention appears—</w:t>
      </w:r>
    </w:p>
    <w:p w14:paraId="01216208" w14:textId="77777777" w:rsidR="00D91ED3" w:rsidRPr="007960E0" w:rsidRDefault="00894CD2" w:rsidP="00551876">
      <w:pPr>
        <w:pStyle w:val="BodyText1"/>
        <w:spacing w:after="60" w:line="240" w:lineRule="auto"/>
        <w:ind w:left="720" w:hanging="446"/>
        <w:jc w:val="both"/>
        <w:rPr>
          <w:sz w:val="24"/>
        </w:rPr>
      </w:pPr>
      <w:r w:rsidRPr="007960E0">
        <w:rPr>
          <w:sz w:val="24"/>
        </w:rPr>
        <w:t>“authorized officer” means the Secretary to the Department of Urban and Regional Development or an officer authorized by him;</w:t>
      </w:r>
    </w:p>
    <w:p w14:paraId="78BA71B1" w14:textId="77777777" w:rsidR="00D91ED3" w:rsidRPr="007960E0" w:rsidRDefault="00894CD2" w:rsidP="00551876">
      <w:pPr>
        <w:pStyle w:val="BodyText1"/>
        <w:spacing w:after="60" w:line="240" w:lineRule="auto"/>
        <w:ind w:left="720" w:hanging="446"/>
        <w:jc w:val="both"/>
        <w:rPr>
          <w:sz w:val="24"/>
        </w:rPr>
      </w:pPr>
      <w:r w:rsidRPr="007960E0">
        <w:rPr>
          <w:sz w:val="24"/>
        </w:rPr>
        <w:t>“commencing day” means the date on which this Act comes into operation;</w:t>
      </w:r>
    </w:p>
    <w:p w14:paraId="23A89AA0" w14:textId="77777777" w:rsidR="00D91ED3" w:rsidRPr="007960E0" w:rsidRDefault="00894CD2" w:rsidP="00551876">
      <w:pPr>
        <w:pStyle w:val="BodyText1"/>
        <w:spacing w:line="240" w:lineRule="auto"/>
        <w:ind w:left="720" w:hanging="450"/>
        <w:jc w:val="both"/>
        <w:rPr>
          <w:sz w:val="24"/>
        </w:rPr>
      </w:pPr>
      <w:r w:rsidRPr="007960E0">
        <w:rPr>
          <w:sz w:val="24"/>
        </w:rPr>
        <w:t xml:space="preserve">“Commission” means the Cities Commission constituted under the </w:t>
      </w:r>
      <w:r w:rsidRPr="00A87C2C">
        <w:rPr>
          <w:i/>
          <w:iCs/>
          <w:sz w:val="24"/>
          <w:szCs w:val="24"/>
        </w:rPr>
        <w:t>Cities Commission Act</w:t>
      </w:r>
      <w:r w:rsidRPr="00A87C2C">
        <w:rPr>
          <w:sz w:val="24"/>
          <w:szCs w:val="24"/>
        </w:rPr>
        <w:t xml:space="preserve"> </w:t>
      </w:r>
      <w:r w:rsidRPr="007960E0">
        <w:rPr>
          <w:sz w:val="24"/>
        </w:rPr>
        <w:t>1972-1973.</w:t>
      </w:r>
    </w:p>
    <w:p w14:paraId="1640ACCA" w14:textId="77777777" w:rsidR="00D91ED3" w:rsidRPr="00551876" w:rsidRDefault="00894CD2" w:rsidP="00551876">
      <w:pPr>
        <w:pStyle w:val="Bodytext30"/>
        <w:spacing w:before="120" w:after="60" w:line="240" w:lineRule="auto"/>
        <w:jc w:val="both"/>
        <w:rPr>
          <w:b w:val="0"/>
          <w:sz w:val="20"/>
          <w:szCs w:val="20"/>
        </w:rPr>
      </w:pPr>
      <w:r w:rsidRPr="00551876">
        <w:rPr>
          <w:rStyle w:val="Bodytext3NotBold"/>
          <w:b/>
          <w:sz w:val="20"/>
          <w:szCs w:val="20"/>
        </w:rPr>
        <w:t>Transfer of assets, liabilities, &amp;c.</w:t>
      </w:r>
    </w:p>
    <w:p w14:paraId="4A3191DB" w14:textId="77777777" w:rsidR="00D91ED3" w:rsidRPr="007960E0" w:rsidRDefault="007960E0" w:rsidP="00551876">
      <w:pPr>
        <w:pStyle w:val="BodyText1"/>
        <w:tabs>
          <w:tab w:val="left" w:pos="630"/>
        </w:tabs>
        <w:spacing w:line="240" w:lineRule="auto"/>
        <w:ind w:firstLine="270"/>
        <w:jc w:val="both"/>
        <w:rPr>
          <w:sz w:val="24"/>
        </w:rPr>
      </w:pPr>
      <w:r w:rsidRPr="00551876">
        <w:rPr>
          <w:b/>
          <w:sz w:val="24"/>
        </w:rPr>
        <w:t>5.</w:t>
      </w:r>
      <w:r w:rsidR="00551876">
        <w:rPr>
          <w:b/>
          <w:sz w:val="24"/>
        </w:rPr>
        <w:tab/>
      </w:r>
      <w:r w:rsidR="00894CD2" w:rsidRPr="007960E0">
        <w:rPr>
          <w:sz w:val="24"/>
        </w:rPr>
        <w:t>Upon the commencing day—</w:t>
      </w:r>
    </w:p>
    <w:p w14:paraId="6AB55B8B" w14:textId="77777777" w:rsidR="00D91ED3" w:rsidRPr="007960E0" w:rsidRDefault="007960E0" w:rsidP="00551876">
      <w:pPr>
        <w:pStyle w:val="BodyText1"/>
        <w:spacing w:after="60" w:line="240" w:lineRule="auto"/>
        <w:ind w:left="634" w:hanging="360"/>
        <w:jc w:val="both"/>
        <w:rPr>
          <w:sz w:val="24"/>
        </w:rPr>
      </w:pPr>
      <w:r>
        <w:rPr>
          <w:sz w:val="24"/>
        </w:rPr>
        <w:t xml:space="preserve">(a) </w:t>
      </w:r>
      <w:r w:rsidR="00894CD2" w:rsidRPr="007960E0">
        <w:rPr>
          <w:sz w:val="24"/>
        </w:rPr>
        <w:t>all the rights, property and other assets that immediately before that day were vested in the Commi</w:t>
      </w:r>
      <w:r w:rsidR="00551876">
        <w:rPr>
          <w:sz w:val="24"/>
        </w:rPr>
        <w:t>ssion are, by force of this sec</w:t>
      </w:r>
      <w:r w:rsidR="00894CD2" w:rsidRPr="007960E0">
        <w:rPr>
          <w:sz w:val="24"/>
        </w:rPr>
        <w:t>tion, vested in Australia; and</w:t>
      </w:r>
    </w:p>
    <w:p w14:paraId="4A85CD4B" w14:textId="77777777" w:rsidR="00D91ED3" w:rsidRPr="007960E0" w:rsidRDefault="007960E0" w:rsidP="00551876">
      <w:pPr>
        <w:pStyle w:val="BodyText1"/>
        <w:spacing w:line="240" w:lineRule="auto"/>
        <w:ind w:left="630" w:hanging="360"/>
        <w:jc w:val="both"/>
        <w:rPr>
          <w:sz w:val="24"/>
        </w:rPr>
      </w:pPr>
      <w:r>
        <w:rPr>
          <w:sz w:val="24"/>
        </w:rPr>
        <w:t xml:space="preserve">(b) </w:t>
      </w:r>
      <w:r w:rsidR="00894CD2" w:rsidRPr="007960E0">
        <w:rPr>
          <w:sz w:val="24"/>
        </w:rPr>
        <w:t>Australia becomes, by force of this</w:t>
      </w:r>
      <w:r w:rsidR="00551876">
        <w:rPr>
          <w:sz w:val="24"/>
        </w:rPr>
        <w:t xml:space="preserve"> section, liable to pay and dis</w:t>
      </w:r>
      <w:r w:rsidR="00894CD2" w:rsidRPr="007960E0">
        <w:rPr>
          <w:sz w:val="24"/>
        </w:rPr>
        <w:t>charge all the debts, liabili</w:t>
      </w:r>
      <w:r w:rsidR="00551876">
        <w:rPr>
          <w:sz w:val="24"/>
        </w:rPr>
        <w:t>ties and obligations of the Com</w:t>
      </w:r>
      <w:r w:rsidR="00894CD2" w:rsidRPr="007960E0">
        <w:rPr>
          <w:sz w:val="24"/>
        </w:rPr>
        <w:t>mission that existed immediately before that day.</w:t>
      </w:r>
    </w:p>
    <w:p w14:paraId="0A21A25F" w14:textId="77777777" w:rsidR="00D91ED3" w:rsidRPr="00551876" w:rsidRDefault="00894CD2" w:rsidP="00551876">
      <w:pPr>
        <w:pStyle w:val="Bodytext30"/>
        <w:spacing w:before="120" w:after="60" w:line="240" w:lineRule="auto"/>
        <w:jc w:val="both"/>
        <w:rPr>
          <w:b w:val="0"/>
          <w:sz w:val="20"/>
          <w:szCs w:val="20"/>
        </w:rPr>
      </w:pPr>
      <w:r w:rsidRPr="00551876">
        <w:rPr>
          <w:rStyle w:val="Bodytext3NotBold"/>
          <w:b/>
          <w:sz w:val="20"/>
          <w:szCs w:val="20"/>
        </w:rPr>
        <w:t>Officers’</w:t>
      </w:r>
      <w:r w:rsidR="007960E0" w:rsidRPr="00551876">
        <w:rPr>
          <w:rStyle w:val="Bodytext3NotBold"/>
          <w:b/>
          <w:sz w:val="20"/>
          <w:szCs w:val="20"/>
        </w:rPr>
        <w:t xml:space="preserve"> </w:t>
      </w:r>
      <w:r w:rsidRPr="00551876">
        <w:rPr>
          <w:rStyle w:val="Bodytext3NotBold"/>
          <w:b/>
          <w:sz w:val="20"/>
          <w:szCs w:val="20"/>
        </w:rPr>
        <w:t>Rights</w:t>
      </w:r>
      <w:r w:rsidR="007960E0" w:rsidRPr="00551876">
        <w:rPr>
          <w:rStyle w:val="Bodytext3NotBold"/>
          <w:b/>
          <w:sz w:val="20"/>
          <w:szCs w:val="20"/>
        </w:rPr>
        <w:t xml:space="preserve"> </w:t>
      </w:r>
      <w:r w:rsidRPr="00551876">
        <w:rPr>
          <w:rStyle w:val="Bodytext3NotBold"/>
          <w:b/>
          <w:sz w:val="20"/>
          <w:szCs w:val="20"/>
        </w:rPr>
        <w:t>Declaration</w:t>
      </w:r>
      <w:r w:rsidR="007960E0" w:rsidRPr="00551876">
        <w:rPr>
          <w:rStyle w:val="Bodytext3NotBold"/>
          <w:b/>
          <w:sz w:val="20"/>
          <w:szCs w:val="20"/>
        </w:rPr>
        <w:t xml:space="preserve"> </w:t>
      </w:r>
      <w:r w:rsidRPr="00551876">
        <w:rPr>
          <w:rStyle w:val="Bodytext3NotBold"/>
          <w:b/>
          <w:sz w:val="20"/>
          <w:szCs w:val="20"/>
        </w:rPr>
        <w:t>Act.</w:t>
      </w:r>
    </w:p>
    <w:p w14:paraId="475ECE1C" w14:textId="77777777" w:rsidR="007960E0" w:rsidRDefault="007960E0" w:rsidP="00551876">
      <w:pPr>
        <w:pStyle w:val="BodyText1"/>
        <w:tabs>
          <w:tab w:val="left" w:pos="630"/>
        </w:tabs>
        <w:spacing w:line="240" w:lineRule="auto"/>
        <w:ind w:firstLine="270"/>
        <w:jc w:val="both"/>
        <w:rPr>
          <w:sz w:val="24"/>
        </w:rPr>
      </w:pPr>
      <w:r w:rsidRPr="00551876">
        <w:rPr>
          <w:b/>
          <w:sz w:val="24"/>
        </w:rPr>
        <w:t>6.</w:t>
      </w:r>
      <w:r w:rsidR="00551876">
        <w:rPr>
          <w:sz w:val="24"/>
        </w:rPr>
        <w:tab/>
      </w:r>
      <w:r w:rsidR="00894CD2" w:rsidRPr="007960E0">
        <w:rPr>
          <w:sz w:val="24"/>
        </w:rPr>
        <w:t xml:space="preserve">Where, at the expiration of the day before the commencing day, the </w:t>
      </w:r>
      <w:r w:rsidR="00894CD2" w:rsidRPr="007960E0">
        <w:rPr>
          <w:rStyle w:val="BodytextItalic"/>
          <w:sz w:val="24"/>
        </w:rPr>
        <w:t>Officers’ Rights Declaration Act</w:t>
      </w:r>
      <w:r w:rsidR="00894CD2" w:rsidRPr="007960E0">
        <w:rPr>
          <w:sz w:val="24"/>
        </w:rPr>
        <w:t xml:space="preserve"> 1928-1975 applied in relation to a person who was at that time an officer or employee of the Commission, that Act continues, by force of this section, to apply in relation to that person as if the Acts referred to in section 3 had not been repealed but that person had resigned on that day from his service or employment under the Commission.</w:t>
      </w:r>
    </w:p>
    <w:p w14:paraId="3044AD82" w14:textId="77777777" w:rsidR="00D91ED3" w:rsidRPr="00551876" w:rsidRDefault="001C0FD4" w:rsidP="00551876">
      <w:pPr>
        <w:pStyle w:val="Bodytext30"/>
        <w:spacing w:before="120" w:after="60" w:line="240" w:lineRule="auto"/>
        <w:jc w:val="both"/>
        <w:rPr>
          <w:b w:val="0"/>
          <w:sz w:val="20"/>
          <w:szCs w:val="20"/>
        </w:rPr>
      </w:pPr>
      <w:r w:rsidRPr="00551876">
        <w:rPr>
          <w:rStyle w:val="Bodytext3NotBold"/>
          <w:b/>
          <w:sz w:val="20"/>
          <w:szCs w:val="20"/>
        </w:rPr>
        <w:t>Appropri</w:t>
      </w:r>
      <w:r w:rsidR="00894CD2" w:rsidRPr="00551876">
        <w:rPr>
          <w:rStyle w:val="Bodytext3NotBold"/>
          <w:b/>
          <w:sz w:val="20"/>
          <w:szCs w:val="20"/>
        </w:rPr>
        <w:t>ation.</w:t>
      </w:r>
    </w:p>
    <w:p w14:paraId="55C110B1" w14:textId="77777777" w:rsidR="00D91ED3" w:rsidRPr="007960E0" w:rsidRDefault="001C0FD4" w:rsidP="00551876">
      <w:pPr>
        <w:pStyle w:val="BodyText1"/>
        <w:tabs>
          <w:tab w:val="left" w:pos="630"/>
        </w:tabs>
        <w:spacing w:line="240" w:lineRule="auto"/>
        <w:ind w:firstLine="270"/>
        <w:jc w:val="both"/>
        <w:rPr>
          <w:sz w:val="24"/>
        </w:rPr>
      </w:pPr>
      <w:r w:rsidRPr="00551876">
        <w:rPr>
          <w:b/>
          <w:sz w:val="24"/>
        </w:rPr>
        <w:t>7.</w:t>
      </w:r>
      <w:r w:rsidR="00551876">
        <w:rPr>
          <w:sz w:val="24"/>
        </w:rPr>
        <w:tab/>
      </w:r>
      <w:r w:rsidR="00894CD2" w:rsidRPr="007960E0">
        <w:rPr>
          <w:sz w:val="24"/>
        </w:rPr>
        <w:t xml:space="preserve">Where, by an Act, moneys have been appropriated before the commencing day for expenditure under the </w:t>
      </w:r>
      <w:r w:rsidR="00894CD2" w:rsidRPr="007960E0">
        <w:rPr>
          <w:rStyle w:val="BodytextItalic"/>
          <w:sz w:val="24"/>
        </w:rPr>
        <w:t xml:space="preserve">Cities Commission Act </w:t>
      </w:r>
      <w:r w:rsidR="00894CD2" w:rsidRPr="007960E0">
        <w:rPr>
          <w:sz w:val="24"/>
        </w:rPr>
        <w:t>1972-1973 in respect of the year ending on 30 June 1976, so much of those moneys as have not been expended before that day are appropri</w:t>
      </w:r>
      <w:r w:rsidR="00894CD2" w:rsidRPr="007960E0">
        <w:rPr>
          <w:sz w:val="24"/>
        </w:rPr>
        <w:softHyphen/>
        <w:t>ated for expenditure in that year by the Department of Urban and Regional Development in the discharge of the liability imposed upon Australia by paragraph 5(b) and in the discharge of costs, expenses and other obligations incurred in the performance by that Department of functions that could have been performed by the Commission if this Act had not been enacted, but mone</w:t>
      </w:r>
      <w:r w:rsidR="00551876">
        <w:rPr>
          <w:sz w:val="24"/>
        </w:rPr>
        <w:t>ys so appropriated by the first</w:t>
      </w:r>
      <w:r w:rsidR="00894CD2" w:rsidRPr="007960E0">
        <w:rPr>
          <w:sz w:val="24"/>
        </w:rPr>
        <w:t xml:space="preserve"> mentioned Act for a particular purpose shall not be expended otherwise than for that purpose.</w:t>
      </w:r>
    </w:p>
    <w:p w14:paraId="6AAA468B" w14:textId="77777777" w:rsidR="00D91ED3" w:rsidRPr="00551876" w:rsidRDefault="00894CD2" w:rsidP="00551876">
      <w:pPr>
        <w:pStyle w:val="Bodytext30"/>
        <w:spacing w:before="120" w:after="60" w:line="240" w:lineRule="auto"/>
        <w:jc w:val="both"/>
        <w:rPr>
          <w:b w:val="0"/>
          <w:sz w:val="20"/>
          <w:szCs w:val="20"/>
        </w:rPr>
      </w:pPr>
      <w:r w:rsidRPr="00551876">
        <w:rPr>
          <w:rStyle w:val="Bodytext3NotBold"/>
          <w:b/>
          <w:sz w:val="20"/>
          <w:szCs w:val="20"/>
        </w:rPr>
        <w:t>Agreements</w:t>
      </w:r>
      <w:r w:rsidR="001C0FD4" w:rsidRPr="00551876">
        <w:rPr>
          <w:rStyle w:val="Bodytext3NotBold"/>
          <w:b/>
          <w:sz w:val="20"/>
          <w:szCs w:val="20"/>
        </w:rPr>
        <w:t xml:space="preserve"> </w:t>
      </w:r>
      <w:r w:rsidRPr="00551876">
        <w:rPr>
          <w:rStyle w:val="Bodytext3NotBold"/>
          <w:b/>
          <w:sz w:val="20"/>
          <w:szCs w:val="20"/>
        </w:rPr>
        <w:t>and</w:t>
      </w:r>
      <w:r w:rsidR="001C0FD4" w:rsidRPr="00551876">
        <w:rPr>
          <w:rStyle w:val="Bodytext3NotBold"/>
          <w:b/>
          <w:sz w:val="20"/>
          <w:szCs w:val="20"/>
        </w:rPr>
        <w:t xml:space="preserve"> </w:t>
      </w:r>
      <w:r w:rsidRPr="00551876">
        <w:rPr>
          <w:rStyle w:val="Bodytext3NotBold"/>
          <w:b/>
          <w:sz w:val="20"/>
          <w:szCs w:val="20"/>
        </w:rPr>
        <w:t>instruments.</w:t>
      </w:r>
    </w:p>
    <w:p w14:paraId="21612015" w14:textId="77777777" w:rsidR="00D91ED3" w:rsidRPr="007960E0" w:rsidRDefault="001C0FD4" w:rsidP="00551876">
      <w:pPr>
        <w:pStyle w:val="BodyText1"/>
        <w:tabs>
          <w:tab w:val="left" w:pos="630"/>
        </w:tabs>
        <w:spacing w:line="240" w:lineRule="auto"/>
        <w:ind w:firstLine="270"/>
        <w:jc w:val="both"/>
        <w:rPr>
          <w:sz w:val="24"/>
        </w:rPr>
      </w:pPr>
      <w:r w:rsidRPr="00551876">
        <w:rPr>
          <w:b/>
          <w:sz w:val="24"/>
        </w:rPr>
        <w:t>8.</w:t>
      </w:r>
      <w:r w:rsidR="00551876">
        <w:rPr>
          <w:b/>
          <w:sz w:val="24"/>
        </w:rPr>
        <w:tab/>
      </w:r>
      <w:r w:rsidR="00894CD2" w:rsidRPr="007960E0">
        <w:rPr>
          <w:sz w:val="24"/>
        </w:rPr>
        <w:t>Any agreement or instrument subsisting immediately before the commencing day to which the Commission was a party has effect on and after that day as if—</w:t>
      </w:r>
    </w:p>
    <w:p w14:paraId="26189A73" w14:textId="77777777" w:rsidR="00D91ED3" w:rsidRPr="007960E0" w:rsidRDefault="001C0FD4" w:rsidP="00551876">
      <w:pPr>
        <w:pStyle w:val="BodyText1"/>
        <w:spacing w:after="60" w:line="240" w:lineRule="auto"/>
        <w:ind w:firstLine="274"/>
        <w:jc w:val="both"/>
        <w:rPr>
          <w:sz w:val="24"/>
        </w:rPr>
      </w:pPr>
      <w:r>
        <w:rPr>
          <w:sz w:val="24"/>
        </w:rPr>
        <w:t xml:space="preserve">(a) </w:t>
      </w:r>
      <w:r w:rsidR="00894CD2" w:rsidRPr="007960E0">
        <w:rPr>
          <w:sz w:val="24"/>
        </w:rPr>
        <w:t>Australia were substituted for the Commission as a party to the agreement or instrument; and</w:t>
      </w:r>
    </w:p>
    <w:p w14:paraId="18E9F8EF" w14:textId="77777777" w:rsidR="00D91ED3" w:rsidRPr="007960E0" w:rsidRDefault="001C0FD4" w:rsidP="00551876">
      <w:pPr>
        <w:pStyle w:val="BodyText1"/>
        <w:spacing w:line="240" w:lineRule="auto"/>
        <w:ind w:left="630" w:hanging="360"/>
        <w:jc w:val="both"/>
        <w:rPr>
          <w:sz w:val="24"/>
        </w:rPr>
      </w:pPr>
      <w:r>
        <w:rPr>
          <w:sz w:val="24"/>
        </w:rPr>
        <w:t xml:space="preserve">(b) </w:t>
      </w:r>
      <w:r w:rsidR="00894CD2" w:rsidRPr="007960E0">
        <w:rPr>
          <w:sz w:val="24"/>
        </w:rPr>
        <w:t>any reference in the agr</w:t>
      </w:r>
      <w:r w:rsidR="00551876">
        <w:rPr>
          <w:sz w:val="24"/>
        </w:rPr>
        <w:t>eement or instrument to the Com</w:t>
      </w:r>
      <w:r w:rsidR="00894CD2" w:rsidRPr="007960E0">
        <w:rPr>
          <w:sz w:val="24"/>
        </w:rPr>
        <w:t>mission were (except in relation to matters that occurred before that day) a reference to Australia.</w:t>
      </w:r>
    </w:p>
    <w:p w14:paraId="182A6EF8" w14:textId="77777777" w:rsidR="00A45235" w:rsidRDefault="00A45235">
      <w:pPr>
        <w:rPr>
          <w:rStyle w:val="Bodytext3NotBold"/>
          <w:rFonts w:eastAsia="Courier New"/>
          <w:bCs w:val="0"/>
          <w:sz w:val="20"/>
          <w:szCs w:val="20"/>
        </w:rPr>
      </w:pPr>
      <w:r>
        <w:rPr>
          <w:rStyle w:val="Bodytext3NotBold"/>
          <w:rFonts w:eastAsia="Courier New"/>
          <w:b w:val="0"/>
          <w:sz w:val="20"/>
          <w:szCs w:val="20"/>
        </w:rPr>
        <w:br w:type="page"/>
      </w:r>
    </w:p>
    <w:p w14:paraId="62FFA36B" w14:textId="4361C0B3" w:rsidR="00D91ED3" w:rsidRPr="00551876" w:rsidRDefault="00894CD2" w:rsidP="00551876">
      <w:pPr>
        <w:pStyle w:val="Bodytext30"/>
        <w:spacing w:before="120" w:after="60" w:line="240" w:lineRule="auto"/>
        <w:jc w:val="both"/>
        <w:rPr>
          <w:b w:val="0"/>
          <w:sz w:val="20"/>
          <w:szCs w:val="20"/>
        </w:rPr>
      </w:pPr>
      <w:r w:rsidRPr="00551876">
        <w:rPr>
          <w:rStyle w:val="Bodytext3NotBold"/>
          <w:b/>
          <w:sz w:val="20"/>
          <w:szCs w:val="20"/>
        </w:rPr>
        <w:lastRenderedPageBreak/>
        <w:t>Exemption</w:t>
      </w:r>
      <w:r w:rsidR="001C0FD4" w:rsidRPr="00551876">
        <w:rPr>
          <w:rStyle w:val="Bodytext3NotBold"/>
          <w:b/>
          <w:sz w:val="20"/>
          <w:szCs w:val="20"/>
        </w:rPr>
        <w:t xml:space="preserve"> </w:t>
      </w:r>
      <w:r w:rsidRPr="00551876">
        <w:rPr>
          <w:rStyle w:val="Bodytext3NotBold"/>
          <w:b/>
          <w:sz w:val="20"/>
          <w:szCs w:val="20"/>
        </w:rPr>
        <w:t>from</w:t>
      </w:r>
      <w:r w:rsidR="001C0FD4" w:rsidRPr="00551876">
        <w:rPr>
          <w:rStyle w:val="Bodytext3NotBold"/>
          <w:b/>
          <w:sz w:val="20"/>
          <w:szCs w:val="20"/>
        </w:rPr>
        <w:t xml:space="preserve"> </w:t>
      </w:r>
      <w:r w:rsidRPr="00551876">
        <w:rPr>
          <w:rStyle w:val="Bodytext3NotBold"/>
          <w:b/>
          <w:sz w:val="20"/>
          <w:szCs w:val="20"/>
        </w:rPr>
        <w:t>taxation.</w:t>
      </w:r>
    </w:p>
    <w:p w14:paraId="042D1B5D" w14:textId="77777777" w:rsidR="00D91ED3" w:rsidRDefault="001C0FD4" w:rsidP="00551876">
      <w:pPr>
        <w:pStyle w:val="BodyText1"/>
        <w:tabs>
          <w:tab w:val="left" w:pos="630"/>
        </w:tabs>
        <w:spacing w:line="240" w:lineRule="auto"/>
        <w:ind w:firstLine="270"/>
        <w:jc w:val="both"/>
        <w:rPr>
          <w:sz w:val="24"/>
        </w:rPr>
      </w:pPr>
      <w:r w:rsidRPr="00551876">
        <w:rPr>
          <w:b/>
          <w:sz w:val="24"/>
        </w:rPr>
        <w:t>9.</w:t>
      </w:r>
      <w:r w:rsidR="00551876">
        <w:rPr>
          <w:sz w:val="24"/>
        </w:rPr>
        <w:tab/>
      </w:r>
      <w:r w:rsidR="00894CD2" w:rsidRPr="007960E0">
        <w:rPr>
          <w:sz w:val="24"/>
        </w:rPr>
        <w:t xml:space="preserve">An instrument or document that an authorized officer certifies to have been made, executed or given by </w:t>
      </w:r>
      <w:r w:rsidR="00551876">
        <w:rPr>
          <w:sz w:val="24"/>
        </w:rPr>
        <w:t>reason of, or for a purpose con</w:t>
      </w:r>
      <w:r w:rsidR="00894CD2" w:rsidRPr="007960E0">
        <w:rPr>
          <w:sz w:val="24"/>
        </w:rPr>
        <w:t>nected with or arising out of, the operation of this Act is not liable to stamp duty or other tax under a law of Australia or of a State or Territory.</w:t>
      </w:r>
    </w:p>
    <w:p w14:paraId="517F69F1" w14:textId="77777777" w:rsidR="00F429E6" w:rsidRPr="00551876" w:rsidRDefault="00F429E6" w:rsidP="00551876">
      <w:pPr>
        <w:pStyle w:val="Bodytext30"/>
        <w:spacing w:before="120" w:after="60" w:line="240" w:lineRule="auto"/>
        <w:jc w:val="both"/>
        <w:rPr>
          <w:b w:val="0"/>
          <w:sz w:val="20"/>
          <w:szCs w:val="20"/>
        </w:rPr>
      </w:pPr>
      <w:r w:rsidRPr="00551876">
        <w:rPr>
          <w:rStyle w:val="Bodytext3NotBold"/>
          <w:b/>
          <w:sz w:val="20"/>
          <w:szCs w:val="20"/>
        </w:rPr>
        <w:t>Pending proceedings.</w:t>
      </w:r>
    </w:p>
    <w:p w14:paraId="2010345E" w14:textId="77777777" w:rsidR="00D91ED3" w:rsidRDefault="001C0FD4" w:rsidP="00551876">
      <w:pPr>
        <w:pStyle w:val="BodyText1"/>
        <w:tabs>
          <w:tab w:val="left" w:pos="630"/>
        </w:tabs>
        <w:spacing w:line="240" w:lineRule="auto"/>
        <w:ind w:firstLine="270"/>
        <w:jc w:val="both"/>
        <w:rPr>
          <w:sz w:val="24"/>
        </w:rPr>
      </w:pPr>
      <w:r w:rsidRPr="003D7045">
        <w:rPr>
          <w:b/>
          <w:sz w:val="24"/>
        </w:rPr>
        <w:t>10.</w:t>
      </w:r>
      <w:r w:rsidR="00551876">
        <w:rPr>
          <w:sz w:val="24"/>
        </w:rPr>
        <w:tab/>
      </w:r>
      <w:r w:rsidR="00894CD2" w:rsidRPr="007960E0">
        <w:rPr>
          <w:sz w:val="24"/>
        </w:rPr>
        <w:t>Where, immediately before the commencing day, proceedings to w</w:t>
      </w:r>
      <w:r w:rsidR="00551876">
        <w:rPr>
          <w:sz w:val="24"/>
        </w:rPr>
        <w:t xml:space="preserve">hich the Commission was a party </w:t>
      </w:r>
      <w:r w:rsidR="00894CD2" w:rsidRPr="007960E0">
        <w:rPr>
          <w:sz w:val="24"/>
        </w:rPr>
        <w:t>were pending in any court, Australia is, by force of this section, substituted for the Commission as a party to the proceedings.</w:t>
      </w:r>
    </w:p>
    <w:p w14:paraId="28B5D09E" w14:textId="77777777" w:rsidR="00F429E6" w:rsidRPr="00551876" w:rsidRDefault="00F429E6" w:rsidP="00551876">
      <w:pPr>
        <w:pStyle w:val="Bodytext30"/>
        <w:spacing w:before="120" w:after="60" w:line="240" w:lineRule="auto"/>
        <w:jc w:val="both"/>
        <w:rPr>
          <w:b w:val="0"/>
          <w:sz w:val="20"/>
          <w:szCs w:val="20"/>
        </w:rPr>
      </w:pPr>
      <w:r w:rsidRPr="00551876">
        <w:rPr>
          <w:rStyle w:val="Bodytext3NotBold"/>
          <w:b/>
          <w:sz w:val="20"/>
          <w:szCs w:val="20"/>
        </w:rPr>
        <w:t>Financial</w:t>
      </w:r>
      <w:r w:rsidR="00551876">
        <w:rPr>
          <w:rStyle w:val="Bodytext3NotBold"/>
          <w:b/>
          <w:sz w:val="20"/>
          <w:szCs w:val="20"/>
        </w:rPr>
        <w:t xml:space="preserve"> report on operations of Commis</w:t>
      </w:r>
      <w:r w:rsidRPr="00551876">
        <w:rPr>
          <w:rStyle w:val="Bodytext3NotBold"/>
          <w:b/>
          <w:sz w:val="20"/>
          <w:szCs w:val="20"/>
        </w:rPr>
        <w:t>sion.</w:t>
      </w:r>
    </w:p>
    <w:p w14:paraId="62110866" w14:textId="77777777" w:rsidR="00D91ED3" w:rsidRPr="007960E0" w:rsidRDefault="001C0FD4" w:rsidP="003D7045">
      <w:pPr>
        <w:pStyle w:val="BodyText1"/>
        <w:spacing w:after="60" w:line="240" w:lineRule="auto"/>
        <w:ind w:firstLine="274"/>
        <w:jc w:val="both"/>
        <w:rPr>
          <w:sz w:val="24"/>
        </w:rPr>
      </w:pPr>
      <w:r w:rsidRPr="00551876">
        <w:rPr>
          <w:b/>
          <w:sz w:val="24"/>
        </w:rPr>
        <w:t xml:space="preserve">11. </w:t>
      </w:r>
      <w:r w:rsidR="00894CD2" w:rsidRPr="007960E0">
        <w:rPr>
          <w:sz w:val="24"/>
        </w:rPr>
        <w:t>(1) The Minister shall, as so</w:t>
      </w:r>
      <w:r w:rsidR="00551876">
        <w:rPr>
          <w:sz w:val="24"/>
        </w:rPr>
        <w:t>on as practicable after the com</w:t>
      </w:r>
      <w:r w:rsidR="00894CD2" w:rsidRPr="007960E0">
        <w:rPr>
          <w:sz w:val="24"/>
        </w:rPr>
        <w:t>mencing day, prepare a report of the o</w:t>
      </w:r>
      <w:r w:rsidR="00551876">
        <w:rPr>
          <w:sz w:val="24"/>
        </w:rPr>
        <w:t>perations of the Commission dur</w:t>
      </w:r>
      <w:r w:rsidR="00894CD2" w:rsidRPr="007960E0">
        <w:rPr>
          <w:sz w:val="24"/>
        </w:rPr>
        <w:t>ing the period that commenced on 1 July 1975 and ended immediately before the commencing day (in this section referred to as “the relevant period”), together with financial statements in respect of that period in such form as the Treasurer approves.</w:t>
      </w:r>
    </w:p>
    <w:p w14:paraId="427C2A70" w14:textId="77777777" w:rsidR="00D91ED3" w:rsidRPr="007960E0" w:rsidRDefault="001C0FD4" w:rsidP="003D7045">
      <w:pPr>
        <w:pStyle w:val="BodyText1"/>
        <w:spacing w:after="60" w:line="240" w:lineRule="auto"/>
        <w:ind w:firstLine="274"/>
        <w:jc w:val="both"/>
        <w:rPr>
          <w:sz w:val="24"/>
        </w:rPr>
      </w:pPr>
      <w:r>
        <w:rPr>
          <w:sz w:val="24"/>
        </w:rPr>
        <w:t xml:space="preserve">(2) </w:t>
      </w:r>
      <w:r w:rsidR="00894CD2" w:rsidRPr="007960E0">
        <w:rPr>
          <w:sz w:val="24"/>
        </w:rPr>
        <w:t>The Minister shall submit the financial statements prepared in accordance with sub-section (1) to the Auditor-General, who shall report to the Minister—</w:t>
      </w:r>
    </w:p>
    <w:p w14:paraId="3074EE6B" w14:textId="77777777" w:rsidR="00D91ED3" w:rsidRPr="007960E0" w:rsidRDefault="001C0FD4" w:rsidP="003D7045">
      <w:pPr>
        <w:pStyle w:val="BodyText1"/>
        <w:spacing w:after="60" w:line="240" w:lineRule="auto"/>
        <w:ind w:firstLine="274"/>
        <w:jc w:val="both"/>
        <w:rPr>
          <w:sz w:val="24"/>
        </w:rPr>
      </w:pPr>
      <w:r>
        <w:rPr>
          <w:sz w:val="24"/>
        </w:rPr>
        <w:t xml:space="preserve">(a) </w:t>
      </w:r>
      <w:r w:rsidR="00894CD2" w:rsidRPr="007960E0">
        <w:rPr>
          <w:sz w:val="24"/>
        </w:rPr>
        <w:t>whether the statements are based on proper accounts and records;</w:t>
      </w:r>
    </w:p>
    <w:p w14:paraId="10EB4FA6" w14:textId="77777777" w:rsidR="001C0FD4" w:rsidRDefault="001C0FD4" w:rsidP="003D7045">
      <w:pPr>
        <w:pStyle w:val="BodyText1"/>
        <w:spacing w:after="60" w:line="240" w:lineRule="auto"/>
        <w:ind w:firstLine="274"/>
        <w:jc w:val="both"/>
        <w:rPr>
          <w:sz w:val="24"/>
        </w:rPr>
      </w:pPr>
      <w:r>
        <w:rPr>
          <w:sz w:val="24"/>
        </w:rPr>
        <w:t xml:space="preserve">(b) </w:t>
      </w:r>
      <w:r w:rsidR="00894CD2" w:rsidRPr="007960E0">
        <w:rPr>
          <w:sz w:val="24"/>
        </w:rPr>
        <w:t>whether the statements are in agreement with the accounts and records;</w:t>
      </w:r>
    </w:p>
    <w:p w14:paraId="7D9D8500" w14:textId="76538D25" w:rsidR="000F753E" w:rsidRPr="000F753E" w:rsidRDefault="000F753E" w:rsidP="003D7045">
      <w:pPr>
        <w:pStyle w:val="BodyText1"/>
        <w:spacing w:after="60" w:line="240" w:lineRule="auto"/>
        <w:ind w:left="630" w:hanging="360"/>
        <w:jc w:val="both"/>
        <w:rPr>
          <w:i/>
          <w:sz w:val="24"/>
        </w:rPr>
      </w:pPr>
      <w:r w:rsidRPr="000F753E">
        <w:rPr>
          <w:sz w:val="24"/>
        </w:rPr>
        <w:t>(c) whether the receipt and expen</w:t>
      </w:r>
      <w:r w:rsidR="00DC2B8B">
        <w:rPr>
          <w:sz w:val="24"/>
        </w:rPr>
        <w:t>diture of moneys, and the acqui</w:t>
      </w:r>
      <w:r w:rsidRPr="000F753E">
        <w:rPr>
          <w:sz w:val="24"/>
        </w:rPr>
        <w:t>sition and disposal of assets, by the Commission during the relevant period have been in</w:t>
      </w:r>
      <w:r w:rsidR="00DC2B8B">
        <w:rPr>
          <w:sz w:val="24"/>
        </w:rPr>
        <w:t xml:space="preserve"> accordance with the </w:t>
      </w:r>
      <w:r w:rsidR="00DC2B8B" w:rsidRPr="00A45235">
        <w:rPr>
          <w:i/>
          <w:sz w:val="24"/>
        </w:rPr>
        <w:t>Cities Com</w:t>
      </w:r>
      <w:r w:rsidRPr="00A45235">
        <w:rPr>
          <w:i/>
          <w:sz w:val="24"/>
        </w:rPr>
        <w:t xml:space="preserve">mission Act </w:t>
      </w:r>
      <w:r w:rsidRPr="000F753E">
        <w:rPr>
          <w:sz w:val="24"/>
        </w:rPr>
        <w:t>1972-1973; and</w:t>
      </w:r>
    </w:p>
    <w:p w14:paraId="1F043E9F" w14:textId="77777777" w:rsidR="000F753E" w:rsidRPr="000F753E" w:rsidRDefault="000F753E" w:rsidP="003D7045">
      <w:pPr>
        <w:pStyle w:val="BodyText1"/>
        <w:spacing w:after="60" w:line="240" w:lineRule="auto"/>
        <w:ind w:left="630" w:hanging="360"/>
        <w:jc w:val="both"/>
        <w:rPr>
          <w:i/>
          <w:sz w:val="24"/>
        </w:rPr>
      </w:pPr>
      <w:r w:rsidRPr="000F753E">
        <w:rPr>
          <w:sz w:val="24"/>
        </w:rPr>
        <w:t>(d) as to such matters arising out of the statements as the Auditor- General considers should be reported to the Minister.</w:t>
      </w:r>
    </w:p>
    <w:p w14:paraId="00E329B7" w14:textId="77777777" w:rsidR="00D91ED3" w:rsidRDefault="00DC2B8B" w:rsidP="003D7045">
      <w:pPr>
        <w:pStyle w:val="BodyText1"/>
        <w:spacing w:line="240" w:lineRule="auto"/>
        <w:ind w:firstLine="270"/>
        <w:jc w:val="both"/>
        <w:rPr>
          <w:sz w:val="24"/>
        </w:rPr>
      </w:pPr>
      <w:r>
        <w:rPr>
          <w:sz w:val="24"/>
        </w:rPr>
        <w:t xml:space="preserve">(3) </w:t>
      </w:r>
      <w:r w:rsidR="00894CD2" w:rsidRPr="007960E0">
        <w:rPr>
          <w:sz w:val="24"/>
        </w:rPr>
        <w:t>The Minister shall cause the repo</w:t>
      </w:r>
      <w:r w:rsidR="003D7045">
        <w:rPr>
          <w:sz w:val="24"/>
        </w:rPr>
        <w:t>rt and financial statements pre</w:t>
      </w:r>
      <w:r w:rsidR="00894CD2" w:rsidRPr="007960E0">
        <w:rPr>
          <w:sz w:val="24"/>
        </w:rPr>
        <w:t>pared in accordance with sub-section (1), together with the report of the Auditor-General, to be laid before each House of the Parliament within 15 sitting days of that House after receipt by the Minister of the report from the Auditor-General.</w:t>
      </w:r>
    </w:p>
    <w:p w14:paraId="25C3FDB1" w14:textId="77777777" w:rsidR="003D7045" w:rsidRPr="007960E0" w:rsidRDefault="003D7045" w:rsidP="003D7045">
      <w:pPr>
        <w:pStyle w:val="BodyText1"/>
        <w:pBdr>
          <w:bottom w:val="single" w:sz="12" w:space="1" w:color="auto"/>
        </w:pBdr>
        <w:spacing w:after="160" w:line="240" w:lineRule="auto"/>
        <w:ind w:firstLine="0"/>
        <w:jc w:val="both"/>
        <w:rPr>
          <w:sz w:val="24"/>
        </w:rPr>
      </w:pPr>
    </w:p>
    <w:sectPr w:rsidR="003D7045" w:rsidRPr="007960E0" w:rsidSect="0073460D">
      <w:headerReference w:type="even" r:id="rId8"/>
      <w:headerReference w:type="default" r:id="rId9"/>
      <w:type w:val="continuous"/>
      <w:pgSz w:w="11909" w:h="18000" w:code="9"/>
      <w:pgMar w:top="1080" w:right="1080" w:bottom="1080" w:left="1080" w:header="72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2BA8F9" w15:done="0"/>
  <w15:commentEx w15:paraId="6D4B4C71" w15:done="0"/>
  <w15:commentEx w15:paraId="4A556F42" w15:done="0"/>
  <w15:commentEx w15:paraId="06E0D1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2BA8F9" w16cid:durableId="1F55B887"/>
  <w16cid:commentId w16cid:paraId="6D4B4C71" w16cid:durableId="1F55B892"/>
  <w16cid:commentId w16cid:paraId="4A556F42" w16cid:durableId="1F55B89F"/>
  <w16cid:commentId w16cid:paraId="06E0D1FB" w16cid:durableId="1F55B8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1AF43" w14:textId="77777777" w:rsidR="00E43965" w:rsidRDefault="00E43965">
      <w:r>
        <w:separator/>
      </w:r>
    </w:p>
  </w:endnote>
  <w:endnote w:type="continuationSeparator" w:id="0">
    <w:p w14:paraId="4907962B" w14:textId="77777777" w:rsidR="00E43965" w:rsidRDefault="00E4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80109" w14:textId="77777777" w:rsidR="00E43965" w:rsidRDefault="00E43965"/>
  </w:footnote>
  <w:footnote w:type="continuationSeparator" w:id="0">
    <w:p w14:paraId="2DA9B94B" w14:textId="77777777" w:rsidR="00E43965" w:rsidRDefault="00E439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E9F51" w14:textId="77777777" w:rsidR="0073460D" w:rsidRPr="0073460D" w:rsidRDefault="0073460D" w:rsidP="0073460D">
    <w:pPr>
      <w:pStyle w:val="Header"/>
      <w:tabs>
        <w:tab w:val="clear" w:pos="4513"/>
        <w:tab w:val="clear" w:pos="9026"/>
        <w:tab w:val="center" w:pos="5040"/>
        <w:tab w:val="right" w:pos="9720"/>
      </w:tabs>
      <w:rPr>
        <w:rFonts w:ascii="Times New Roman" w:hAnsi="Times New Roman" w:cs="Times New Roman"/>
        <w:sz w:val="22"/>
        <w:szCs w:val="22"/>
        <w:lang w:val="en-IN"/>
      </w:rPr>
    </w:pPr>
    <w:r w:rsidRPr="0073460D">
      <w:rPr>
        <w:rFonts w:ascii="Times New Roman" w:hAnsi="Times New Roman" w:cs="Times New Roman"/>
        <w:sz w:val="22"/>
        <w:szCs w:val="22"/>
        <w:lang w:val="en-IN"/>
      </w:rPr>
      <w:t>No. 120</w:t>
    </w:r>
    <w:r>
      <w:rPr>
        <w:rFonts w:ascii="Times New Roman" w:hAnsi="Times New Roman" w:cs="Times New Roman"/>
        <w:sz w:val="22"/>
        <w:szCs w:val="22"/>
        <w:lang w:val="en-IN"/>
      </w:rPr>
      <w:tab/>
    </w:r>
    <w:r w:rsidRPr="0073460D">
      <w:rPr>
        <w:rFonts w:ascii="Times New Roman" w:hAnsi="Times New Roman" w:cs="Times New Roman"/>
        <w:i/>
        <w:sz w:val="22"/>
        <w:szCs w:val="22"/>
        <w:lang w:val="en-IN"/>
      </w:rPr>
      <w:t xml:space="preserve">Cities Commission </w:t>
    </w:r>
    <w:r w:rsidRPr="00A45235">
      <w:rPr>
        <w:rFonts w:ascii="Times New Roman" w:hAnsi="Times New Roman" w:cs="Times New Roman"/>
        <w:sz w:val="22"/>
        <w:szCs w:val="22"/>
        <w:lang w:val="en-IN"/>
      </w:rPr>
      <w:t>(</w:t>
    </w:r>
    <w:r w:rsidRPr="0073460D">
      <w:rPr>
        <w:rFonts w:ascii="Times New Roman" w:hAnsi="Times New Roman" w:cs="Times New Roman"/>
        <w:i/>
        <w:sz w:val="22"/>
        <w:szCs w:val="22"/>
        <w:lang w:val="en-IN"/>
      </w:rPr>
      <w:t>Repeal</w:t>
    </w:r>
    <w:r w:rsidRPr="00A45235">
      <w:rPr>
        <w:rFonts w:ascii="Times New Roman" w:hAnsi="Times New Roman" w:cs="Times New Roman"/>
        <w:sz w:val="22"/>
        <w:szCs w:val="22"/>
        <w:lang w:val="en-IN"/>
      </w:rPr>
      <w:t>)</w:t>
    </w:r>
    <w:r>
      <w:rPr>
        <w:rFonts w:ascii="Times New Roman" w:hAnsi="Times New Roman" w:cs="Times New Roman"/>
        <w:sz w:val="22"/>
        <w:szCs w:val="22"/>
        <w:lang w:val="en-IN"/>
      </w:rPr>
      <w:tab/>
      <w:t>1975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03FCB" w14:textId="77777777" w:rsidR="0073460D" w:rsidRPr="0073460D" w:rsidRDefault="0073460D" w:rsidP="0073460D">
    <w:pPr>
      <w:pStyle w:val="Header"/>
      <w:tabs>
        <w:tab w:val="clear" w:pos="4513"/>
        <w:tab w:val="clear" w:pos="9026"/>
        <w:tab w:val="center" w:pos="5040"/>
        <w:tab w:val="right" w:pos="9720"/>
      </w:tabs>
      <w:rPr>
        <w:rFonts w:ascii="Times New Roman" w:hAnsi="Times New Roman" w:cs="Times New Roman"/>
        <w:sz w:val="22"/>
        <w:szCs w:val="22"/>
        <w:lang w:val="en-IN"/>
      </w:rPr>
    </w:pPr>
    <w:r w:rsidRPr="0073460D">
      <w:rPr>
        <w:rFonts w:ascii="Times New Roman" w:hAnsi="Times New Roman" w:cs="Times New Roman"/>
        <w:sz w:val="22"/>
        <w:szCs w:val="22"/>
        <w:lang w:val="en-IN"/>
      </w:rPr>
      <w:t>1975</w:t>
    </w:r>
    <w:r>
      <w:rPr>
        <w:rFonts w:ascii="Times New Roman" w:hAnsi="Times New Roman" w:cs="Times New Roman"/>
        <w:sz w:val="22"/>
        <w:szCs w:val="22"/>
        <w:lang w:val="en-IN"/>
      </w:rPr>
      <w:tab/>
    </w:r>
    <w:r w:rsidRPr="0073460D">
      <w:rPr>
        <w:rFonts w:ascii="Times New Roman" w:hAnsi="Times New Roman" w:cs="Times New Roman"/>
        <w:i/>
        <w:sz w:val="22"/>
        <w:szCs w:val="22"/>
        <w:lang w:val="en-IN"/>
      </w:rPr>
      <w:t>Cities Commission (Repeal)</w:t>
    </w:r>
    <w:r>
      <w:rPr>
        <w:rFonts w:ascii="Times New Roman" w:hAnsi="Times New Roman" w:cs="Times New Roman"/>
        <w:sz w:val="22"/>
        <w:szCs w:val="22"/>
        <w:lang w:val="en-IN"/>
      </w:rPr>
      <w:tab/>
    </w:r>
    <w:r w:rsidRPr="0073460D">
      <w:rPr>
        <w:rFonts w:ascii="Times New Roman" w:hAnsi="Times New Roman" w:cs="Times New Roman"/>
        <w:sz w:val="22"/>
        <w:szCs w:val="22"/>
        <w:lang w:val="en-IN"/>
      </w:rPr>
      <w:t>No. 120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E53"/>
    <w:multiLevelType w:val="multilevel"/>
    <w:tmpl w:val="D24C40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1D3D80"/>
    <w:multiLevelType w:val="multilevel"/>
    <w:tmpl w:val="0EDC68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6B056D"/>
    <w:multiLevelType w:val="multilevel"/>
    <w:tmpl w:val="9B1E69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7B02EE"/>
    <w:multiLevelType w:val="multilevel"/>
    <w:tmpl w:val="134C9F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F473E9E"/>
    <w:multiLevelType w:val="multilevel"/>
    <w:tmpl w:val="ED043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D91ED3"/>
    <w:rsid w:val="000E516D"/>
    <w:rsid w:val="000F753E"/>
    <w:rsid w:val="001C0FD4"/>
    <w:rsid w:val="003D7045"/>
    <w:rsid w:val="00551876"/>
    <w:rsid w:val="0073460D"/>
    <w:rsid w:val="007960E0"/>
    <w:rsid w:val="007D7706"/>
    <w:rsid w:val="00894CD2"/>
    <w:rsid w:val="00A45235"/>
    <w:rsid w:val="00A87C2C"/>
    <w:rsid w:val="00C93494"/>
    <w:rsid w:val="00D91ED3"/>
    <w:rsid w:val="00DC232B"/>
    <w:rsid w:val="00DC2B8B"/>
    <w:rsid w:val="00E43965"/>
    <w:rsid w:val="00F429E6"/>
    <w:rsid w:val="00F92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37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16"/>
      <w:szCs w:val="16"/>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1"/>
      <w:szCs w:val="21"/>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1"/>
      <w:szCs w:val="21"/>
      <w:u w:val="none"/>
    </w:rPr>
  </w:style>
  <w:style w:type="character" w:customStyle="1" w:styleId="Bodytext2NotItalic">
    <w:name w:val="Body text (2) + Not Italic"/>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21">
    <w:name w:val="Body text (2)"/>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95pt">
    <w:name w:val="Body text + 9.5 pt"/>
    <w:aliases w:val="Bold"/>
    <w:basedOn w:val="Bodytext"/>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9"/>
      <w:szCs w:val="19"/>
      <w:u w:val="none"/>
    </w:rPr>
  </w:style>
  <w:style w:type="paragraph" w:customStyle="1" w:styleId="Bodytext30">
    <w:name w:val="Body text (3)"/>
    <w:basedOn w:val="Normal"/>
    <w:link w:val="Bodytext3"/>
    <w:pPr>
      <w:spacing w:line="168" w:lineRule="exact"/>
    </w:pPr>
    <w:rPr>
      <w:rFonts w:ascii="Times New Roman" w:eastAsia="Times New Roman" w:hAnsi="Times New Roman" w:cs="Times New Roman"/>
      <w:b/>
      <w:bCs/>
      <w:sz w:val="16"/>
      <w:szCs w:val="16"/>
    </w:rPr>
  </w:style>
  <w:style w:type="paragraph" w:customStyle="1" w:styleId="Heading10">
    <w:name w:val="Heading #1"/>
    <w:basedOn w:val="Normal"/>
    <w:link w:val="Heading1"/>
    <w:pPr>
      <w:spacing w:line="0" w:lineRule="atLeast"/>
      <w:jc w:val="both"/>
      <w:outlineLvl w:val="0"/>
    </w:pPr>
    <w:rPr>
      <w:rFonts w:ascii="Arial" w:eastAsia="Arial" w:hAnsi="Arial" w:cs="Arial"/>
      <w:b/>
      <w:bCs/>
      <w:sz w:val="27"/>
      <w:szCs w:val="27"/>
    </w:rPr>
  </w:style>
  <w:style w:type="paragraph" w:customStyle="1" w:styleId="BodyText1">
    <w:name w:val="Body Text1"/>
    <w:basedOn w:val="Normal"/>
    <w:link w:val="Bodytext"/>
    <w:pPr>
      <w:spacing w:line="240" w:lineRule="exact"/>
      <w:ind w:hanging="440"/>
    </w:pPr>
    <w:rPr>
      <w:rFonts w:ascii="Times New Roman" w:eastAsia="Times New Roman" w:hAnsi="Times New Roman" w:cs="Times New Roman"/>
      <w:sz w:val="21"/>
      <w:szCs w:val="21"/>
    </w:rPr>
  </w:style>
  <w:style w:type="paragraph" w:customStyle="1" w:styleId="Bodytext20">
    <w:name w:val="Body text (2)"/>
    <w:basedOn w:val="Normal"/>
    <w:link w:val="Bodytext2"/>
    <w:pPr>
      <w:spacing w:line="235" w:lineRule="exact"/>
      <w:ind w:firstLine="340"/>
    </w:pPr>
    <w:rPr>
      <w:rFonts w:ascii="Times New Roman" w:eastAsia="Times New Roman" w:hAnsi="Times New Roman" w:cs="Times New Roman"/>
      <w:i/>
      <w:iCs/>
      <w:sz w:val="21"/>
      <w:szCs w:val="21"/>
    </w:rPr>
  </w:style>
  <w:style w:type="paragraph" w:customStyle="1" w:styleId="Bodytext50">
    <w:name w:val="Body text (5)"/>
    <w:basedOn w:val="Normal"/>
    <w:link w:val="Bodytext5"/>
    <w:pPr>
      <w:spacing w:line="0" w:lineRule="atLeast"/>
      <w:jc w:val="center"/>
    </w:pPr>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73460D"/>
    <w:pPr>
      <w:tabs>
        <w:tab w:val="center" w:pos="4513"/>
        <w:tab w:val="right" w:pos="9026"/>
      </w:tabs>
    </w:pPr>
  </w:style>
  <w:style w:type="character" w:customStyle="1" w:styleId="HeaderChar">
    <w:name w:val="Header Char"/>
    <w:basedOn w:val="DefaultParagraphFont"/>
    <w:link w:val="Header"/>
    <w:uiPriority w:val="99"/>
    <w:rsid w:val="0073460D"/>
    <w:rPr>
      <w:color w:val="000000"/>
    </w:rPr>
  </w:style>
  <w:style w:type="paragraph" w:styleId="Footer">
    <w:name w:val="footer"/>
    <w:basedOn w:val="Normal"/>
    <w:link w:val="FooterChar"/>
    <w:uiPriority w:val="99"/>
    <w:unhideWhenUsed/>
    <w:rsid w:val="0073460D"/>
    <w:pPr>
      <w:tabs>
        <w:tab w:val="center" w:pos="4513"/>
        <w:tab w:val="right" w:pos="9026"/>
      </w:tabs>
    </w:pPr>
  </w:style>
  <w:style w:type="character" w:customStyle="1" w:styleId="FooterChar">
    <w:name w:val="Footer Char"/>
    <w:basedOn w:val="DefaultParagraphFont"/>
    <w:link w:val="Footer"/>
    <w:uiPriority w:val="99"/>
    <w:rsid w:val="0073460D"/>
    <w:rPr>
      <w:color w:val="000000"/>
    </w:rPr>
  </w:style>
  <w:style w:type="character" w:styleId="CommentReference">
    <w:name w:val="annotation reference"/>
    <w:basedOn w:val="DefaultParagraphFont"/>
    <w:uiPriority w:val="99"/>
    <w:semiHidden/>
    <w:unhideWhenUsed/>
    <w:rsid w:val="00F92CFB"/>
    <w:rPr>
      <w:sz w:val="16"/>
      <w:szCs w:val="16"/>
    </w:rPr>
  </w:style>
  <w:style w:type="paragraph" w:styleId="CommentText">
    <w:name w:val="annotation text"/>
    <w:basedOn w:val="Normal"/>
    <w:link w:val="CommentTextChar"/>
    <w:uiPriority w:val="99"/>
    <w:semiHidden/>
    <w:unhideWhenUsed/>
    <w:rsid w:val="00F92CFB"/>
    <w:rPr>
      <w:sz w:val="20"/>
      <w:szCs w:val="20"/>
    </w:rPr>
  </w:style>
  <w:style w:type="character" w:customStyle="1" w:styleId="CommentTextChar">
    <w:name w:val="Comment Text Char"/>
    <w:basedOn w:val="DefaultParagraphFont"/>
    <w:link w:val="CommentText"/>
    <w:uiPriority w:val="99"/>
    <w:semiHidden/>
    <w:rsid w:val="00F92CFB"/>
    <w:rPr>
      <w:color w:val="000000"/>
      <w:sz w:val="20"/>
      <w:szCs w:val="20"/>
    </w:rPr>
  </w:style>
  <w:style w:type="paragraph" w:styleId="CommentSubject">
    <w:name w:val="annotation subject"/>
    <w:basedOn w:val="CommentText"/>
    <w:next w:val="CommentText"/>
    <w:link w:val="CommentSubjectChar"/>
    <w:uiPriority w:val="99"/>
    <w:semiHidden/>
    <w:unhideWhenUsed/>
    <w:rsid w:val="00F92CFB"/>
    <w:rPr>
      <w:b/>
      <w:bCs/>
    </w:rPr>
  </w:style>
  <w:style w:type="character" w:customStyle="1" w:styleId="CommentSubjectChar">
    <w:name w:val="Comment Subject Char"/>
    <w:basedOn w:val="CommentTextChar"/>
    <w:link w:val="CommentSubject"/>
    <w:uiPriority w:val="99"/>
    <w:semiHidden/>
    <w:rsid w:val="00F92CFB"/>
    <w:rPr>
      <w:b/>
      <w:bCs/>
      <w:color w:val="000000"/>
      <w:sz w:val="20"/>
      <w:szCs w:val="20"/>
    </w:rPr>
  </w:style>
  <w:style w:type="paragraph" w:styleId="BalloonText">
    <w:name w:val="Balloon Text"/>
    <w:basedOn w:val="Normal"/>
    <w:link w:val="BalloonTextChar"/>
    <w:uiPriority w:val="99"/>
    <w:semiHidden/>
    <w:unhideWhenUsed/>
    <w:rsid w:val="00F92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CFB"/>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2018-09-25T21:51:00Z</dcterms:created>
  <dcterms:modified xsi:type="dcterms:W3CDTF">2019-07-24T03:46:00Z</dcterms:modified>
</cp:coreProperties>
</file>