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EE14" w14:textId="77777777" w:rsidR="00FA731B" w:rsidRPr="00FA731B" w:rsidRDefault="005E34A0" w:rsidP="00FA73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_GoBack"/>
      <w:bookmarkEnd w:id="1"/>
      <w:r w:rsidRPr="00FA731B">
        <w:rPr>
          <w:rFonts w:ascii="Times New Roman" w:hAnsi="Times New Roman" w:cs="Times New Roman"/>
          <w:b/>
          <w:sz w:val="32"/>
          <w:szCs w:val="32"/>
        </w:rPr>
        <w:t>DRIED VINE FRUITS STABILIZATION</w:t>
      </w:r>
      <w:bookmarkEnd w:id="0"/>
    </w:p>
    <w:p w14:paraId="06556609" w14:textId="77777777" w:rsidR="00F97DB4" w:rsidRPr="00FA731B" w:rsidRDefault="005E34A0" w:rsidP="00FA731B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31B">
        <w:rPr>
          <w:rFonts w:ascii="Times New Roman" w:hAnsi="Times New Roman" w:cs="Times New Roman"/>
          <w:b/>
          <w:sz w:val="32"/>
          <w:szCs w:val="32"/>
        </w:rPr>
        <w:t>AMENDMENT ACT 1976</w:t>
      </w:r>
    </w:p>
    <w:p w14:paraId="153828E9" w14:textId="77777777" w:rsidR="00F97DB4" w:rsidRPr="00FA731B" w:rsidRDefault="005E34A0" w:rsidP="00FA731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FA731B">
        <w:rPr>
          <w:rFonts w:ascii="Times New Roman" w:hAnsi="Times New Roman" w:cs="Times New Roman"/>
          <w:b/>
          <w:sz w:val="28"/>
          <w:szCs w:val="28"/>
        </w:rPr>
        <w:t>No. 12 of 1976</w:t>
      </w:r>
      <w:bookmarkEnd w:id="2"/>
    </w:p>
    <w:p w14:paraId="26862A9E" w14:textId="77777777" w:rsidR="00F97DB4" w:rsidRPr="00FA731B" w:rsidRDefault="005E34A0" w:rsidP="00FA731B">
      <w:pPr>
        <w:pStyle w:val="BodyText1"/>
        <w:spacing w:after="240" w:line="240" w:lineRule="auto"/>
        <w:rPr>
          <w:b w:val="0"/>
          <w:sz w:val="24"/>
          <w:szCs w:val="24"/>
        </w:rPr>
      </w:pPr>
      <w:r w:rsidRPr="00FA731B">
        <w:rPr>
          <w:rStyle w:val="BodytextNotBold"/>
          <w:sz w:val="24"/>
          <w:szCs w:val="24"/>
        </w:rPr>
        <w:t xml:space="preserve">An Act to extend the Operation of the </w:t>
      </w:r>
      <w:r w:rsidRPr="00FA731B">
        <w:rPr>
          <w:rStyle w:val="BodytextNotBold3"/>
          <w:sz w:val="24"/>
          <w:szCs w:val="24"/>
        </w:rPr>
        <w:t xml:space="preserve">Dried Vine Fruits Stabilization Act </w:t>
      </w:r>
      <w:r w:rsidRPr="00FA731B">
        <w:rPr>
          <w:rStyle w:val="BodytextNotBold"/>
          <w:sz w:val="24"/>
          <w:szCs w:val="24"/>
        </w:rPr>
        <w:t>1971 for a further Season, and for other Purposes.</w:t>
      </w:r>
    </w:p>
    <w:p w14:paraId="041DBD2E" w14:textId="77777777" w:rsidR="00F97DB4" w:rsidRPr="00FA731B" w:rsidRDefault="005E34A0" w:rsidP="00FA731B">
      <w:pPr>
        <w:pStyle w:val="BodyText1"/>
        <w:spacing w:after="160" w:line="240" w:lineRule="auto"/>
        <w:ind w:firstLine="274"/>
        <w:rPr>
          <w:b w:val="0"/>
          <w:sz w:val="24"/>
          <w:szCs w:val="24"/>
        </w:rPr>
      </w:pPr>
      <w:r w:rsidRPr="00FA731B">
        <w:rPr>
          <w:rStyle w:val="BodytextNotBold"/>
          <w:sz w:val="24"/>
          <w:szCs w:val="24"/>
        </w:rPr>
        <w:t>BE IT ENACTED by the Queen, and the Senate and House of Representatives of the Commonwealth of Australia, as follows:—</w:t>
      </w:r>
    </w:p>
    <w:p w14:paraId="03EF2FA8" w14:textId="77777777" w:rsidR="00F97DB4" w:rsidRPr="00FA731B" w:rsidRDefault="005E34A0" w:rsidP="00FA731B">
      <w:pPr>
        <w:pStyle w:val="Bodytext61"/>
        <w:spacing w:before="120" w:after="60" w:line="240" w:lineRule="auto"/>
        <w:rPr>
          <w:b/>
          <w:sz w:val="20"/>
          <w:szCs w:val="20"/>
        </w:rPr>
      </w:pPr>
      <w:r w:rsidRPr="00FA731B">
        <w:rPr>
          <w:rStyle w:val="Bodytext6"/>
          <w:b/>
          <w:sz w:val="20"/>
          <w:szCs w:val="20"/>
        </w:rPr>
        <w:t>Short title and citation.</w:t>
      </w:r>
    </w:p>
    <w:p w14:paraId="0A03FE60" w14:textId="763F8E38" w:rsidR="00F97DB4" w:rsidRPr="00FA731B" w:rsidRDefault="00005911" w:rsidP="00FA731B">
      <w:pPr>
        <w:pStyle w:val="Bodytext20"/>
        <w:tabs>
          <w:tab w:val="left" w:pos="630"/>
        </w:tabs>
        <w:spacing w:after="60" w:line="240" w:lineRule="auto"/>
        <w:ind w:firstLine="274"/>
        <w:jc w:val="both"/>
        <w:rPr>
          <w:b w:val="0"/>
          <w:sz w:val="24"/>
          <w:szCs w:val="24"/>
        </w:rPr>
      </w:pPr>
      <w:r w:rsidRPr="00FA731B">
        <w:rPr>
          <w:rStyle w:val="Bodytext2NotBold"/>
          <w:b/>
          <w:sz w:val="24"/>
          <w:szCs w:val="24"/>
        </w:rPr>
        <w:t>1.</w:t>
      </w:r>
      <w:r w:rsidRPr="00FA731B">
        <w:rPr>
          <w:rStyle w:val="Bodytext2NotBold"/>
          <w:sz w:val="24"/>
          <w:szCs w:val="24"/>
        </w:rPr>
        <w:t xml:space="preserve"> </w:t>
      </w:r>
      <w:r w:rsidR="005E34A0" w:rsidRPr="00FA731B">
        <w:rPr>
          <w:rStyle w:val="Bodytext2NotBold"/>
          <w:sz w:val="24"/>
          <w:szCs w:val="24"/>
        </w:rPr>
        <w:t xml:space="preserve">(1) This Act may be cited as the </w:t>
      </w:r>
      <w:r w:rsidR="005E34A0" w:rsidRPr="00FA731B">
        <w:rPr>
          <w:rStyle w:val="Bodytext2NotBold3"/>
          <w:i/>
          <w:iCs/>
          <w:sz w:val="24"/>
          <w:szCs w:val="24"/>
        </w:rPr>
        <w:t>Dried Vine Fruits Stabilization Amendment Act</w:t>
      </w:r>
      <w:r w:rsidR="005E34A0" w:rsidRPr="00FA731B">
        <w:rPr>
          <w:rStyle w:val="Bodytext2NotBold2"/>
          <w:sz w:val="24"/>
          <w:szCs w:val="24"/>
        </w:rPr>
        <w:t xml:space="preserve"> </w:t>
      </w:r>
      <w:r w:rsidR="005E34A0" w:rsidRPr="00FA731B">
        <w:rPr>
          <w:rStyle w:val="Bodytext2NotBold"/>
          <w:sz w:val="24"/>
          <w:szCs w:val="24"/>
        </w:rPr>
        <w:t>1976.</w:t>
      </w:r>
    </w:p>
    <w:p w14:paraId="56426125" w14:textId="7F3FE530" w:rsidR="00F97DB4" w:rsidRPr="00FA731B" w:rsidRDefault="00005911" w:rsidP="00FA731B">
      <w:pPr>
        <w:pStyle w:val="BodyText1"/>
        <w:spacing w:after="60" w:line="240" w:lineRule="auto"/>
        <w:ind w:firstLine="274"/>
        <w:rPr>
          <w:b w:val="0"/>
          <w:sz w:val="24"/>
          <w:szCs w:val="24"/>
        </w:rPr>
      </w:pPr>
      <w:r w:rsidRPr="00FA731B">
        <w:rPr>
          <w:rStyle w:val="BodytextNotBold"/>
          <w:sz w:val="24"/>
          <w:szCs w:val="24"/>
        </w:rPr>
        <w:t xml:space="preserve">(2) </w:t>
      </w:r>
      <w:r w:rsidR="005E34A0" w:rsidRPr="00FA731B">
        <w:rPr>
          <w:rStyle w:val="BodytextNotBold"/>
          <w:sz w:val="24"/>
          <w:szCs w:val="24"/>
        </w:rPr>
        <w:t xml:space="preserve">The </w:t>
      </w:r>
      <w:r w:rsidR="005E34A0" w:rsidRPr="00FA731B">
        <w:rPr>
          <w:rStyle w:val="BodytextNotBold3"/>
          <w:sz w:val="24"/>
          <w:szCs w:val="24"/>
        </w:rPr>
        <w:t>Dried Vine Fruits Stabilization Act</w:t>
      </w:r>
      <w:r w:rsidR="005E34A0" w:rsidRPr="00FA731B">
        <w:rPr>
          <w:rStyle w:val="BodytextNotBold2"/>
          <w:sz w:val="24"/>
          <w:szCs w:val="24"/>
        </w:rPr>
        <w:t xml:space="preserve"> </w:t>
      </w:r>
      <w:r w:rsidR="005E34A0" w:rsidRPr="00FA731B">
        <w:rPr>
          <w:rStyle w:val="BodytextNotBold"/>
          <w:sz w:val="24"/>
          <w:szCs w:val="24"/>
        </w:rPr>
        <w:t>1971 is in this Act referred to as the Principal Act.</w:t>
      </w:r>
    </w:p>
    <w:p w14:paraId="4B95B217" w14:textId="77777777" w:rsidR="00F97DB4" w:rsidRPr="00FA731B" w:rsidRDefault="00005911" w:rsidP="00FA731B">
      <w:pPr>
        <w:pStyle w:val="BodyText1"/>
        <w:spacing w:after="60" w:line="240" w:lineRule="auto"/>
        <w:ind w:firstLine="274"/>
        <w:rPr>
          <w:b w:val="0"/>
          <w:sz w:val="24"/>
          <w:szCs w:val="24"/>
        </w:rPr>
      </w:pPr>
      <w:r w:rsidRPr="00FA731B">
        <w:rPr>
          <w:rStyle w:val="BodytextNotBold"/>
          <w:sz w:val="24"/>
          <w:szCs w:val="24"/>
        </w:rPr>
        <w:t xml:space="preserve">(3) </w:t>
      </w:r>
      <w:r w:rsidR="005E34A0" w:rsidRPr="00FA731B">
        <w:rPr>
          <w:rStyle w:val="BodytextNotBold"/>
          <w:sz w:val="24"/>
          <w:szCs w:val="24"/>
        </w:rPr>
        <w:t xml:space="preserve">The Principal Act, as amended by this Act, may be cited as the </w:t>
      </w:r>
      <w:r w:rsidR="005E34A0" w:rsidRPr="00FA731B">
        <w:rPr>
          <w:rStyle w:val="BodytextNotBold3"/>
          <w:sz w:val="24"/>
          <w:szCs w:val="24"/>
        </w:rPr>
        <w:t>Dried Vine Fruits Stabilization Act</w:t>
      </w:r>
      <w:r w:rsidR="005E34A0" w:rsidRPr="00FA731B">
        <w:rPr>
          <w:rStyle w:val="BodytextNotBold2"/>
          <w:sz w:val="24"/>
          <w:szCs w:val="24"/>
        </w:rPr>
        <w:t xml:space="preserve"> </w:t>
      </w:r>
      <w:r w:rsidR="005E34A0" w:rsidRPr="00FA731B">
        <w:rPr>
          <w:rStyle w:val="BodytextNotBold"/>
          <w:sz w:val="24"/>
          <w:szCs w:val="24"/>
        </w:rPr>
        <w:t>1971-1976.</w:t>
      </w:r>
    </w:p>
    <w:p w14:paraId="48DDFA8A" w14:textId="77777777" w:rsidR="00F97DB4" w:rsidRPr="00FA731B" w:rsidRDefault="00FA731B" w:rsidP="00FA731B">
      <w:pPr>
        <w:pStyle w:val="Bodytext61"/>
        <w:spacing w:before="120" w:after="60" w:line="240" w:lineRule="auto"/>
        <w:rPr>
          <w:b/>
          <w:sz w:val="20"/>
          <w:szCs w:val="20"/>
        </w:rPr>
      </w:pPr>
      <w:r>
        <w:rPr>
          <w:rStyle w:val="Bodytext6"/>
          <w:b/>
          <w:sz w:val="20"/>
          <w:szCs w:val="20"/>
        </w:rPr>
        <w:t>Commence</w:t>
      </w:r>
      <w:r w:rsidR="005E34A0" w:rsidRPr="00FA731B">
        <w:rPr>
          <w:rStyle w:val="Bodytext6"/>
          <w:b/>
          <w:sz w:val="20"/>
          <w:szCs w:val="20"/>
        </w:rPr>
        <w:t>ment.</w:t>
      </w:r>
    </w:p>
    <w:p w14:paraId="06E16657" w14:textId="51486363" w:rsidR="00F97DB4" w:rsidRPr="00FA731B" w:rsidRDefault="0012512A" w:rsidP="00FA731B">
      <w:pPr>
        <w:pStyle w:val="BodyText1"/>
        <w:tabs>
          <w:tab w:val="left" w:pos="630"/>
        </w:tabs>
        <w:spacing w:line="240" w:lineRule="auto"/>
        <w:ind w:firstLine="270"/>
        <w:rPr>
          <w:b w:val="0"/>
          <w:sz w:val="24"/>
          <w:szCs w:val="24"/>
        </w:rPr>
      </w:pPr>
      <w:r w:rsidRPr="00FA731B">
        <w:rPr>
          <w:rStyle w:val="BodytextNotBold"/>
          <w:b/>
          <w:sz w:val="24"/>
          <w:szCs w:val="24"/>
        </w:rPr>
        <w:t>2.</w:t>
      </w:r>
      <w:r w:rsidR="00FA731B">
        <w:rPr>
          <w:rStyle w:val="BodytextNotBold"/>
          <w:b/>
          <w:sz w:val="24"/>
          <w:szCs w:val="24"/>
        </w:rPr>
        <w:tab/>
      </w:r>
      <w:r w:rsidR="005E34A0" w:rsidRPr="00FA731B">
        <w:rPr>
          <w:rStyle w:val="BodytextNotBold"/>
          <w:sz w:val="24"/>
          <w:szCs w:val="24"/>
        </w:rPr>
        <w:t>This Act shall come into operation on the day on which it receives the Royal Assent.</w:t>
      </w:r>
    </w:p>
    <w:p w14:paraId="101FC1CB" w14:textId="77777777" w:rsidR="0012512A" w:rsidRPr="00FA731B" w:rsidRDefault="0012512A" w:rsidP="00FA731B">
      <w:pPr>
        <w:pStyle w:val="BodyText1"/>
        <w:spacing w:before="120" w:after="60" w:line="240" w:lineRule="auto"/>
        <w:rPr>
          <w:rStyle w:val="BodytextNotBold"/>
          <w:sz w:val="20"/>
          <w:szCs w:val="20"/>
        </w:rPr>
      </w:pPr>
      <w:r w:rsidRPr="00FA731B">
        <w:rPr>
          <w:rStyle w:val="Bodytext6"/>
          <w:sz w:val="20"/>
          <w:szCs w:val="20"/>
        </w:rPr>
        <w:t>Season to which Act applies.</w:t>
      </w:r>
    </w:p>
    <w:p w14:paraId="2D5A4657" w14:textId="77777777" w:rsidR="00F97DB4" w:rsidRPr="00FA731B" w:rsidRDefault="0012512A" w:rsidP="00FA731B">
      <w:pPr>
        <w:pStyle w:val="BodyText1"/>
        <w:tabs>
          <w:tab w:val="left" w:pos="630"/>
        </w:tabs>
        <w:spacing w:line="240" w:lineRule="auto"/>
        <w:ind w:firstLine="270"/>
        <w:rPr>
          <w:b w:val="0"/>
          <w:sz w:val="24"/>
          <w:szCs w:val="24"/>
        </w:rPr>
      </w:pPr>
      <w:r w:rsidRPr="00FA731B">
        <w:rPr>
          <w:rStyle w:val="BodytextNotBold"/>
          <w:b/>
          <w:sz w:val="24"/>
          <w:szCs w:val="24"/>
        </w:rPr>
        <w:t>3.</w:t>
      </w:r>
      <w:r w:rsidR="00FA731B">
        <w:rPr>
          <w:rStyle w:val="BodytextNotBold"/>
          <w:sz w:val="24"/>
          <w:szCs w:val="24"/>
        </w:rPr>
        <w:tab/>
      </w:r>
      <w:r w:rsidR="005E34A0" w:rsidRPr="00FA731B">
        <w:rPr>
          <w:rStyle w:val="BodytextNotBold"/>
          <w:sz w:val="24"/>
          <w:szCs w:val="24"/>
        </w:rPr>
        <w:t>Section 6 of the Principal Act is amended by omitting from sub</w:t>
      </w:r>
      <w:r w:rsidR="00FA731B">
        <w:rPr>
          <w:rStyle w:val="BodytextNotBold"/>
          <w:sz w:val="24"/>
          <w:szCs w:val="24"/>
        </w:rPr>
        <w:t>-</w:t>
      </w:r>
      <w:r w:rsidR="005E34A0" w:rsidRPr="00FA731B">
        <w:rPr>
          <w:rStyle w:val="BodytextNotBold"/>
          <w:sz w:val="24"/>
          <w:szCs w:val="24"/>
        </w:rPr>
        <w:t xml:space="preserve">section (1) the word </w:t>
      </w:r>
      <w:r w:rsidR="00EA200A" w:rsidRPr="00FA731B">
        <w:rPr>
          <w:rStyle w:val="BodytextNotBold"/>
          <w:sz w:val="24"/>
          <w:szCs w:val="24"/>
        </w:rPr>
        <w:t>“</w:t>
      </w:r>
      <w:r w:rsidR="005E34A0" w:rsidRPr="00FA731B">
        <w:rPr>
          <w:rStyle w:val="BodytextNotBold"/>
          <w:sz w:val="24"/>
          <w:szCs w:val="24"/>
        </w:rPr>
        <w:t>four</w:t>
      </w:r>
      <w:r w:rsidR="00EA200A" w:rsidRPr="00FA731B">
        <w:rPr>
          <w:rStyle w:val="BodytextNotBold"/>
          <w:sz w:val="24"/>
          <w:szCs w:val="24"/>
        </w:rPr>
        <w:t>”</w:t>
      </w:r>
      <w:r w:rsidR="005E34A0" w:rsidRPr="00FA731B">
        <w:rPr>
          <w:rStyle w:val="BodytextNotBold"/>
          <w:sz w:val="24"/>
          <w:szCs w:val="24"/>
        </w:rPr>
        <w:t xml:space="preserve"> and substituting the word </w:t>
      </w:r>
      <w:r w:rsidR="00EA200A" w:rsidRPr="00FA731B">
        <w:rPr>
          <w:rStyle w:val="BodytextNotBold"/>
          <w:sz w:val="24"/>
          <w:szCs w:val="24"/>
        </w:rPr>
        <w:t>“</w:t>
      </w:r>
      <w:r w:rsidR="005E34A0" w:rsidRPr="00FA731B">
        <w:rPr>
          <w:rStyle w:val="BodytextNotBold"/>
          <w:sz w:val="24"/>
          <w:szCs w:val="24"/>
        </w:rPr>
        <w:t>five</w:t>
      </w:r>
      <w:r w:rsidR="00EA200A" w:rsidRPr="00FA731B">
        <w:rPr>
          <w:rStyle w:val="BodytextNotBold"/>
          <w:sz w:val="24"/>
          <w:szCs w:val="24"/>
        </w:rPr>
        <w:t>”</w:t>
      </w:r>
      <w:r w:rsidR="005E34A0" w:rsidRPr="00FA731B">
        <w:rPr>
          <w:rStyle w:val="BodytextNotBold"/>
          <w:sz w:val="24"/>
          <w:szCs w:val="24"/>
        </w:rPr>
        <w:t>.</w:t>
      </w:r>
    </w:p>
    <w:p w14:paraId="7B4936EB" w14:textId="77777777" w:rsidR="0012512A" w:rsidRPr="00FA731B" w:rsidRDefault="00FA731B" w:rsidP="00FA731B">
      <w:pPr>
        <w:pStyle w:val="BodyText1"/>
        <w:spacing w:before="120" w:after="60" w:line="240" w:lineRule="auto"/>
        <w:rPr>
          <w:rStyle w:val="BodytextNotBold"/>
          <w:sz w:val="20"/>
          <w:szCs w:val="20"/>
        </w:rPr>
      </w:pPr>
      <w:r>
        <w:rPr>
          <w:rStyle w:val="Bodytext6"/>
          <w:sz w:val="20"/>
          <w:szCs w:val="20"/>
        </w:rPr>
        <w:t>Additional amend</w:t>
      </w:r>
      <w:r w:rsidR="0012512A" w:rsidRPr="00FA731B">
        <w:rPr>
          <w:rStyle w:val="Bodytext6"/>
          <w:sz w:val="20"/>
          <w:szCs w:val="20"/>
        </w:rPr>
        <w:t>ments.</w:t>
      </w:r>
    </w:p>
    <w:p w14:paraId="42CCC1DE" w14:textId="77777777" w:rsidR="00F97DB4" w:rsidRDefault="0012512A" w:rsidP="00FA731B">
      <w:pPr>
        <w:pStyle w:val="BodyText1"/>
        <w:tabs>
          <w:tab w:val="left" w:pos="630"/>
        </w:tabs>
        <w:spacing w:line="240" w:lineRule="auto"/>
        <w:ind w:firstLine="270"/>
        <w:rPr>
          <w:rStyle w:val="BodytextNotBold"/>
          <w:sz w:val="24"/>
          <w:szCs w:val="24"/>
        </w:rPr>
      </w:pPr>
      <w:r w:rsidRPr="00FA731B">
        <w:rPr>
          <w:rStyle w:val="BodytextNotBold"/>
          <w:b/>
          <w:sz w:val="24"/>
          <w:szCs w:val="24"/>
        </w:rPr>
        <w:t>4.</w:t>
      </w:r>
      <w:r w:rsidR="00FA731B">
        <w:rPr>
          <w:rStyle w:val="BodytextNotBold"/>
          <w:b/>
          <w:sz w:val="24"/>
          <w:szCs w:val="24"/>
        </w:rPr>
        <w:tab/>
      </w:r>
      <w:r w:rsidR="005E34A0" w:rsidRPr="00FA731B">
        <w:rPr>
          <w:rStyle w:val="BodytextNotBold"/>
          <w:sz w:val="24"/>
          <w:szCs w:val="24"/>
        </w:rPr>
        <w:t>The Principal Act is amended as set out in the Schedule.</w:t>
      </w:r>
    </w:p>
    <w:p w14:paraId="6FABFB0B" w14:textId="77777777" w:rsidR="00FA731B" w:rsidRDefault="00FA731B" w:rsidP="00FA731B">
      <w:pPr>
        <w:pStyle w:val="BodyText1"/>
        <w:tabs>
          <w:tab w:val="left" w:pos="630"/>
        </w:tabs>
        <w:spacing w:line="240" w:lineRule="auto"/>
        <w:ind w:firstLine="270"/>
        <w:jc w:val="center"/>
        <w:rPr>
          <w:rStyle w:val="BodytextNotBold"/>
          <w:sz w:val="24"/>
          <w:szCs w:val="24"/>
        </w:rPr>
      </w:pPr>
      <w:r>
        <w:rPr>
          <w:rStyle w:val="BodytextNotBold"/>
          <w:sz w:val="24"/>
          <w:szCs w:val="24"/>
        </w:rPr>
        <w:t>________</w:t>
      </w:r>
    </w:p>
    <w:p w14:paraId="33CADA25" w14:textId="77777777" w:rsidR="00FA731B" w:rsidRPr="00FA731B" w:rsidRDefault="00FA731B" w:rsidP="00FA731B">
      <w:pPr>
        <w:pStyle w:val="BodyText1"/>
        <w:tabs>
          <w:tab w:val="left" w:pos="630"/>
        </w:tabs>
        <w:spacing w:line="240" w:lineRule="auto"/>
        <w:ind w:firstLine="270"/>
        <w:jc w:val="center"/>
        <w:rPr>
          <w:b w:val="0"/>
          <w:sz w:val="24"/>
          <w:szCs w:val="24"/>
        </w:rPr>
      </w:pPr>
    </w:p>
    <w:p w14:paraId="081F8EBE" w14:textId="77777777" w:rsidR="00F97DB4" w:rsidRPr="00FA731B" w:rsidRDefault="005E34A0" w:rsidP="00FA731B">
      <w:pPr>
        <w:pStyle w:val="Bodytext61"/>
        <w:tabs>
          <w:tab w:val="left" w:pos="7920"/>
        </w:tabs>
        <w:spacing w:line="240" w:lineRule="auto"/>
        <w:ind w:firstLine="3870"/>
        <w:jc w:val="center"/>
        <w:rPr>
          <w:sz w:val="24"/>
          <w:szCs w:val="24"/>
        </w:rPr>
      </w:pPr>
      <w:r w:rsidRPr="00FA731B">
        <w:rPr>
          <w:rStyle w:val="Bodytext6105pt"/>
          <w:sz w:val="28"/>
          <w:szCs w:val="28"/>
        </w:rPr>
        <w:t>SCHEDULE</w:t>
      </w:r>
      <w:r w:rsidR="00FA731B">
        <w:rPr>
          <w:sz w:val="24"/>
          <w:szCs w:val="24"/>
        </w:rPr>
        <w:tab/>
      </w:r>
      <w:r w:rsidRPr="00FA731B">
        <w:rPr>
          <w:sz w:val="24"/>
          <w:szCs w:val="24"/>
        </w:rPr>
        <w:t>Section 4</w:t>
      </w:r>
    </w:p>
    <w:p w14:paraId="3DB3C592" w14:textId="77777777" w:rsidR="00F97DB4" w:rsidRPr="00FA731B" w:rsidRDefault="005E34A0" w:rsidP="00FA731B">
      <w:pPr>
        <w:pStyle w:val="Tablecaption0"/>
        <w:spacing w:line="240" w:lineRule="auto"/>
        <w:jc w:val="center"/>
        <w:rPr>
          <w:sz w:val="24"/>
          <w:szCs w:val="24"/>
        </w:rPr>
      </w:pPr>
      <w:r w:rsidRPr="00FA731B">
        <w:rPr>
          <w:sz w:val="24"/>
          <w:szCs w:val="24"/>
        </w:rPr>
        <w:t>ADDITIONAL AMENDMENTS</w:t>
      </w:r>
    </w:p>
    <w:tbl>
      <w:tblPr>
        <w:tblOverlap w:val="never"/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6300"/>
      </w:tblGrid>
      <w:tr w:rsidR="00F97DB4" w:rsidRPr="00FA731B" w14:paraId="515CE06A" w14:textId="77777777" w:rsidTr="00FA731B">
        <w:trPr>
          <w:trHeight w:val="341"/>
        </w:trPr>
        <w:tc>
          <w:tcPr>
            <w:tcW w:w="3520" w:type="dxa"/>
            <w:tcBorders>
              <w:top w:val="single" w:sz="4" w:space="0" w:color="auto"/>
            </w:tcBorders>
            <w:vAlign w:val="center"/>
          </w:tcPr>
          <w:p w14:paraId="34AF54DF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FA731B">
              <w:rPr>
                <w:rStyle w:val="Bodytext75pt"/>
                <w:sz w:val="20"/>
                <w:szCs w:val="20"/>
              </w:rPr>
              <w:t>Provision amended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4557B8E4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FA731B">
              <w:rPr>
                <w:rStyle w:val="Bodytext75pt"/>
                <w:sz w:val="20"/>
                <w:szCs w:val="20"/>
              </w:rPr>
              <w:t>Amendment</w:t>
            </w:r>
          </w:p>
        </w:tc>
      </w:tr>
      <w:tr w:rsidR="00F97DB4" w:rsidRPr="00FA731B" w14:paraId="033BCD28" w14:textId="77777777" w:rsidTr="00FA731B">
        <w:trPr>
          <w:trHeight w:val="442"/>
        </w:trPr>
        <w:tc>
          <w:tcPr>
            <w:tcW w:w="3520" w:type="dxa"/>
            <w:tcBorders>
              <w:top w:val="single" w:sz="4" w:space="0" w:color="auto"/>
            </w:tcBorders>
          </w:tcPr>
          <w:p w14:paraId="731A1753" w14:textId="6119BE08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4(1)</w:t>
            </w:r>
            <w:r w:rsidR="00FA731B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4AFDBCAB" w14:textId="77777777" w:rsidR="00F97DB4" w:rsidRPr="00FA731B" w:rsidRDefault="005E34A0" w:rsidP="00FA731B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(a)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from the definitions of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average return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and ‘‘base  price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,</w:t>
            </w:r>
          </w:p>
        </w:tc>
      </w:tr>
      <w:tr w:rsidR="00F97DB4" w:rsidRPr="00FA731B" w14:paraId="076073E1" w14:textId="77777777" w:rsidTr="00FA731B">
        <w:trPr>
          <w:trHeight w:val="562"/>
        </w:trPr>
        <w:tc>
          <w:tcPr>
            <w:tcW w:w="3520" w:type="dxa"/>
          </w:tcPr>
          <w:p w14:paraId="283A33A0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5BDB4E87" w14:textId="77777777" w:rsidR="00F97DB4" w:rsidRPr="00FA731B" w:rsidRDefault="005E34A0" w:rsidP="00FA731B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(b) From the definitions of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average return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base price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and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="002A41D3">
              <w:rPr>
                <w:rStyle w:val="Bodytext75pt"/>
                <w:sz w:val="24"/>
                <w:szCs w:val="24"/>
              </w:rPr>
              <w:t>s</w:t>
            </w:r>
            <w:r w:rsidRPr="00FA731B">
              <w:rPr>
                <w:rStyle w:val="Bodytext75pt"/>
                <w:sz w:val="24"/>
                <w:szCs w:val="24"/>
              </w:rPr>
              <w:t>tabilization payment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Act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occurring).</w:t>
            </w:r>
          </w:p>
        </w:tc>
      </w:tr>
      <w:tr w:rsidR="00F97DB4" w:rsidRPr="00FA731B" w14:paraId="0A9B7A5A" w14:textId="77777777" w:rsidTr="00FA731B">
        <w:trPr>
          <w:trHeight w:val="408"/>
        </w:trPr>
        <w:tc>
          <w:tcPr>
            <w:tcW w:w="3520" w:type="dxa"/>
          </w:tcPr>
          <w:p w14:paraId="1A4A2242" w14:textId="339C166B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6(1)</w:t>
            </w:r>
            <w:r w:rsidR="00FA731B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2910F533" w14:textId="77777777" w:rsidR="00F97DB4" w:rsidRPr="00FA731B" w:rsidRDefault="005E34A0" w:rsidP="00FA731B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="008B5EEF">
              <w:rPr>
                <w:rStyle w:val="Bodytext75pt"/>
                <w:sz w:val="24"/>
                <w:szCs w:val="24"/>
              </w:rPr>
              <w:t>the first day of January,</w:t>
            </w:r>
            <w:r w:rsidRPr="00FA731B">
              <w:rPr>
                <w:rStyle w:val="Bodytext75pt"/>
                <w:sz w:val="24"/>
                <w:szCs w:val="24"/>
              </w:rPr>
              <w:t xml:space="preserve"> One thousand nine hundred and seventy-one,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, substitute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1 January 1971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0C392ADB" w14:textId="77777777" w:rsidTr="007F1D12">
        <w:trPr>
          <w:trHeight w:val="245"/>
        </w:trPr>
        <w:tc>
          <w:tcPr>
            <w:tcW w:w="3520" w:type="dxa"/>
          </w:tcPr>
          <w:p w14:paraId="09B1737D" w14:textId="0614D4BA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6(2)</w:t>
            </w:r>
            <w:r w:rsidR="00FA731B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77A83D00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the first day of January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1 January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82CF7F7" w14:textId="77777777" w:rsidTr="00FA731B">
        <w:trPr>
          <w:trHeight w:val="226"/>
        </w:trPr>
        <w:tc>
          <w:tcPr>
            <w:tcW w:w="3520" w:type="dxa"/>
          </w:tcPr>
          <w:p w14:paraId="082DBECC" w14:textId="68318C7B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8(1)</w:t>
            </w:r>
            <w:r w:rsidR="00FA731B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5DFD442A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2A41D3" w14:paraId="031514A2" w14:textId="77777777" w:rsidTr="007F1D12">
        <w:trPr>
          <w:trHeight w:val="206"/>
        </w:trPr>
        <w:tc>
          <w:tcPr>
            <w:tcW w:w="3520" w:type="dxa"/>
          </w:tcPr>
          <w:p w14:paraId="5031B079" w14:textId="4FE72B44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8(2)</w:t>
            </w:r>
            <w:r w:rsidR="00FA731B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1D4BE175" w14:textId="77777777" w:rsidR="00F97DB4" w:rsidRPr="002A41D3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  <w:lang w:val="fr-FR"/>
              </w:rPr>
            </w:pPr>
            <w:r w:rsidRPr="002A41D3">
              <w:rPr>
                <w:rStyle w:val="Bodytext75pt"/>
                <w:sz w:val="24"/>
                <w:szCs w:val="24"/>
                <w:lang w:val="fr-FR"/>
              </w:rPr>
              <w:t xml:space="preserve">(a) Omit 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“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>ton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”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 xml:space="preserve">, substitute 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“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>tonne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”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>.</w:t>
            </w:r>
          </w:p>
        </w:tc>
      </w:tr>
      <w:tr w:rsidR="00F97DB4" w:rsidRPr="002A41D3" w14:paraId="03FAE255" w14:textId="77777777" w:rsidTr="00FA731B">
        <w:trPr>
          <w:trHeight w:val="211"/>
        </w:trPr>
        <w:tc>
          <w:tcPr>
            <w:tcW w:w="3520" w:type="dxa"/>
          </w:tcPr>
          <w:p w14:paraId="5AC53722" w14:textId="77777777" w:rsidR="00F97DB4" w:rsidRPr="002A41D3" w:rsidRDefault="00F97DB4" w:rsidP="00FA731B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300" w:type="dxa"/>
          </w:tcPr>
          <w:p w14:paraId="5AE0FA9B" w14:textId="77777777" w:rsidR="00F97DB4" w:rsidRPr="002A41D3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  <w:lang w:val="fr-FR"/>
              </w:rPr>
            </w:pPr>
            <w:r w:rsidRPr="002A41D3">
              <w:rPr>
                <w:rStyle w:val="Bodytext75pt"/>
                <w:sz w:val="24"/>
                <w:szCs w:val="24"/>
                <w:lang w:val="fr-FR"/>
              </w:rPr>
              <w:t xml:space="preserve">(b) Omit 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“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>tons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”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 xml:space="preserve">, substitute 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“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>tonnes</w:t>
            </w:r>
            <w:r w:rsidR="00EA200A" w:rsidRPr="002A41D3">
              <w:rPr>
                <w:rStyle w:val="Bodytext75pt"/>
                <w:sz w:val="24"/>
                <w:szCs w:val="24"/>
                <w:lang w:val="fr-FR"/>
              </w:rPr>
              <w:t>”</w:t>
            </w:r>
            <w:r w:rsidRPr="002A41D3">
              <w:rPr>
                <w:rStyle w:val="Bodytext75pt"/>
                <w:sz w:val="24"/>
                <w:szCs w:val="24"/>
                <w:lang w:val="fr-FR"/>
              </w:rPr>
              <w:t>.</w:t>
            </w:r>
          </w:p>
        </w:tc>
      </w:tr>
      <w:tr w:rsidR="00F97DB4" w:rsidRPr="00FA731B" w14:paraId="3EFF7000" w14:textId="77777777" w:rsidTr="00FA731B">
        <w:trPr>
          <w:trHeight w:val="240"/>
        </w:trPr>
        <w:tc>
          <w:tcPr>
            <w:tcW w:w="3520" w:type="dxa"/>
          </w:tcPr>
          <w:p w14:paraId="4AC97812" w14:textId="7273AEB6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8(3)</w:t>
            </w:r>
            <w:r w:rsidR="00FA731B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2E10364A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3EEE1A14" w14:textId="77777777" w:rsidTr="00FA731B">
        <w:trPr>
          <w:trHeight w:val="245"/>
        </w:trPr>
        <w:tc>
          <w:tcPr>
            <w:tcW w:w="3520" w:type="dxa"/>
          </w:tcPr>
          <w:p w14:paraId="687895E6" w14:textId="5B02623E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8(4)</w:t>
            </w:r>
            <w:r w:rsidR="00FA731B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751B99F4" w14:textId="1BA74B13" w:rsidR="00F97DB4" w:rsidRPr="00FA731B" w:rsidRDefault="005E34A0" w:rsidP="007F1D12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7F1D12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7F1D12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</w:tbl>
    <w:p w14:paraId="4F6B5598" w14:textId="77777777" w:rsidR="008006F9" w:rsidRPr="00FA731B" w:rsidRDefault="008006F9" w:rsidP="00FA731B">
      <w:pPr>
        <w:jc w:val="both"/>
        <w:rPr>
          <w:rStyle w:val="Bodytext295pt"/>
          <w:rFonts w:eastAsia="Courier New"/>
          <w:b w:val="0"/>
          <w:bCs w:val="0"/>
          <w:i w:val="0"/>
          <w:iCs w:val="0"/>
          <w:sz w:val="24"/>
          <w:szCs w:val="24"/>
        </w:rPr>
      </w:pPr>
      <w:r w:rsidRPr="00FA731B">
        <w:rPr>
          <w:rStyle w:val="Bodytext295pt"/>
          <w:rFonts w:eastAsia="Courier New"/>
          <w:sz w:val="24"/>
          <w:szCs w:val="24"/>
        </w:rPr>
        <w:br w:type="page"/>
      </w:r>
    </w:p>
    <w:p w14:paraId="63BF8A5F" w14:textId="77777777" w:rsidR="00F97DB4" w:rsidRPr="00FA731B" w:rsidRDefault="005E34A0" w:rsidP="00C57270">
      <w:pPr>
        <w:pStyle w:val="Bodytext61"/>
        <w:spacing w:after="60" w:line="240" w:lineRule="auto"/>
        <w:jc w:val="center"/>
        <w:rPr>
          <w:sz w:val="24"/>
          <w:szCs w:val="24"/>
        </w:rPr>
      </w:pPr>
      <w:bookmarkStart w:id="3" w:name="bookmark2"/>
      <w:r w:rsidRPr="00FA731B">
        <w:rPr>
          <w:rStyle w:val="Bodytext62"/>
          <w:sz w:val="24"/>
          <w:szCs w:val="24"/>
        </w:rPr>
        <w:lastRenderedPageBreak/>
        <w:t>SCHEDULE—continued</w:t>
      </w:r>
      <w:bookmarkEnd w:id="3"/>
    </w:p>
    <w:tbl>
      <w:tblPr>
        <w:tblOverlap w:val="never"/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6300"/>
      </w:tblGrid>
      <w:tr w:rsidR="00F97DB4" w:rsidRPr="00FA731B" w14:paraId="3AFA4467" w14:textId="77777777" w:rsidTr="00FA731B">
        <w:trPr>
          <w:trHeight w:val="260"/>
        </w:trPr>
        <w:tc>
          <w:tcPr>
            <w:tcW w:w="3520" w:type="dxa"/>
            <w:tcBorders>
              <w:top w:val="single" w:sz="4" w:space="0" w:color="auto"/>
            </w:tcBorders>
            <w:vAlign w:val="center"/>
          </w:tcPr>
          <w:p w14:paraId="462C5CC4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FA731B">
              <w:rPr>
                <w:rStyle w:val="Bodytext75pt"/>
                <w:sz w:val="20"/>
                <w:szCs w:val="20"/>
              </w:rPr>
              <w:t>Provision amended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2EEFA784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FA731B">
              <w:rPr>
                <w:rStyle w:val="Bodytext75pt"/>
                <w:sz w:val="20"/>
                <w:szCs w:val="20"/>
              </w:rPr>
              <w:t>Amendment</w:t>
            </w:r>
          </w:p>
        </w:tc>
      </w:tr>
      <w:tr w:rsidR="00F97DB4" w:rsidRPr="00FA731B" w14:paraId="66FD3CDA" w14:textId="77777777" w:rsidTr="00FA731B">
        <w:trPr>
          <w:trHeight w:val="251"/>
        </w:trPr>
        <w:tc>
          <w:tcPr>
            <w:tcW w:w="3520" w:type="dxa"/>
            <w:tcBorders>
              <w:top w:val="single" w:sz="4" w:space="0" w:color="auto"/>
            </w:tcBorders>
          </w:tcPr>
          <w:p w14:paraId="2E1EE7E7" w14:textId="7BF7E107" w:rsidR="00F97DB4" w:rsidRPr="00FA731B" w:rsidRDefault="0000149B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8(6)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72B36381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section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1D0C66C6" w14:textId="77777777" w:rsidTr="00FA731B">
        <w:trPr>
          <w:trHeight w:val="513"/>
        </w:trPr>
        <w:tc>
          <w:tcPr>
            <w:tcW w:w="3520" w:type="dxa"/>
          </w:tcPr>
          <w:p w14:paraId="1C14741A" w14:textId="6F80D488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10(1)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57B6DB6A" w14:textId="77777777" w:rsidR="00F97DB4" w:rsidRPr="00FA731B" w:rsidRDefault="005E34A0" w:rsidP="00FA731B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(a)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the first day of January, One thousand nine hundred and seventy-one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, substitute</w:t>
            </w:r>
            <w:r w:rsidR="009906E4" w:rsidRPr="00FA731B">
              <w:rPr>
                <w:rStyle w:val="Bodytext75pt"/>
                <w:sz w:val="24"/>
                <w:szCs w:val="24"/>
              </w:rPr>
              <w:t xml:space="preserve">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="009906E4" w:rsidRPr="00FA731B">
              <w:rPr>
                <w:rStyle w:val="Bodytext75pt"/>
                <w:sz w:val="24"/>
                <w:szCs w:val="24"/>
              </w:rPr>
              <w:t>1</w:t>
            </w:r>
            <w:r w:rsidRPr="00FA731B">
              <w:rPr>
                <w:rStyle w:val="Bodytext75pt"/>
                <w:sz w:val="24"/>
                <w:szCs w:val="24"/>
              </w:rPr>
              <w:t xml:space="preserve"> January 1971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7FBDE69F" w14:textId="77777777" w:rsidTr="00FA731B">
        <w:trPr>
          <w:trHeight w:val="360"/>
        </w:trPr>
        <w:tc>
          <w:tcPr>
            <w:tcW w:w="3520" w:type="dxa"/>
          </w:tcPr>
          <w:p w14:paraId="7FCF77AB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552ECEBC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(b)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Three hundred and thirteen dollars per 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 xml:space="preserve">$313 per 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0B787C6A" w14:textId="77777777" w:rsidTr="00FA731B">
        <w:trPr>
          <w:trHeight w:val="389"/>
        </w:trPr>
        <w:tc>
          <w:tcPr>
            <w:tcW w:w="3520" w:type="dxa"/>
          </w:tcPr>
          <w:p w14:paraId="33456A48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090B2433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(c)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Two hundred and seventy-three dollars per 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</w:t>
            </w:r>
            <w:r w:rsidRPr="00C57270">
              <w:rPr>
                <w:rStyle w:val="Bodytext75pt1"/>
                <w:spacing w:val="0"/>
                <w:sz w:val="24"/>
                <w:szCs w:val="24"/>
              </w:rPr>
              <w:t>substitute</w:t>
            </w:r>
            <w:r w:rsidRPr="00FA731B">
              <w:rPr>
                <w:rStyle w:val="Bodytext75pt"/>
                <w:sz w:val="24"/>
                <w:szCs w:val="24"/>
              </w:rPr>
              <w:t xml:space="preserve">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 xml:space="preserve">$273 per 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0703BC08" w14:textId="77777777" w:rsidTr="00FA731B">
        <w:trPr>
          <w:trHeight w:val="408"/>
        </w:trPr>
        <w:tc>
          <w:tcPr>
            <w:tcW w:w="3520" w:type="dxa"/>
          </w:tcPr>
          <w:p w14:paraId="2849B7B7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2F19ACB7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(d)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Two hundred and forty-three dollars per 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</w:t>
            </w:r>
            <w:r w:rsidRPr="00C57270">
              <w:rPr>
                <w:rStyle w:val="Bodytext75pt1"/>
                <w:spacing w:val="0"/>
                <w:sz w:val="24"/>
                <w:szCs w:val="24"/>
              </w:rPr>
              <w:t>sub</w:t>
            </w:r>
            <w:r w:rsidRPr="00C57270">
              <w:rPr>
                <w:rStyle w:val="Bodytext75pt1"/>
                <w:spacing w:val="0"/>
                <w:sz w:val="24"/>
                <w:szCs w:val="24"/>
              </w:rPr>
              <w:softHyphen/>
              <w:t>stitute</w:t>
            </w:r>
            <w:r w:rsidRPr="00FA731B">
              <w:rPr>
                <w:rStyle w:val="Bodytext75pt"/>
                <w:sz w:val="24"/>
                <w:szCs w:val="24"/>
              </w:rPr>
              <w:t xml:space="preserve">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 xml:space="preserve">$243 per 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59BC62B" w14:textId="77777777" w:rsidTr="00FA731B">
        <w:trPr>
          <w:trHeight w:val="259"/>
        </w:trPr>
        <w:tc>
          <w:tcPr>
            <w:tcW w:w="3520" w:type="dxa"/>
          </w:tcPr>
          <w:p w14:paraId="35512053" w14:textId="3C666383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10(2)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0451EA72" w14:textId="6A990045" w:rsidR="00F97DB4" w:rsidRPr="00FA731B" w:rsidRDefault="005E34A0" w:rsidP="007F1D12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7F1D12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2DE9547" w14:textId="77777777" w:rsidTr="00FA731B">
        <w:trPr>
          <w:trHeight w:val="235"/>
        </w:trPr>
        <w:tc>
          <w:tcPr>
            <w:tcW w:w="3520" w:type="dxa"/>
          </w:tcPr>
          <w:p w14:paraId="540E46A6" w14:textId="77777777" w:rsidR="00F97DB4" w:rsidRPr="00FA731B" w:rsidRDefault="005E34A0" w:rsidP="00C57270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Section 13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42B91EC7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(a)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Ten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$10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6B3BCEC7" w14:textId="77777777" w:rsidTr="00FA731B">
        <w:trPr>
          <w:trHeight w:val="250"/>
        </w:trPr>
        <w:tc>
          <w:tcPr>
            <w:tcW w:w="3520" w:type="dxa"/>
          </w:tcPr>
          <w:p w14:paraId="4011AE98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0163C2FB" w14:textId="16A28EA1" w:rsidR="00F97DB4" w:rsidRPr="00FA731B" w:rsidRDefault="005E34A0" w:rsidP="007F1D12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(b)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="007F1D12">
              <w:rPr>
                <w:rStyle w:val="Bodytext75pt"/>
                <w:sz w:val="24"/>
                <w:szCs w:val="24"/>
              </w:rPr>
              <w:t>ton”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="007F1D12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7F1D12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11A0015" w14:textId="77777777" w:rsidTr="00FA731B">
        <w:trPr>
          <w:trHeight w:val="538"/>
        </w:trPr>
        <w:tc>
          <w:tcPr>
            <w:tcW w:w="3520" w:type="dxa"/>
          </w:tcPr>
          <w:p w14:paraId="70789FF4" w14:textId="3F04670A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14(1)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5E9D3C2A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(a) From definition of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the Commonwealth limit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C57270">
              <w:rPr>
                <w:rStyle w:val="Bodytext75pt1"/>
                <w:spacing w:val="0"/>
                <w:sz w:val="24"/>
                <w:szCs w:val="24"/>
              </w:rPr>
              <w:t>Twenty</w:t>
            </w:r>
            <w:r w:rsidRPr="00FA731B">
              <w:rPr>
                <w:rStyle w:val="Bodytext75pt"/>
                <w:sz w:val="24"/>
                <w:szCs w:val="24"/>
              </w:rPr>
              <w:t>-three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$23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274421B8" w14:textId="77777777" w:rsidTr="00FA731B">
        <w:trPr>
          <w:trHeight w:val="389"/>
        </w:trPr>
        <w:tc>
          <w:tcPr>
            <w:tcW w:w="3520" w:type="dxa"/>
          </w:tcPr>
          <w:p w14:paraId="6D8203E3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2FDC08A3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(b) From the definition of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the maximum quantity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tonnes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04BF52DC" w14:textId="77777777" w:rsidTr="00FA731B">
        <w:trPr>
          <w:trHeight w:val="384"/>
        </w:trPr>
        <w:tc>
          <w:tcPr>
            <w:tcW w:w="3520" w:type="dxa"/>
          </w:tcPr>
          <w:p w14:paraId="7BCE54C6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35973454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(c)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Ten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from the definition of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 xml:space="preserve">the prescribed </w:t>
            </w:r>
            <w:r w:rsidRPr="00C57270">
              <w:rPr>
                <w:rStyle w:val="Bodytext75pt1"/>
                <w:spacing w:val="0"/>
                <w:sz w:val="24"/>
                <w:szCs w:val="24"/>
              </w:rPr>
              <w:t>amount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$10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,</w:t>
            </w:r>
          </w:p>
        </w:tc>
      </w:tr>
      <w:tr w:rsidR="00F97DB4" w:rsidRPr="00FA731B" w14:paraId="70DBB552" w14:textId="77777777" w:rsidTr="00FA731B">
        <w:trPr>
          <w:trHeight w:val="370"/>
        </w:trPr>
        <w:tc>
          <w:tcPr>
            <w:tcW w:w="3520" w:type="dxa"/>
          </w:tcPr>
          <w:p w14:paraId="3ADA7B51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6AB9B182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(d) From the definition of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the prescribed amount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</w:t>
            </w:r>
            <w:r w:rsidRPr="00C57270">
              <w:rPr>
                <w:rStyle w:val="Bodytext75pt1"/>
                <w:spacing w:val="0"/>
                <w:sz w:val="24"/>
                <w:szCs w:val="24"/>
              </w:rPr>
              <w:t>wherever</w:t>
            </w:r>
            <w:r w:rsidRPr="00FA731B">
              <w:rPr>
                <w:rStyle w:val="Bodytext75pt"/>
                <w:sz w:val="24"/>
                <w:szCs w:val="24"/>
              </w:rPr>
              <w:t xml:space="preserve"> occurring),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0B711EA" w14:textId="77777777" w:rsidTr="00FA731B">
        <w:trPr>
          <w:trHeight w:val="418"/>
        </w:trPr>
        <w:tc>
          <w:tcPr>
            <w:tcW w:w="3520" w:type="dxa"/>
          </w:tcPr>
          <w:p w14:paraId="37C7F69D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0D4CA733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(e) From the definition of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the specified factor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</w:t>
            </w:r>
            <w:r w:rsidRPr="00C57270">
              <w:rPr>
                <w:rStyle w:val="Bodytext75pt1"/>
                <w:spacing w:val="0"/>
                <w:sz w:val="24"/>
                <w:szCs w:val="24"/>
              </w:rPr>
              <w:t>wherever</w:t>
            </w:r>
            <w:r w:rsidRPr="00FA731B">
              <w:rPr>
                <w:rStyle w:val="Bodytext75pt"/>
                <w:sz w:val="24"/>
                <w:szCs w:val="24"/>
              </w:rPr>
              <w:t xml:space="preserve"> occurring),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tonnes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7A3E6AF8" w14:textId="77777777" w:rsidTr="00FA731B">
        <w:trPr>
          <w:trHeight w:val="250"/>
        </w:trPr>
        <w:tc>
          <w:tcPr>
            <w:tcW w:w="3520" w:type="dxa"/>
          </w:tcPr>
          <w:p w14:paraId="1A37154D" w14:textId="26F1CB4B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14(2)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4E38F5E7" w14:textId="749BDDCA" w:rsidR="00F97DB4" w:rsidRPr="00FA731B" w:rsidRDefault="005E34A0" w:rsidP="007F1D12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Omit</w:t>
            </w:r>
            <w:r w:rsidR="007F1D12">
              <w:rPr>
                <w:rStyle w:val="Bodytext75pt"/>
                <w:sz w:val="24"/>
                <w:szCs w:val="24"/>
              </w:rPr>
              <w:t xml:space="preserve"> 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48CF41D2" w14:textId="77777777" w:rsidTr="00FA731B">
        <w:trPr>
          <w:trHeight w:val="230"/>
        </w:trPr>
        <w:tc>
          <w:tcPr>
            <w:tcW w:w="3520" w:type="dxa"/>
          </w:tcPr>
          <w:p w14:paraId="479A93F2" w14:textId="2510BBDD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14(3)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102A7B77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(a)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proofErr w:type="spellStart"/>
            <w:r w:rsidRPr="00FA731B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492C0582" w14:textId="77777777" w:rsidTr="00FA731B">
        <w:trPr>
          <w:trHeight w:val="245"/>
        </w:trPr>
        <w:tc>
          <w:tcPr>
            <w:tcW w:w="3520" w:type="dxa"/>
          </w:tcPr>
          <w:p w14:paraId="521CFAF7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3CD4C23A" w14:textId="70DD55ED" w:rsidR="00F97DB4" w:rsidRPr="00FA731B" w:rsidRDefault="005E34A0" w:rsidP="007F1D12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(b)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Act</w:t>
            </w:r>
            <w:r w:rsidR="007F1D12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occurring).</w:t>
            </w:r>
          </w:p>
        </w:tc>
      </w:tr>
      <w:tr w:rsidR="00F97DB4" w:rsidRPr="00FA731B" w14:paraId="3A4CDDC6" w14:textId="77777777" w:rsidTr="00FA731B">
        <w:trPr>
          <w:trHeight w:val="250"/>
        </w:trPr>
        <w:tc>
          <w:tcPr>
            <w:tcW w:w="3520" w:type="dxa"/>
          </w:tcPr>
          <w:p w14:paraId="38DC2F48" w14:textId="0E03C8EE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20(4)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720EBBF0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Act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26CFD43D" w14:textId="77777777" w:rsidTr="00FA731B">
        <w:trPr>
          <w:trHeight w:val="398"/>
        </w:trPr>
        <w:tc>
          <w:tcPr>
            <w:tcW w:w="3520" w:type="dxa"/>
          </w:tcPr>
          <w:p w14:paraId="31E4CAE0" w14:textId="770F7D82" w:rsidR="00F97DB4" w:rsidRPr="00FA731B" w:rsidRDefault="007F1D12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Bodytext75pt"/>
                <w:sz w:val="24"/>
                <w:szCs w:val="24"/>
              </w:rPr>
              <w:t>Paragraph 22</w:t>
            </w:r>
            <w:r w:rsidR="005E34A0" w:rsidRPr="00FA731B">
              <w:rPr>
                <w:rStyle w:val="Bodytext75pt"/>
                <w:sz w:val="24"/>
                <w:szCs w:val="24"/>
              </w:rPr>
              <w:t>(1)(a)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3147B3F7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(a)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Seven hundred and fifty thousand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, substi</w:t>
            </w:r>
            <w:r w:rsidRPr="00FA731B">
              <w:rPr>
                <w:rStyle w:val="Bodytext75pt"/>
                <w:sz w:val="24"/>
                <w:szCs w:val="24"/>
              </w:rPr>
              <w:softHyphen/>
              <w:t xml:space="preserve">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$750,000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7028763F" w14:textId="77777777" w:rsidTr="00FA731B">
        <w:trPr>
          <w:trHeight w:val="197"/>
        </w:trPr>
        <w:tc>
          <w:tcPr>
            <w:tcW w:w="3520" w:type="dxa"/>
          </w:tcPr>
          <w:p w14:paraId="0E0DE2E8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45C6A158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(b)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Four million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$4,000,000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,</w:t>
            </w:r>
          </w:p>
        </w:tc>
      </w:tr>
      <w:tr w:rsidR="00F97DB4" w:rsidRPr="00FA731B" w14:paraId="280838B4" w14:textId="77777777" w:rsidTr="00FA731B">
        <w:trPr>
          <w:trHeight w:val="413"/>
        </w:trPr>
        <w:tc>
          <w:tcPr>
            <w:tcW w:w="3520" w:type="dxa"/>
          </w:tcPr>
          <w:p w14:paraId="5B4D4173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3DD4CEA4" w14:textId="77777777" w:rsidR="00F97DB4" w:rsidRPr="00FA731B" w:rsidRDefault="005E34A0" w:rsidP="00C57270">
            <w:pPr>
              <w:pStyle w:val="BodyText1"/>
              <w:spacing w:line="240" w:lineRule="auto"/>
              <w:ind w:left="350" w:hanging="350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(c)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Seven hundred and fifty thousand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="00C57270">
              <w:rPr>
                <w:rStyle w:val="Bodytext75pt"/>
                <w:sz w:val="24"/>
                <w:szCs w:val="24"/>
              </w:rPr>
              <w:t>, substi</w:t>
            </w:r>
            <w:r w:rsidRPr="00FA731B">
              <w:rPr>
                <w:rStyle w:val="Bodytext75pt"/>
                <w:sz w:val="24"/>
                <w:szCs w:val="24"/>
              </w:rPr>
              <w:t xml:space="preserve">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$750,000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09257B2" w14:textId="77777777" w:rsidTr="00FA731B">
        <w:trPr>
          <w:trHeight w:val="259"/>
        </w:trPr>
        <w:tc>
          <w:tcPr>
            <w:tcW w:w="3520" w:type="dxa"/>
          </w:tcPr>
          <w:p w14:paraId="5E742409" w14:textId="284ED61F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22(2)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28975486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section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568379B" w14:textId="77777777" w:rsidTr="00FA731B">
        <w:trPr>
          <w:trHeight w:val="243"/>
        </w:trPr>
        <w:tc>
          <w:tcPr>
            <w:tcW w:w="3520" w:type="dxa"/>
          </w:tcPr>
          <w:p w14:paraId="193B184A" w14:textId="3AE7CB05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</w:t>
            </w:r>
            <w:r w:rsidR="007F1D12">
              <w:rPr>
                <w:rStyle w:val="Bodytext75pt"/>
                <w:sz w:val="24"/>
                <w:szCs w:val="24"/>
              </w:rPr>
              <w:t xml:space="preserve"> </w:t>
            </w:r>
            <w:r w:rsidRPr="00FA731B">
              <w:rPr>
                <w:rStyle w:val="Bodytext75pt"/>
                <w:sz w:val="24"/>
                <w:szCs w:val="24"/>
              </w:rPr>
              <w:t>22(3)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0B1F9372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Twenty-three dollars per ton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="008B5EEF">
              <w:rPr>
                <w:rStyle w:val="Bodytext75pt"/>
                <w:sz w:val="24"/>
                <w:szCs w:val="24"/>
              </w:rPr>
              <w:t xml:space="preserve">$23 per </w:t>
            </w:r>
            <w:proofErr w:type="spellStart"/>
            <w:r w:rsidR="008B5EEF">
              <w:rPr>
                <w:rStyle w:val="Bodytext75pt"/>
                <w:sz w:val="24"/>
                <w:szCs w:val="24"/>
              </w:rPr>
              <w:t>tonne</w:t>
            </w:r>
            <w:proofErr w:type="spellEnd"/>
            <w:r w:rsidR="008B5EEF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63408FF0" w14:textId="77777777" w:rsidTr="00FA731B">
        <w:trPr>
          <w:trHeight w:val="269"/>
        </w:trPr>
        <w:tc>
          <w:tcPr>
            <w:tcW w:w="3520" w:type="dxa"/>
          </w:tcPr>
          <w:p w14:paraId="1A2A222F" w14:textId="69645F06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22(4)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5D6E15A0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section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40B6456C" w14:textId="77777777" w:rsidTr="00FA731B">
        <w:trPr>
          <w:trHeight w:val="274"/>
        </w:trPr>
        <w:tc>
          <w:tcPr>
            <w:tcW w:w="3520" w:type="dxa"/>
          </w:tcPr>
          <w:p w14:paraId="3EDECAD8" w14:textId="35CB597D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Paragraph 22(5)(a)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0418A673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Act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69A85BF8" w14:textId="77777777" w:rsidTr="00FA731B">
        <w:trPr>
          <w:trHeight w:val="264"/>
        </w:trPr>
        <w:tc>
          <w:tcPr>
            <w:tcW w:w="3520" w:type="dxa"/>
          </w:tcPr>
          <w:p w14:paraId="2B920A31" w14:textId="14819F96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Paragraph</w:t>
            </w:r>
            <w:r w:rsidR="007F1D12">
              <w:rPr>
                <w:rStyle w:val="Bodytext75pt"/>
                <w:sz w:val="24"/>
                <w:szCs w:val="24"/>
              </w:rPr>
              <w:t xml:space="preserve"> </w:t>
            </w:r>
            <w:r w:rsidRPr="00FA731B">
              <w:rPr>
                <w:rStyle w:val="Bodytext75pt"/>
                <w:sz w:val="24"/>
                <w:szCs w:val="24"/>
              </w:rPr>
              <w:t>22(6)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1C9DB7FE" w14:textId="4B1C88D0" w:rsidR="00F97DB4" w:rsidRPr="00FA731B" w:rsidRDefault="005E34A0" w:rsidP="007F1D12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Act</w:t>
            </w:r>
            <w:r w:rsidR="007F1D12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occurring).</w:t>
            </w:r>
          </w:p>
        </w:tc>
      </w:tr>
      <w:tr w:rsidR="00F97DB4" w:rsidRPr="00FA731B" w14:paraId="15FEA482" w14:textId="77777777" w:rsidTr="00FA731B">
        <w:trPr>
          <w:trHeight w:val="250"/>
        </w:trPr>
        <w:tc>
          <w:tcPr>
            <w:tcW w:w="3520" w:type="dxa"/>
          </w:tcPr>
          <w:p w14:paraId="7ADD2AFB" w14:textId="4BD3FDC8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22(10)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11C6E2FC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section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4EE63570" w14:textId="77777777" w:rsidTr="00FA731B">
        <w:trPr>
          <w:trHeight w:val="264"/>
        </w:trPr>
        <w:tc>
          <w:tcPr>
            <w:tcW w:w="3520" w:type="dxa"/>
          </w:tcPr>
          <w:p w14:paraId="64F9C33A" w14:textId="1EBBB5A7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22(11)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5CC36428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section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48B53A24" w14:textId="77777777" w:rsidTr="00FA731B">
        <w:trPr>
          <w:trHeight w:val="264"/>
        </w:trPr>
        <w:tc>
          <w:tcPr>
            <w:tcW w:w="3520" w:type="dxa"/>
          </w:tcPr>
          <w:p w14:paraId="709CDA88" w14:textId="77777777" w:rsidR="00F97DB4" w:rsidRPr="00FA731B" w:rsidRDefault="009F64F4" w:rsidP="00C57270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Section 24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4C78933C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Two hundred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$200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591D00B1" w14:textId="77777777" w:rsidTr="00FA731B">
        <w:trPr>
          <w:trHeight w:val="264"/>
        </w:trPr>
        <w:tc>
          <w:tcPr>
            <w:tcW w:w="3520" w:type="dxa"/>
          </w:tcPr>
          <w:p w14:paraId="6B844CA5" w14:textId="223492E6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25(1)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4D7D406A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One thousand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$1,000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2188DD1A" w14:textId="77777777" w:rsidTr="00FA731B">
        <w:trPr>
          <w:trHeight w:val="278"/>
        </w:trPr>
        <w:tc>
          <w:tcPr>
            <w:tcW w:w="3520" w:type="dxa"/>
          </w:tcPr>
          <w:p w14:paraId="48B06C81" w14:textId="16BFAD45" w:rsidR="00F97DB4" w:rsidRPr="00FA731B" w:rsidRDefault="007F1D12" w:rsidP="00C57270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Bodytext75pt"/>
                <w:sz w:val="24"/>
                <w:szCs w:val="24"/>
              </w:rPr>
              <w:t>Sub-section 26</w:t>
            </w:r>
            <w:r w:rsidR="005E34A0" w:rsidRPr="00FA731B">
              <w:rPr>
                <w:rStyle w:val="Bodytext75pt"/>
                <w:sz w:val="24"/>
                <w:szCs w:val="24"/>
              </w:rPr>
              <w:t>(4)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333F616A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section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 (wherever occurring).</w:t>
            </w:r>
          </w:p>
        </w:tc>
      </w:tr>
      <w:tr w:rsidR="00F97DB4" w:rsidRPr="00FA731B" w14:paraId="55A085E5" w14:textId="77777777" w:rsidTr="00FA731B">
        <w:trPr>
          <w:trHeight w:val="211"/>
        </w:trPr>
        <w:tc>
          <w:tcPr>
            <w:tcW w:w="3520" w:type="dxa"/>
          </w:tcPr>
          <w:p w14:paraId="1A96EDC3" w14:textId="5266DB99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26(5)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2B2C17F9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(a)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of this section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7279B7B4" w14:textId="77777777" w:rsidTr="00FA731B">
        <w:trPr>
          <w:trHeight w:val="240"/>
        </w:trPr>
        <w:tc>
          <w:tcPr>
            <w:tcW w:w="3520" w:type="dxa"/>
          </w:tcPr>
          <w:p w14:paraId="0A3D8540" w14:textId="77777777" w:rsidR="00F97DB4" w:rsidRPr="00FA731B" w:rsidRDefault="00F97DB4" w:rsidP="00FA7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752DA0AB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(b) 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Two hundred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$200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1DF2ADC7" w14:textId="77777777" w:rsidTr="00FA731B">
        <w:trPr>
          <w:trHeight w:val="264"/>
        </w:trPr>
        <w:tc>
          <w:tcPr>
            <w:tcW w:w="3520" w:type="dxa"/>
          </w:tcPr>
          <w:p w14:paraId="428970B2" w14:textId="4F036AE0" w:rsidR="00F97DB4" w:rsidRPr="00FA731B" w:rsidRDefault="005E34A0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Sub-section 27(1)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14:paraId="2DB543B1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Two hundred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$200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  <w:tr w:rsidR="00F97DB4" w:rsidRPr="00FA731B" w14:paraId="1167C5F7" w14:textId="77777777" w:rsidTr="00FA731B">
        <w:trPr>
          <w:trHeight w:val="259"/>
        </w:trPr>
        <w:tc>
          <w:tcPr>
            <w:tcW w:w="3520" w:type="dxa"/>
            <w:tcBorders>
              <w:bottom w:val="single" w:sz="4" w:space="0" w:color="auto"/>
            </w:tcBorders>
          </w:tcPr>
          <w:p w14:paraId="020161EB" w14:textId="5127FB99" w:rsidR="00F97DB4" w:rsidRPr="00FA731B" w:rsidRDefault="009F64F4" w:rsidP="007F1D12">
            <w:pPr>
              <w:pStyle w:val="BodyText1"/>
              <w:tabs>
                <w:tab w:val="left" w:leader="dot" w:pos="340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>Paragraph 28(c)</w:t>
            </w:r>
            <w:r w:rsidR="00C57270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0A1637CF" w14:textId="77777777" w:rsidR="00F97DB4" w:rsidRPr="00FA731B" w:rsidRDefault="005E34A0" w:rsidP="00FA731B">
            <w:pPr>
              <w:pStyle w:val="BodyText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A731B">
              <w:rPr>
                <w:rStyle w:val="Bodytext75pt"/>
                <w:sz w:val="24"/>
                <w:szCs w:val="24"/>
              </w:rPr>
              <w:t xml:space="preserve">Omit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Two hundred dollars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 xml:space="preserve">, substitute </w:t>
            </w:r>
            <w:r w:rsidR="00EA200A" w:rsidRPr="00FA731B">
              <w:rPr>
                <w:rStyle w:val="Bodytext75pt"/>
                <w:sz w:val="24"/>
                <w:szCs w:val="24"/>
              </w:rPr>
              <w:t>“</w:t>
            </w:r>
            <w:r w:rsidRPr="00FA731B">
              <w:rPr>
                <w:rStyle w:val="Bodytext75pt"/>
                <w:sz w:val="24"/>
                <w:szCs w:val="24"/>
              </w:rPr>
              <w:t>$200</w:t>
            </w:r>
            <w:r w:rsidR="00EA200A" w:rsidRPr="00FA731B">
              <w:rPr>
                <w:rStyle w:val="Bodytext75pt"/>
                <w:sz w:val="24"/>
                <w:szCs w:val="24"/>
              </w:rPr>
              <w:t>”</w:t>
            </w:r>
            <w:r w:rsidRPr="00FA731B">
              <w:rPr>
                <w:rStyle w:val="Bodytext75pt"/>
                <w:sz w:val="24"/>
                <w:szCs w:val="24"/>
              </w:rPr>
              <w:t>.</w:t>
            </w:r>
          </w:p>
        </w:tc>
      </w:tr>
    </w:tbl>
    <w:p w14:paraId="55223CF5" w14:textId="04F75679" w:rsidR="00EE54B0" w:rsidRPr="00FA731B" w:rsidRDefault="00EE54B0" w:rsidP="00FA731B">
      <w:pPr>
        <w:jc w:val="both"/>
        <w:rPr>
          <w:rStyle w:val="Bodytext7105pt"/>
          <w:rFonts w:eastAsia="Courier New"/>
          <w:i w:val="0"/>
          <w:iCs w:val="0"/>
          <w:sz w:val="24"/>
          <w:szCs w:val="24"/>
        </w:rPr>
      </w:pPr>
    </w:p>
    <w:sectPr w:rsidR="00EE54B0" w:rsidRPr="00FA731B" w:rsidSect="009E05D3">
      <w:headerReference w:type="even" r:id="rId7"/>
      <w:headerReference w:type="default" r:id="rId8"/>
      <w:type w:val="continuous"/>
      <w:pgSz w:w="11909" w:h="18000" w:code="9"/>
      <w:pgMar w:top="1080" w:right="1080" w:bottom="1080" w:left="1080" w:header="54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1B8A6" w14:textId="77777777" w:rsidR="00730D4F" w:rsidRDefault="00730D4F">
      <w:r>
        <w:separator/>
      </w:r>
    </w:p>
  </w:endnote>
  <w:endnote w:type="continuationSeparator" w:id="0">
    <w:p w14:paraId="6B1C9A0F" w14:textId="77777777" w:rsidR="00730D4F" w:rsidRDefault="0073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B3225" w14:textId="77777777" w:rsidR="00730D4F" w:rsidRDefault="00730D4F"/>
  </w:footnote>
  <w:footnote w:type="continuationSeparator" w:id="0">
    <w:p w14:paraId="7AA75A01" w14:textId="77777777" w:rsidR="00730D4F" w:rsidRDefault="00730D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47AF9" w14:textId="77777777" w:rsidR="009E05D3" w:rsidRPr="009E05D3" w:rsidRDefault="009E05D3" w:rsidP="009E05D3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>
      <w:rPr>
        <w:rFonts w:ascii="Times New Roman" w:hAnsi="Times New Roman" w:cs="Times New Roman"/>
        <w:sz w:val="22"/>
        <w:szCs w:val="22"/>
        <w:lang w:val="en-IN"/>
      </w:rPr>
      <w:t>1976</w:t>
    </w:r>
    <w:r w:rsidRPr="009E05D3">
      <w:rPr>
        <w:rFonts w:ascii="Times New Roman" w:hAnsi="Times New Roman" w:cs="Times New Roman"/>
        <w:sz w:val="22"/>
        <w:szCs w:val="22"/>
        <w:lang w:val="en-IN"/>
      </w:rPr>
      <w:tab/>
    </w:r>
    <w:r w:rsidRPr="009E05D3">
      <w:rPr>
        <w:rFonts w:ascii="Times New Roman" w:hAnsi="Times New Roman" w:cs="Times New Roman"/>
        <w:i/>
        <w:sz w:val="22"/>
        <w:szCs w:val="22"/>
        <w:lang w:val="en-IN"/>
      </w:rPr>
      <w:t>Dried Vine Fruits Stabilization Amendment</w:t>
    </w:r>
    <w:r w:rsidRPr="009E05D3">
      <w:rPr>
        <w:rFonts w:ascii="Times New Roman" w:hAnsi="Times New Roman" w:cs="Times New Roman"/>
        <w:sz w:val="22"/>
        <w:szCs w:val="22"/>
        <w:lang w:val="en-IN"/>
      </w:rPr>
      <w:tab/>
      <w:t>No. 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279F" w14:textId="77777777" w:rsidR="009E05D3" w:rsidRPr="009E05D3" w:rsidRDefault="009E05D3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 w:rsidRPr="009E05D3">
      <w:rPr>
        <w:rFonts w:ascii="Times New Roman" w:hAnsi="Times New Roman" w:cs="Times New Roman"/>
        <w:sz w:val="22"/>
        <w:szCs w:val="22"/>
        <w:lang w:val="en-IN"/>
      </w:rPr>
      <w:t>No. 12</w:t>
    </w:r>
    <w:r w:rsidRPr="009E05D3">
      <w:rPr>
        <w:rFonts w:ascii="Times New Roman" w:hAnsi="Times New Roman" w:cs="Times New Roman"/>
        <w:sz w:val="22"/>
        <w:szCs w:val="22"/>
        <w:lang w:val="en-IN"/>
      </w:rPr>
      <w:tab/>
    </w:r>
    <w:r w:rsidRPr="009E05D3">
      <w:rPr>
        <w:rFonts w:ascii="Times New Roman" w:hAnsi="Times New Roman" w:cs="Times New Roman"/>
        <w:i/>
        <w:sz w:val="22"/>
        <w:szCs w:val="22"/>
        <w:lang w:val="en-IN"/>
      </w:rPr>
      <w:t>Dried Vine Fruits Stabilization Amendment</w:t>
    </w:r>
    <w:r w:rsidRPr="009E05D3">
      <w:rPr>
        <w:rFonts w:ascii="Times New Roman" w:hAnsi="Times New Roman" w:cs="Times New Roman"/>
        <w:sz w:val="22"/>
        <w:szCs w:val="22"/>
        <w:lang w:val="en-IN"/>
      </w:rPr>
      <w:tab/>
      <w:t>1976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DBB"/>
    <w:multiLevelType w:val="multilevel"/>
    <w:tmpl w:val="E6201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078FA"/>
    <w:multiLevelType w:val="multilevel"/>
    <w:tmpl w:val="DAE068F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C96388"/>
    <w:multiLevelType w:val="multilevel"/>
    <w:tmpl w:val="4B2E8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97DB4"/>
    <w:rsid w:val="0000149B"/>
    <w:rsid w:val="00005911"/>
    <w:rsid w:val="00032F21"/>
    <w:rsid w:val="000C0BD3"/>
    <w:rsid w:val="0012512A"/>
    <w:rsid w:val="002A41D3"/>
    <w:rsid w:val="00306869"/>
    <w:rsid w:val="004220ED"/>
    <w:rsid w:val="0046332E"/>
    <w:rsid w:val="004E501B"/>
    <w:rsid w:val="005E34A0"/>
    <w:rsid w:val="00730D4F"/>
    <w:rsid w:val="007F1D12"/>
    <w:rsid w:val="008006F9"/>
    <w:rsid w:val="008B5EEF"/>
    <w:rsid w:val="00945DBD"/>
    <w:rsid w:val="009906E4"/>
    <w:rsid w:val="00991F35"/>
    <w:rsid w:val="009B0248"/>
    <w:rsid w:val="009E05D3"/>
    <w:rsid w:val="009F64F4"/>
    <w:rsid w:val="00A774BF"/>
    <w:rsid w:val="00AB154B"/>
    <w:rsid w:val="00C501CD"/>
    <w:rsid w:val="00C57270"/>
    <w:rsid w:val="00CD0079"/>
    <w:rsid w:val="00D43412"/>
    <w:rsid w:val="00D70101"/>
    <w:rsid w:val="00E67D04"/>
    <w:rsid w:val="00E94E28"/>
    <w:rsid w:val="00EA200A"/>
    <w:rsid w:val="00EE54B0"/>
    <w:rsid w:val="00F9097F"/>
    <w:rsid w:val="00F97DB4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155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">
    <w:name w:val="Body text (6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NotBold3">
    <w:name w:val="Body text + Not Bold3"/>
    <w:aliases w:val="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2NotBold">
    <w:name w:val="Body text (2) + Not Bold"/>
    <w:aliases w:val="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NotBold3">
    <w:name w:val="Body text (2) + Not Bold3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NotBold2">
    <w:name w:val="Body text (2) + Not Bold2"/>
    <w:aliases w:val="Not Italic3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NotBold2">
    <w:name w:val="Body text + Not Bold2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NotBold1">
    <w:name w:val="Body text + Not Bold1"/>
    <w:aliases w:val="Italic2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ArialNarrow">
    <w:name w:val="Body text + Arial Narrow"/>
    <w:aliases w:val="16.5 pt,Not Bold,Italic1"/>
    <w:basedOn w:val="Bodytex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Bodytext60">
    <w:name w:val="Body text (6)_"/>
    <w:basedOn w:val="DefaultParagraphFont"/>
    <w:link w:val="Bodytext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05pt">
    <w:name w:val="Body text (6) + 10.5 pt"/>
    <w:basedOn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5pt">
    <w:name w:val="Body text + 7.5 pt"/>
    <w:aliases w:val="Not Bold3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295pt">
    <w:name w:val="Body text (2) + 9.5 pt"/>
    <w:aliases w:val="Not Bold2,Not Italic2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2NotBold1">
    <w:name w:val="Body text (2) + Not Bold1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62">
    <w:name w:val="Body text (6)2"/>
    <w:basedOn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75pt1">
    <w:name w:val="Body text + 7.5 pt1"/>
    <w:aliases w:val="Not Bold1,Spacing 7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0"/>
      <w:w w:val="100"/>
      <w:position w:val="0"/>
      <w:sz w:val="15"/>
      <w:szCs w:val="15"/>
      <w:u w:val="none"/>
      <w:lang w:val="en-US"/>
    </w:rPr>
  </w:style>
  <w:style w:type="character" w:customStyle="1" w:styleId="Bodytext7">
    <w:name w:val="Body text (7)_"/>
    <w:basedOn w:val="DefaultParagraphFont"/>
    <w:link w:val="Bodytext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105pt">
    <w:name w:val="Body text (7) + 10.5 pt"/>
    <w:aliases w:val="Not Italic1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70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61">
    <w:name w:val="Body text (6)1"/>
    <w:basedOn w:val="Normal"/>
    <w:link w:val="Bodytext60"/>
    <w:pPr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line="336" w:lineRule="exact"/>
      <w:jc w:val="center"/>
      <w:outlineLvl w:val="0"/>
    </w:pPr>
    <w:rPr>
      <w:rFonts w:ascii="Arial" w:eastAsia="Arial" w:hAnsi="Arial" w:cs="Arial"/>
      <w:b/>
      <w:bCs/>
      <w:spacing w:val="10"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1">
    <w:name w:val="Body Text1"/>
    <w:basedOn w:val="Normal"/>
    <w:link w:val="Bodytext"/>
    <w:pPr>
      <w:spacing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pacing w:line="245" w:lineRule="exact"/>
      <w:ind w:firstLine="3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1">
    <w:name w:val="Body text (7)1"/>
    <w:basedOn w:val="Normal"/>
    <w:link w:val="Bodytext7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80">
    <w:name w:val="Body text (8)"/>
    <w:basedOn w:val="Normal"/>
    <w:link w:val="Bodytext8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9E0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0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22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0E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ED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2018-09-25T22:53:00Z</dcterms:created>
  <dcterms:modified xsi:type="dcterms:W3CDTF">2019-07-25T20:36:00Z</dcterms:modified>
</cp:coreProperties>
</file>