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F5899" w14:textId="1728D635" w:rsidR="00B10A8E" w:rsidRPr="00FB4483" w:rsidRDefault="00F82192" w:rsidP="00FB4483">
      <w:pPr>
        <w:pStyle w:val="Bodytext20"/>
        <w:spacing w:line="240" w:lineRule="auto"/>
        <w:rPr>
          <w:rFonts w:ascii="Times New Roman" w:hAnsi="Times New Roman" w:cs="Times New Roman"/>
          <w:sz w:val="32"/>
          <w:szCs w:val="32"/>
        </w:rPr>
      </w:pPr>
      <w:r w:rsidRPr="00FB4483">
        <w:rPr>
          <w:rFonts w:ascii="Times New Roman" w:hAnsi="Times New Roman" w:cs="Times New Roman"/>
          <w:sz w:val="32"/>
          <w:szCs w:val="32"/>
        </w:rPr>
        <w:t>COMMONWEALTH GRANTS COMMISSION</w:t>
      </w:r>
      <w:r w:rsidR="00482E1E">
        <w:rPr>
          <w:rFonts w:ascii="Times New Roman" w:hAnsi="Times New Roman" w:cs="Times New Roman"/>
          <w:sz w:val="32"/>
          <w:szCs w:val="32"/>
        </w:rPr>
        <w:t xml:space="preserve"> </w:t>
      </w:r>
      <w:r w:rsidRPr="00FB4483">
        <w:rPr>
          <w:rFonts w:ascii="Times New Roman" w:hAnsi="Times New Roman" w:cs="Times New Roman"/>
          <w:sz w:val="32"/>
          <w:szCs w:val="32"/>
        </w:rPr>
        <w:t>ACT 1976</w:t>
      </w:r>
    </w:p>
    <w:p w14:paraId="0E16C053" w14:textId="77777777" w:rsidR="00FB4483" w:rsidRDefault="00FB4483" w:rsidP="00FB4483">
      <w:pPr>
        <w:pStyle w:val="Bodytext20"/>
        <w:spacing w:line="240" w:lineRule="auto"/>
        <w:rPr>
          <w:rFonts w:ascii="Times New Roman" w:hAnsi="Times New Roman" w:cs="Times New Roman"/>
          <w:sz w:val="24"/>
          <w:szCs w:val="22"/>
        </w:rPr>
      </w:pPr>
    </w:p>
    <w:p w14:paraId="49E48B5C" w14:textId="77777777" w:rsidR="00B10A8E" w:rsidRPr="00FB4483" w:rsidRDefault="00F82192" w:rsidP="00FB4483">
      <w:pPr>
        <w:jc w:val="center"/>
        <w:rPr>
          <w:rFonts w:ascii="Times New Roman" w:hAnsi="Times New Roman" w:cs="Times New Roman"/>
          <w:b/>
          <w:sz w:val="28"/>
          <w:szCs w:val="28"/>
        </w:rPr>
      </w:pPr>
      <w:bookmarkStart w:id="0" w:name="bookmark0"/>
      <w:r w:rsidRPr="00FB4483">
        <w:rPr>
          <w:rFonts w:ascii="Times New Roman" w:hAnsi="Times New Roman" w:cs="Times New Roman"/>
          <w:b/>
          <w:sz w:val="28"/>
          <w:szCs w:val="28"/>
        </w:rPr>
        <w:t>No. 47 of 1976</w:t>
      </w:r>
      <w:bookmarkEnd w:id="0"/>
    </w:p>
    <w:p w14:paraId="5AF5224C" w14:textId="77777777" w:rsidR="00FB4483" w:rsidRPr="00FB4483" w:rsidRDefault="00FB4483" w:rsidP="00FB4483">
      <w:pPr>
        <w:rPr>
          <w:rFonts w:ascii="Times New Roman" w:hAnsi="Times New Roman" w:cs="Times New Roman"/>
          <w:sz w:val="28"/>
          <w:szCs w:val="28"/>
        </w:rPr>
      </w:pPr>
    </w:p>
    <w:p w14:paraId="09319EDF" w14:textId="77777777" w:rsidR="00B10A8E" w:rsidRDefault="00F82192" w:rsidP="00FB4483">
      <w:pPr>
        <w:pStyle w:val="BodyText21"/>
        <w:spacing w:line="240" w:lineRule="auto"/>
        <w:ind w:firstLine="0"/>
        <w:jc w:val="center"/>
        <w:rPr>
          <w:rStyle w:val="BodyText1"/>
          <w:sz w:val="24"/>
        </w:rPr>
      </w:pPr>
      <w:r w:rsidRPr="00FB4483">
        <w:rPr>
          <w:rStyle w:val="BodyText1"/>
          <w:sz w:val="24"/>
        </w:rPr>
        <w:t xml:space="preserve">An Act to amend the </w:t>
      </w:r>
      <w:r w:rsidRPr="00FB4483">
        <w:rPr>
          <w:rStyle w:val="BodytextItalic"/>
          <w:sz w:val="24"/>
        </w:rPr>
        <w:t>Grants Commission Act</w:t>
      </w:r>
      <w:r w:rsidRPr="00FB4483">
        <w:rPr>
          <w:rStyle w:val="BodyText1"/>
          <w:sz w:val="24"/>
        </w:rPr>
        <w:t xml:space="preserve"> 1973-1975.</w:t>
      </w:r>
    </w:p>
    <w:p w14:paraId="0D9C5059" w14:textId="77777777" w:rsidR="00FB4483" w:rsidRPr="00FB4483" w:rsidRDefault="00FB4483" w:rsidP="00FB4483">
      <w:pPr>
        <w:pStyle w:val="BodyText21"/>
        <w:spacing w:line="240" w:lineRule="auto"/>
        <w:ind w:firstLine="0"/>
        <w:jc w:val="center"/>
        <w:rPr>
          <w:sz w:val="24"/>
        </w:rPr>
      </w:pPr>
    </w:p>
    <w:p w14:paraId="40C30CEC" w14:textId="02226532" w:rsidR="00B10A8E" w:rsidRPr="00FB4483" w:rsidRDefault="00F82192" w:rsidP="00FB4483">
      <w:pPr>
        <w:pStyle w:val="BodyText21"/>
        <w:spacing w:line="240" w:lineRule="auto"/>
        <w:ind w:firstLine="270"/>
        <w:rPr>
          <w:sz w:val="24"/>
        </w:rPr>
      </w:pPr>
      <w:r w:rsidRPr="00FB4483">
        <w:rPr>
          <w:rStyle w:val="BodyText1"/>
          <w:sz w:val="24"/>
        </w:rPr>
        <w:t>BE IT ENACTED by the Queen, and the Senate and House of Representatives of the Commonwealth of Australia, as follows:—</w:t>
      </w:r>
    </w:p>
    <w:p w14:paraId="15D3821E" w14:textId="77777777" w:rsidR="00B10A8E" w:rsidRPr="00FB4483" w:rsidRDefault="00F82192" w:rsidP="00FB4483">
      <w:pPr>
        <w:pStyle w:val="Bodytext50"/>
        <w:spacing w:before="120" w:after="60" w:line="240" w:lineRule="auto"/>
        <w:rPr>
          <w:b/>
          <w:sz w:val="20"/>
          <w:szCs w:val="20"/>
        </w:rPr>
      </w:pPr>
      <w:r w:rsidRPr="00FB4483">
        <w:rPr>
          <w:b/>
          <w:sz w:val="20"/>
          <w:szCs w:val="20"/>
        </w:rPr>
        <w:t>Short title and citation.</w:t>
      </w:r>
    </w:p>
    <w:p w14:paraId="6E337E34" w14:textId="7C90D633" w:rsidR="00B10A8E" w:rsidRPr="00FB4483" w:rsidRDefault="00CD5809" w:rsidP="00FB4483">
      <w:pPr>
        <w:pStyle w:val="BodyText21"/>
        <w:spacing w:after="120" w:line="240" w:lineRule="auto"/>
        <w:ind w:firstLine="270"/>
        <w:rPr>
          <w:sz w:val="24"/>
        </w:rPr>
      </w:pPr>
      <w:r w:rsidRPr="00FB4483">
        <w:rPr>
          <w:rStyle w:val="BodyText1"/>
          <w:b/>
          <w:sz w:val="24"/>
        </w:rPr>
        <w:t>1.</w:t>
      </w:r>
      <w:r w:rsidRPr="00FB4483">
        <w:rPr>
          <w:rStyle w:val="BodyText1"/>
          <w:sz w:val="24"/>
        </w:rPr>
        <w:t xml:space="preserve"> </w:t>
      </w:r>
      <w:r w:rsidR="00F82192" w:rsidRPr="00FB4483">
        <w:rPr>
          <w:rStyle w:val="BodyText1"/>
          <w:sz w:val="24"/>
        </w:rPr>
        <w:t xml:space="preserve">(1) This Act may be cited as the </w:t>
      </w:r>
      <w:r w:rsidR="00FB4483">
        <w:rPr>
          <w:rStyle w:val="BodytextItalic"/>
          <w:sz w:val="24"/>
        </w:rPr>
        <w:t>Commonwealth Grants Com</w:t>
      </w:r>
      <w:r w:rsidR="00F82192" w:rsidRPr="00FB4483">
        <w:rPr>
          <w:rStyle w:val="BodytextItalic"/>
          <w:sz w:val="24"/>
        </w:rPr>
        <w:t>mission Act</w:t>
      </w:r>
      <w:r w:rsidR="00F82192" w:rsidRPr="00FB4483">
        <w:rPr>
          <w:rStyle w:val="BodyText1"/>
          <w:sz w:val="24"/>
        </w:rPr>
        <w:t xml:space="preserve"> 1976.</w:t>
      </w:r>
    </w:p>
    <w:p w14:paraId="487D91C4" w14:textId="14AE69ED" w:rsidR="00B10A8E" w:rsidRPr="00FB4483" w:rsidRDefault="00CD5809" w:rsidP="00FB4483">
      <w:pPr>
        <w:pStyle w:val="BodyText21"/>
        <w:spacing w:after="120" w:line="240" w:lineRule="auto"/>
        <w:ind w:firstLine="270"/>
        <w:rPr>
          <w:sz w:val="24"/>
        </w:rPr>
      </w:pPr>
      <w:r w:rsidRPr="00FB4483">
        <w:rPr>
          <w:rStyle w:val="BodyText1"/>
          <w:sz w:val="24"/>
        </w:rPr>
        <w:t xml:space="preserve">(2) </w:t>
      </w:r>
      <w:r w:rsidR="00F82192" w:rsidRPr="00FB4483">
        <w:rPr>
          <w:rStyle w:val="BodyText1"/>
          <w:sz w:val="24"/>
        </w:rPr>
        <w:t xml:space="preserve">The </w:t>
      </w:r>
      <w:r w:rsidR="00F82192" w:rsidRPr="00FB4483">
        <w:rPr>
          <w:rStyle w:val="BodytextItalic"/>
          <w:sz w:val="24"/>
        </w:rPr>
        <w:t>Grants Commission Act</w:t>
      </w:r>
      <w:r w:rsidR="00F82192" w:rsidRPr="00FB4483">
        <w:rPr>
          <w:rStyle w:val="BodyText1"/>
          <w:sz w:val="24"/>
        </w:rPr>
        <w:t xml:space="preserve"> 1973-1975 is in this Act referred to as the Principal Act.</w:t>
      </w:r>
    </w:p>
    <w:p w14:paraId="144DF63B" w14:textId="77777777" w:rsidR="00B10A8E" w:rsidRPr="00FB4483" w:rsidRDefault="00CD5809" w:rsidP="00FB4483">
      <w:pPr>
        <w:pStyle w:val="BodyText21"/>
        <w:spacing w:after="120" w:line="240" w:lineRule="auto"/>
        <w:ind w:firstLine="270"/>
        <w:rPr>
          <w:sz w:val="24"/>
        </w:rPr>
      </w:pPr>
      <w:r w:rsidRPr="00FB4483">
        <w:rPr>
          <w:rStyle w:val="BodyText1"/>
          <w:sz w:val="24"/>
        </w:rPr>
        <w:t xml:space="preserve">(3) </w:t>
      </w:r>
      <w:r w:rsidR="00F82192" w:rsidRPr="00FB4483">
        <w:rPr>
          <w:rStyle w:val="BodyText1"/>
          <w:sz w:val="24"/>
        </w:rPr>
        <w:t xml:space="preserve">The Principal Act, as amended by this Act, may be cited as the </w:t>
      </w:r>
      <w:r w:rsidR="00F82192" w:rsidRPr="00FB4483">
        <w:rPr>
          <w:rStyle w:val="BodytextItalic"/>
          <w:sz w:val="24"/>
        </w:rPr>
        <w:t>Commonwealth Grants Commission Act</w:t>
      </w:r>
      <w:r w:rsidR="00F82192" w:rsidRPr="00FB4483">
        <w:rPr>
          <w:rStyle w:val="BodyText1"/>
          <w:sz w:val="24"/>
        </w:rPr>
        <w:t xml:space="preserve"> 1973-1976.</w:t>
      </w:r>
    </w:p>
    <w:p w14:paraId="0DEBE9BD" w14:textId="77777777" w:rsidR="00CD5809" w:rsidRPr="00FB4483" w:rsidRDefault="00CD5809" w:rsidP="00FB4483">
      <w:pPr>
        <w:pStyle w:val="Bodytext50"/>
        <w:spacing w:before="120" w:after="60" w:line="240" w:lineRule="auto"/>
        <w:rPr>
          <w:b/>
          <w:sz w:val="20"/>
          <w:szCs w:val="20"/>
        </w:rPr>
      </w:pPr>
      <w:r w:rsidRPr="00FB4483">
        <w:rPr>
          <w:b/>
          <w:sz w:val="20"/>
          <w:szCs w:val="20"/>
        </w:rPr>
        <w:t>Commencement.</w:t>
      </w:r>
    </w:p>
    <w:p w14:paraId="2E72A2E5" w14:textId="5B7654B8" w:rsidR="00B10A8E" w:rsidRPr="00FB4483" w:rsidRDefault="00FB4483" w:rsidP="00FB4483">
      <w:pPr>
        <w:pStyle w:val="BodyText21"/>
        <w:tabs>
          <w:tab w:val="left" w:pos="630"/>
        </w:tabs>
        <w:spacing w:after="120" w:line="240" w:lineRule="auto"/>
        <w:ind w:firstLine="270"/>
        <w:rPr>
          <w:sz w:val="24"/>
        </w:rPr>
      </w:pPr>
      <w:r w:rsidRPr="00FB4483">
        <w:rPr>
          <w:rStyle w:val="BodyText1"/>
          <w:b/>
          <w:sz w:val="24"/>
        </w:rPr>
        <w:t>2.</w:t>
      </w:r>
      <w:r>
        <w:rPr>
          <w:rStyle w:val="BodyText1"/>
          <w:sz w:val="24"/>
        </w:rPr>
        <w:tab/>
      </w:r>
      <w:r w:rsidR="00F82192" w:rsidRPr="00FB4483">
        <w:rPr>
          <w:rStyle w:val="BodyText1"/>
          <w:sz w:val="24"/>
        </w:rPr>
        <w:t>This Act shall come into operation on the day on which it receives the Royal Assent.</w:t>
      </w:r>
    </w:p>
    <w:p w14:paraId="7EDFFD9C" w14:textId="77777777" w:rsidR="000755EA" w:rsidRPr="00FB4483" w:rsidRDefault="000755EA" w:rsidP="00FB4483">
      <w:pPr>
        <w:pStyle w:val="Bodytext50"/>
        <w:spacing w:before="120" w:after="60" w:line="240" w:lineRule="auto"/>
        <w:rPr>
          <w:b/>
          <w:sz w:val="20"/>
          <w:szCs w:val="20"/>
        </w:rPr>
      </w:pPr>
      <w:r w:rsidRPr="00FB4483">
        <w:rPr>
          <w:b/>
          <w:sz w:val="20"/>
          <w:szCs w:val="20"/>
        </w:rPr>
        <w:t>Title.</w:t>
      </w:r>
    </w:p>
    <w:p w14:paraId="72114261" w14:textId="77777777" w:rsidR="00B10A8E" w:rsidRPr="00FB4483" w:rsidRDefault="00FB4483" w:rsidP="00FB4483">
      <w:pPr>
        <w:pStyle w:val="BodyText21"/>
        <w:tabs>
          <w:tab w:val="left" w:pos="630"/>
        </w:tabs>
        <w:spacing w:after="120" w:line="240" w:lineRule="auto"/>
        <w:ind w:firstLine="270"/>
        <w:rPr>
          <w:sz w:val="24"/>
        </w:rPr>
      </w:pPr>
      <w:r w:rsidRPr="00FB4483">
        <w:rPr>
          <w:rStyle w:val="BodyText1"/>
          <w:b/>
          <w:sz w:val="24"/>
        </w:rPr>
        <w:t>3.</w:t>
      </w:r>
      <w:r>
        <w:rPr>
          <w:rStyle w:val="BodyText1"/>
          <w:sz w:val="24"/>
        </w:rPr>
        <w:tab/>
      </w:r>
      <w:r w:rsidR="00F82192" w:rsidRPr="00FB4483">
        <w:rPr>
          <w:rStyle w:val="BodyText1"/>
          <w:sz w:val="24"/>
        </w:rPr>
        <w:t>The title of the Principal Act is amended by inserting before the words “Grants Commission” the word “Commonwealth”.</w:t>
      </w:r>
    </w:p>
    <w:p w14:paraId="1B2C750F" w14:textId="77777777" w:rsidR="000755EA" w:rsidRPr="00FB4483" w:rsidRDefault="000755EA" w:rsidP="00FB4483">
      <w:pPr>
        <w:pStyle w:val="Bodytext50"/>
        <w:spacing w:before="120" w:after="60" w:line="240" w:lineRule="auto"/>
        <w:rPr>
          <w:b/>
          <w:sz w:val="20"/>
          <w:szCs w:val="20"/>
        </w:rPr>
      </w:pPr>
      <w:r w:rsidRPr="00FB4483">
        <w:rPr>
          <w:b/>
          <w:sz w:val="20"/>
          <w:szCs w:val="20"/>
        </w:rPr>
        <w:t>Definitions.</w:t>
      </w:r>
    </w:p>
    <w:p w14:paraId="139370A2" w14:textId="77777777" w:rsidR="00B10A8E" w:rsidRPr="00FB4483" w:rsidRDefault="00200DEF" w:rsidP="00200DEF">
      <w:pPr>
        <w:pStyle w:val="BodyText21"/>
        <w:tabs>
          <w:tab w:val="left" w:pos="630"/>
        </w:tabs>
        <w:spacing w:after="120" w:line="240" w:lineRule="auto"/>
        <w:ind w:firstLine="270"/>
        <w:rPr>
          <w:sz w:val="24"/>
        </w:rPr>
      </w:pPr>
      <w:r w:rsidRPr="00200DEF">
        <w:rPr>
          <w:rStyle w:val="BodyText1"/>
          <w:b/>
          <w:sz w:val="24"/>
        </w:rPr>
        <w:t>4.</w:t>
      </w:r>
      <w:r>
        <w:rPr>
          <w:rStyle w:val="BodyText1"/>
          <w:sz w:val="24"/>
        </w:rPr>
        <w:tab/>
      </w:r>
      <w:r w:rsidR="00F82192" w:rsidRPr="00FB4483">
        <w:rPr>
          <w:rStyle w:val="BodyText1"/>
          <w:sz w:val="24"/>
        </w:rPr>
        <w:t>Section 4 of the Principal Act is amended—</w:t>
      </w:r>
    </w:p>
    <w:p w14:paraId="1A54A276" w14:textId="77777777" w:rsidR="00B10A8E" w:rsidRPr="00FB4483" w:rsidRDefault="00CE70A4" w:rsidP="00200DEF">
      <w:pPr>
        <w:pStyle w:val="BodyText21"/>
        <w:spacing w:after="60" w:line="240" w:lineRule="auto"/>
        <w:ind w:firstLine="270"/>
        <w:rPr>
          <w:sz w:val="24"/>
        </w:rPr>
      </w:pPr>
      <w:r w:rsidRPr="00FB4483">
        <w:rPr>
          <w:rStyle w:val="BodyText1"/>
          <w:sz w:val="24"/>
        </w:rPr>
        <w:t xml:space="preserve">(a) </w:t>
      </w:r>
      <w:r w:rsidR="00F82192" w:rsidRPr="00FB4483">
        <w:rPr>
          <w:rStyle w:val="BodyText1"/>
          <w:sz w:val="24"/>
        </w:rPr>
        <w:t>by omitting the definition of “appropriate Minister”;</w:t>
      </w:r>
    </w:p>
    <w:p w14:paraId="3BE957C4" w14:textId="77777777" w:rsidR="00B10A8E" w:rsidRPr="00FB4483" w:rsidRDefault="00CE70A4" w:rsidP="00200DEF">
      <w:pPr>
        <w:pStyle w:val="BodyText21"/>
        <w:spacing w:after="60" w:line="240" w:lineRule="auto"/>
        <w:ind w:firstLine="270"/>
        <w:rPr>
          <w:sz w:val="24"/>
        </w:rPr>
      </w:pPr>
      <w:r w:rsidRPr="00FB4483">
        <w:rPr>
          <w:rStyle w:val="BodyText1"/>
          <w:sz w:val="24"/>
        </w:rPr>
        <w:t xml:space="preserve">(b) </w:t>
      </w:r>
      <w:r w:rsidR="00F82192" w:rsidRPr="00FB4483">
        <w:rPr>
          <w:rStyle w:val="BodyText1"/>
          <w:sz w:val="24"/>
        </w:rPr>
        <w:t>by omitting the definition of “approved regional organization”;</w:t>
      </w:r>
    </w:p>
    <w:p w14:paraId="01D8DE50" w14:textId="77777777" w:rsidR="00B10A8E" w:rsidRPr="00FB4483" w:rsidRDefault="00CE70A4" w:rsidP="00200DEF">
      <w:pPr>
        <w:pStyle w:val="BodyText21"/>
        <w:spacing w:after="60" w:line="240" w:lineRule="auto"/>
        <w:ind w:left="630" w:hanging="360"/>
        <w:rPr>
          <w:sz w:val="24"/>
        </w:rPr>
      </w:pPr>
      <w:r w:rsidRPr="00FB4483">
        <w:rPr>
          <w:rStyle w:val="BodyText1"/>
          <w:sz w:val="24"/>
        </w:rPr>
        <w:t>(c)</w:t>
      </w:r>
      <w:r w:rsidR="00200DEF">
        <w:rPr>
          <w:rStyle w:val="BodyText1"/>
          <w:sz w:val="24"/>
        </w:rPr>
        <w:t xml:space="preserve"> </w:t>
      </w:r>
      <w:r w:rsidR="00F82192" w:rsidRPr="00FB4483">
        <w:rPr>
          <w:rStyle w:val="BodyText1"/>
          <w:sz w:val="24"/>
        </w:rPr>
        <w:t>by inserting in the definition of “Commission”, before the word “Grants”, the word “Commonwealth”; and</w:t>
      </w:r>
    </w:p>
    <w:p w14:paraId="77D549F2" w14:textId="77777777" w:rsidR="00B10A8E" w:rsidRPr="00FB4483" w:rsidRDefault="00CE70A4" w:rsidP="00200DEF">
      <w:pPr>
        <w:pStyle w:val="BodyText21"/>
        <w:spacing w:after="60" w:line="240" w:lineRule="auto"/>
        <w:ind w:left="630" w:hanging="360"/>
        <w:rPr>
          <w:sz w:val="24"/>
        </w:rPr>
      </w:pPr>
      <w:r w:rsidRPr="00FB4483">
        <w:rPr>
          <w:rStyle w:val="BodyText1"/>
          <w:sz w:val="24"/>
        </w:rPr>
        <w:t xml:space="preserve">(d) </w:t>
      </w:r>
      <w:r w:rsidR="00F82192" w:rsidRPr="00FB4483">
        <w:rPr>
          <w:rStyle w:val="BodyText1"/>
          <w:sz w:val="24"/>
        </w:rPr>
        <w:t>by omitting the definition of</w:t>
      </w:r>
      <w:r w:rsidR="00200DEF">
        <w:rPr>
          <w:rStyle w:val="BodyText1"/>
          <w:sz w:val="24"/>
        </w:rPr>
        <w:t xml:space="preserve"> “local governing body” and sub</w:t>
      </w:r>
      <w:r w:rsidR="00F82192" w:rsidRPr="00FB4483">
        <w:rPr>
          <w:rStyle w:val="BodyText1"/>
          <w:sz w:val="24"/>
        </w:rPr>
        <w:t>stituting the following definition:—</w:t>
      </w:r>
    </w:p>
    <w:p w14:paraId="4C82D389" w14:textId="1A1F3F89" w:rsidR="00B10A8E" w:rsidRPr="00FB4483" w:rsidRDefault="00F82192" w:rsidP="00200DEF">
      <w:pPr>
        <w:pStyle w:val="BodyText21"/>
        <w:spacing w:after="60" w:line="240" w:lineRule="auto"/>
        <w:ind w:left="675" w:firstLine="135"/>
        <w:rPr>
          <w:sz w:val="24"/>
        </w:rPr>
      </w:pPr>
      <w:r w:rsidRPr="00FB4483">
        <w:rPr>
          <w:rStyle w:val="BodyText1"/>
          <w:sz w:val="24"/>
        </w:rPr>
        <w:t>“‘local government autho</w:t>
      </w:r>
      <w:r w:rsidR="00200DEF">
        <w:rPr>
          <w:rStyle w:val="BodyText1"/>
          <w:sz w:val="24"/>
        </w:rPr>
        <w:t>rity’ means an authority, estab</w:t>
      </w:r>
      <w:r w:rsidRPr="00FB4483">
        <w:rPr>
          <w:rStyle w:val="BodyText1"/>
          <w:sz w:val="24"/>
        </w:rPr>
        <w:t>lished by or under a law of a State, that is, in accordance with provision made by the regulations, a local government authority for the purposes of this Act; ”.</w:t>
      </w:r>
    </w:p>
    <w:p w14:paraId="51F9FAAC" w14:textId="77777777" w:rsidR="00B10A8E" w:rsidRPr="00200DEF" w:rsidRDefault="00F82192" w:rsidP="00200DEF">
      <w:pPr>
        <w:pStyle w:val="Bodytext50"/>
        <w:spacing w:before="120" w:after="60" w:line="240" w:lineRule="auto"/>
        <w:rPr>
          <w:b/>
          <w:sz w:val="20"/>
          <w:szCs w:val="20"/>
        </w:rPr>
      </w:pPr>
      <w:r w:rsidRPr="00200DEF">
        <w:rPr>
          <w:b/>
          <w:sz w:val="20"/>
          <w:szCs w:val="20"/>
        </w:rPr>
        <w:t>Meaning of assistance to a State for local</w:t>
      </w:r>
      <w:r w:rsidR="00CE70A4" w:rsidRPr="00200DEF">
        <w:rPr>
          <w:b/>
          <w:sz w:val="20"/>
          <w:szCs w:val="20"/>
        </w:rPr>
        <w:t xml:space="preserve"> </w:t>
      </w:r>
      <w:r w:rsidRPr="00200DEF">
        <w:rPr>
          <w:b/>
          <w:sz w:val="20"/>
          <w:szCs w:val="20"/>
        </w:rPr>
        <w:t>government</w:t>
      </w:r>
      <w:r w:rsidR="00CE70A4" w:rsidRPr="00200DEF">
        <w:rPr>
          <w:b/>
          <w:sz w:val="20"/>
          <w:szCs w:val="20"/>
        </w:rPr>
        <w:t xml:space="preserve"> </w:t>
      </w:r>
      <w:r w:rsidRPr="00200DEF">
        <w:rPr>
          <w:b/>
          <w:sz w:val="20"/>
          <w:szCs w:val="20"/>
        </w:rPr>
        <w:t>purposes.</w:t>
      </w:r>
    </w:p>
    <w:p w14:paraId="7E127265" w14:textId="77777777" w:rsidR="005A1B59" w:rsidRPr="00FB4483" w:rsidRDefault="00200DEF" w:rsidP="00200DEF">
      <w:pPr>
        <w:pStyle w:val="BodyText21"/>
        <w:tabs>
          <w:tab w:val="left" w:pos="630"/>
        </w:tabs>
        <w:spacing w:after="120" w:line="240" w:lineRule="auto"/>
        <w:ind w:firstLine="270"/>
        <w:rPr>
          <w:rStyle w:val="BodyText1"/>
          <w:sz w:val="24"/>
        </w:rPr>
      </w:pPr>
      <w:r w:rsidRPr="00200DEF">
        <w:rPr>
          <w:rStyle w:val="BodyText1"/>
          <w:b/>
          <w:sz w:val="24"/>
        </w:rPr>
        <w:t>5.</w:t>
      </w:r>
      <w:r>
        <w:rPr>
          <w:rStyle w:val="BodyText1"/>
          <w:sz w:val="24"/>
        </w:rPr>
        <w:tab/>
      </w:r>
      <w:r w:rsidR="00F82192" w:rsidRPr="00FB4483">
        <w:rPr>
          <w:rStyle w:val="BodyText1"/>
          <w:sz w:val="24"/>
        </w:rPr>
        <w:t>Section 6 of the Principal Act is repealed.</w:t>
      </w:r>
    </w:p>
    <w:p w14:paraId="49EB0102" w14:textId="77777777" w:rsidR="005A1B59" w:rsidRPr="00200DEF" w:rsidRDefault="00200DEF" w:rsidP="00200DEF">
      <w:pPr>
        <w:pStyle w:val="BodyText21"/>
        <w:spacing w:before="120" w:after="60" w:line="240" w:lineRule="auto"/>
        <w:ind w:firstLine="0"/>
        <w:rPr>
          <w:rStyle w:val="BodyText1"/>
          <w:b/>
          <w:sz w:val="20"/>
          <w:szCs w:val="20"/>
        </w:rPr>
      </w:pPr>
      <w:r w:rsidRPr="00200DEF">
        <w:rPr>
          <w:b/>
          <w:sz w:val="20"/>
          <w:szCs w:val="20"/>
        </w:rPr>
        <w:t>Establishment of Common</w:t>
      </w:r>
      <w:r w:rsidR="005A1B59" w:rsidRPr="00200DEF">
        <w:rPr>
          <w:b/>
          <w:sz w:val="20"/>
          <w:szCs w:val="20"/>
        </w:rPr>
        <w:t>wealth Grants Commission</w:t>
      </w:r>
    </w:p>
    <w:p w14:paraId="2A2A4AB9" w14:textId="282C3DE1" w:rsidR="00B10A8E" w:rsidRPr="00FB4483" w:rsidRDefault="00200DEF" w:rsidP="00482E1E">
      <w:pPr>
        <w:pStyle w:val="BodyText21"/>
        <w:tabs>
          <w:tab w:val="left" w:pos="630"/>
        </w:tabs>
        <w:spacing w:line="240" w:lineRule="auto"/>
        <w:ind w:firstLine="270"/>
        <w:rPr>
          <w:sz w:val="24"/>
        </w:rPr>
      </w:pPr>
      <w:r w:rsidRPr="00200DEF">
        <w:rPr>
          <w:rStyle w:val="BodyText1"/>
          <w:b/>
          <w:sz w:val="24"/>
        </w:rPr>
        <w:t>6.</w:t>
      </w:r>
      <w:r>
        <w:rPr>
          <w:rStyle w:val="BodyText1"/>
          <w:sz w:val="24"/>
        </w:rPr>
        <w:tab/>
      </w:r>
      <w:r w:rsidR="00F82192" w:rsidRPr="00FB4483">
        <w:rPr>
          <w:rStyle w:val="BodyText1"/>
          <w:sz w:val="24"/>
        </w:rPr>
        <w:t>Section 7 of the Principal Act is amended by omitting sub-section</w:t>
      </w:r>
      <w:r w:rsidR="00482E1E">
        <w:rPr>
          <w:rStyle w:val="BodyText1"/>
          <w:sz w:val="24"/>
        </w:rPr>
        <w:t xml:space="preserve"> </w:t>
      </w:r>
      <w:r w:rsidR="005A1B59" w:rsidRPr="00FB4483">
        <w:rPr>
          <w:rStyle w:val="BodyText1"/>
          <w:sz w:val="24"/>
        </w:rPr>
        <w:t xml:space="preserve">(1) </w:t>
      </w:r>
      <w:r w:rsidR="00F82192" w:rsidRPr="00FB4483">
        <w:rPr>
          <w:rStyle w:val="BodyText1"/>
          <w:sz w:val="24"/>
        </w:rPr>
        <w:t>and substituting the following sub-section:—</w:t>
      </w:r>
    </w:p>
    <w:p w14:paraId="338152F4" w14:textId="77777777" w:rsidR="00B10A8E" w:rsidRPr="00FB4483" w:rsidRDefault="00F82192" w:rsidP="00200DEF">
      <w:pPr>
        <w:pStyle w:val="BodyText21"/>
        <w:spacing w:line="240" w:lineRule="auto"/>
        <w:ind w:firstLine="270"/>
        <w:rPr>
          <w:sz w:val="24"/>
        </w:rPr>
      </w:pPr>
      <w:r w:rsidRPr="00FB4483">
        <w:rPr>
          <w:rStyle w:val="BodyText1"/>
          <w:sz w:val="24"/>
        </w:rPr>
        <w:t xml:space="preserve">“(1) The body by the name of the Grants Commission established by the sub-section for which this sub-section was substituted by the </w:t>
      </w:r>
      <w:r w:rsidR="00200DEF">
        <w:rPr>
          <w:rStyle w:val="BodytextItalic"/>
          <w:sz w:val="24"/>
        </w:rPr>
        <w:t>Com</w:t>
      </w:r>
      <w:r w:rsidRPr="00FB4483">
        <w:rPr>
          <w:rStyle w:val="BodytextItalic"/>
          <w:sz w:val="24"/>
        </w:rPr>
        <w:t>monwealth Grants Commission Act</w:t>
      </w:r>
      <w:r w:rsidRPr="00FB4483">
        <w:rPr>
          <w:rStyle w:val="BodyText1"/>
          <w:sz w:val="24"/>
        </w:rPr>
        <w:t xml:space="preserve"> 1976 continues in existence, by force of this sub-section, under and subject to the provisions of this Act, under the name ‘Commonwealth Grants Commission’.”.</w:t>
      </w:r>
    </w:p>
    <w:p w14:paraId="035839E1" w14:textId="77777777" w:rsidR="005A1B59" w:rsidRPr="003E1ECF" w:rsidRDefault="005A1B59" w:rsidP="00200DEF">
      <w:pPr>
        <w:pStyle w:val="BodyText21"/>
        <w:spacing w:before="120" w:after="60" w:line="240" w:lineRule="auto"/>
        <w:ind w:firstLine="0"/>
      </w:pPr>
      <w:r w:rsidRPr="00200DEF">
        <w:rPr>
          <w:b/>
          <w:sz w:val="20"/>
          <w:szCs w:val="20"/>
        </w:rPr>
        <w:t>Membership of Commission</w:t>
      </w:r>
    </w:p>
    <w:p w14:paraId="6AB11B0B" w14:textId="77777777" w:rsidR="00B10A8E" w:rsidRPr="00FB4483" w:rsidRDefault="00200DEF" w:rsidP="00200DEF">
      <w:pPr>
        <w:pStyle w:val="BodyText21"/>
        <w:tabs>
          <w:tab w:val="left" w:pos="630"/>
        </w:tabs>
        <w:spacing w:after="120" w:line="240" w:lineRule="auto"/>
        <w:ind w:firstLine="270"/>
        <w:rPr>
          <w:sz w:val="24"/>
        </w:rPr>
      </w:pPr>
      <w:r w:rsidRPr="00200DEF">
        <w:rPr>
          <w:rStyle w:val="BodyText1"/>
          <w:b/>
          <w:sz w:val="24"/>
        </w:rPr>
        <w:t>7.</w:t>
      </w:r>
      <w:r>
        <w:rPr>
          <w:rStyle w:val="BodyText1"/>
          <w:sz w:val="24"/>
        </w:rPr>
        <w:tab/>
      </w:r>
      <w:r w:rsidR="00F82192" w:rsidRPr="00FB4483">
        <w:rPr>
          <w:rStyle w:val="BodyText1"/>
          <w:sz w:val="24"/>
        </w:rPr>
        <w:t xml:space="preserve">Section 8 of the Principal Act </w:t>
      </w:r>
      <w:r>
        <w:rPr>
          <w:rStyle w:val="BodyText1"/>
          <w:sz w:val="24"/>
        </w:rPr>
        <w:t>is amended by omitting from sub</w:t>
      </w:r>
      <w:r w:rsidR="00F82192" w:rsidRPr="00FB4483">
        <w:rPr>
          <w:rStyle w:val="BodyText1"/>
          <w:sz w:val="24"/>
        </w:rPr>
        <w:t>section (7) the words “Public Service of the Commonwealth” (wherever occurring) and substituting the words “Australian Public Service”.</w:t>
      </w:r>
    </w:p>
    <w:p w14:paraId="7DF85A63" w14:textId="77777777" w:rsidR="00482E1E" w:rsidRDefault="00482E1E">
      <w:pPr>
        <w:rPr>
          <w:rStyle w:val="BodyText1"/>
          <w:rFonts w:eastAsia="Courier New"/>
          <w:b/>
          <w:sz w:val="24"/>
        </w:rPr>
      </w:pPr>
      <w:r>
        <w:rPr>
          <w:rStyle w:val="BodyText1"/>
          <w:rFonts w:eastAsia="Courier New"/>
          <w:b/>
          <w:sz w:val="24"/>
        </w:rPr>
        <w:br w:type="page"/>
      </w:r>
    </w:p>
    <w:p w14:paraId="27675894" w14:textId="3BD538FF" w:rsidR="00B10A8E" w:rsidRPr="00FB4483" w:rsidRDefault="00200DEF" w:rsidP="00200DEF">
      <w:pPr>
        <w:pStyle w:val="BodyText21"/>
        <w:tabs>
          <w:tab w:val="left" w:pos="630"/>
        </w:tabs>
        <w:spacing w:after="120" w:line="240" w:lineRule="auto"/>
        <w:ind w:firstLine="270"/>
        <w:rPr>
          <w:sz w:val="24"/>
        </w:rPr>
      </w:pPr>
      <w:r w:rsidRPr="00200DEF">
        <w:rPr>
          <w:rStyle w:val="BodyText1"/>
          <w:b/>
          <w:sz w:val="24"/>
        </w:rPr>
        <w:lastRenderedPageBreak/>
        <w:t>8.</w:t>
      </w:r>
      <w:r>
        <w:rPr>
          <w:rStyle w:val="BodyText1"/>
          <w:sz w:val="24"/>
        </w:rPr>
        <w:tab/>
      </w:r>
      <w:r w:rsidR="00F82192" w:rsidRPr="00FB4483">
        <w:rPr>
          <w:rStyle w:val="BodyText1"/>
          <w:sz w:val="24"/>
        </w:rPr>
        <w:t>Sections 17 and 18 of the Principal Act a</w:t>
      </w:r>
      <w:r>
        <w:rPr>
          <w:rStyle w:val="BodyText1"/>
          <w:sz w:val="24"/>
        </w:rPr>
        <w:t>re repealed and the fol</w:t>
      </w:r>
      <w:r w:rsidR="003E774F">
        <w:rPr>
          <w:rStyle w:val="BodyText1"/>
          <w:sz w:val="24"/>
        </w:rPr>
        <w:t>lowing section is substituted:</w:t>
      </w:r>
      <w:r w:rsidR="00F82192" w:rsidRPr="00FB4483">
        <w:rPr>
          <w:rStyle w:val="BodyText1"/>
          <w:sz w:val="24"/>
        </w:rPr>
        <w:t>—</w:t>
      </w:r>
    </w:p>
    <w:p w14:paraId="42BDE89A" w14:textId="77777777" w:rsidR="005A1B59" w:rsidRPr="00200DEF" w:rsidRDefault="005A1B59" w:rsidP="00200DEF">
      <w:pPr>
        <w:pStyle w:val="BodyText21"/>
        <w:spacing w:before="120" w:after="60" w:line="240" w:lineRule="auto"/>
        <w:ind w:firstLine="0"/>
        <w:rPr>
          <w:rStyle w:val="BodyText1"/>
          <w:b/>
          <w:sz w:val="20"/>
          <w:szCs w:val="20"/>
        </w:rPr>
      </w:pPr>
      <w:r w:rsidRPr="00200DEF">
        <w:rPr>
          <w:b/>
          <w:sz w:val="20"/>
          <w:szCs w:val="20"/>
        </w:rPr>
        <w:t>Assistance to States for local government purposes</w:t>
      </w:r>
    </w:p>
    <w:p w14:paraId="0A9136B0" w14:textId="77777777" w:rsidR="00B10A8E" w:rsidRPr="00FB4483" w:rsidRDefault="00F82192" w:rsidP="003E774F">
      <w:pPr>
        <w:pStyle w:val="BodyText21"/>
        <w:spacing w:after="120" w:line="240" w:lineRule="auto"/>
        <w:ind w:firstLine="270"/>
        <w:rPr>
          <w:sz w:val="24"/>
        </w:rPr>
      </w:pPr>
      <w:r w:rsidRPr="00FB4483">
        <w:rPr>
          <w:rStyle w:val="BodyText1"/>
          <w:sz w:val="24"/>
        </w:rPr>
        <w:t>“17. (1) The Commission shall inquire into and report to the Mini</w:t>
      </w:r>
      <w:r w:rsidR="003E774F">
        <w:rPr>
          <w:rStyle w:val="BodyText1"/>
          <w:sz w:val="24"/>
        </w:rPr>
        <w:t>s</w:t>
      </w:r>
      <w:r w:rsidRPr="00FB4483">
        <w:rPr>
          <w:rStyle w:val="BodyText1"/>
          <w:sz w:val="24"/>
        </w:rPr>
        <w:t>ter upon any matters—</w:t>
      </w:r>
    </w:p>
    <w:p w14:paraId="7FEBB023" w14:textId="77777777" w:rsidR="00B10A8E" w:rsidRPr="00FB4483" w:rsidRDefault="005A1B59" w:rsidP="003E774F">
      <w:pPr>
        <w:pStyle w:val="BodyText21"/>
        <w:spacing w:after="60" w:line="240" w:lineRule="auto"/>
        <w:ind w:left="603" w:hanging="333"/>
        <w:rPr>
          <w:sz w:val="24"/>
        </w:rPr>
      </w:pPr>
      <w:r w:rsidRPr="00FB4483">
        <w:rPr>
          <w:rStyle w:val="BodyText1"/>
          <w:sz w:val="24"/>
        </w:rPr>
        <w:t xml:space="preserve">(a) </w:t>
      </w:r>
      <w:r w:rsidR="00F82192" w:rsidRPr="00FB4483">
        <w:rPr>
          <w:rStyle w:val="BodyText1"/>
          <w:sz w:val="24"/>
        </w:rPr>
        <w:t>being matters relating to the making of a grant of assistance to a State, under section 96 of the Constitution, for local government purposes; or</w:t>
      </w:r>
    </w:p>
    <w:p w14:paraId="0FD12362" w14:textId="77777777" w:rsidR="00B10A8E" w:rsidRPr="00FB4483" w:rsidRDefault="005A1B59" w:rsidP="003E774F">
      <w:pPr>
        <w:pStyle w:val="BodyText21"/>
        <w:spacing w:after="60" w:line="240" w:lineRule="auto"/>
        <w:ind w:left="603" w:hanging="333"/>
        <w:rPr>
          <w:sz w:val="24"/>
        </w:rPr>
      </w:pPr>
      <w:r w:rsidRPr="00FB4483">
        <w:rPr>
          <w:rStyle w:val="BodyText1"/>
          <w:sz w:val="24"/>
        </w:rPr>
        <w:t xml:space="preserve">(b) </w:t>
      </w:r>
      <w:r w:rsidR="00F82192" w:rsidRPr="00FB4483">
        <w:rPr>
          <w:rStyle w:val="BodyText1"/>
          <w:sz w:val="24"/>
        </w:rPr>
        <w:t>being matters relating to a grant of assistance made to a State, under section 96 of the Constitution, for local government purposes,</w:t>
      </w:r>
    </w:p>
    <w:p w14:paraId="65471308" w14:textId="77777777" w:rsidR="00B10A8E" w:rsidRPr="00FB4483" w:rsidRDefault="00F82192" w:rsidP="003E774F">
      <w:pPr>
        <w:pStyle w:val="BodyText21"/>
        <w:spacing w:after="120" w:line="240" w:lineRule="auto"/>
        <w:ind w:firstLine="0"/>
        <w:rPr>
          <w:sz w:val="24"/>
        </w:rPr>
      </w:pPr>
      <w:r w:rsidRPr="00FB4483">
        <w:rPr>
          <w:rStyle w:val="BodyText1"/>
          <w:sz w:val="24"/>
        </w:rPr>
        <w:t>that are referred to the Commission by the Minister.</w:t>
      </w:r>
    </w:p>
    <w:p w14:paraId="72B20F17" w14:textId="77777777" w:rsidR="00B10A8E" w:rsidRPr="00FB4483" w:rsidRDefault="00F82192" w:rsidP="003E774F">
      <w:pPr>
        <w:pStyle w:val="BodyText21"/>
        <w:spacing w:line="240" w:lineRule="auto"/>
        <w:ind w:firstLine="270"/>
        <w:rPr>
          <w:sz w:val="24"/>
        </w:rPr>
      </w:pPr>
      <w:r w:rsidRPr="00FB4483">
        <w:rPr>
          <w:rStyle w:val="BodyText1"/>
          <w:sz w:val="24"/>
        </w:rPr>
        <w:t>“(2) In sub-section (1), a reference to a grant of assistance to a State for local government purposes shall be read as a reference to a grant of moneys to the State for the purpose of be</w:t>
      </w:r>
      <w:r w:rsidR="003E774F">
        <w:rPr>
          <w:rStyle w:val="BodyText1"/>
          <w:sz w:val="24"/>
        </w:rPr>
        <w:t>ing applied by the State in pay</w:t>
      </w:r>
      <w:r w:rsidRPr="00FB4483">
        <w:rPr>
          <w:rStyle w:val="BodyText1"/>
          <w:sz w:val="24"/>
        </w:rPr>
        <w:t xml:space="preserve">ments to local government authorities situated in the State, or by way of expenditure for purposes declared by the regulations to be purposes to </w:t>
      </w:r>
      <w:r w:rsidR="00E90865">
        <w:rPr>
          <w:rStyle w:val="BodyText1"/>
          <w:sz w:val="24"/>
        </w:rPr>
        <w:t>which this sub-section applies.”</w:t>
      </w:r>
    </w:p>
    <w:p w14:paraId="33F9E8DB" w14:textId="77777777" w:rsidR="005A1B59" w:rsidRPr="003E1ECF" w:rsidRDefault="005A1B59" w:rsidP="003E1ECF">
      <w:pPr>
        <w:pStyle w:val="BodyText21"/>
        <w:spacing w:before="120" w:after="60" w:line="240" w:lineRule="auto"/>
        <w:ind w:firstLine="0"/>
        <w:rPr>
          <w:b/>
          <w:sz w:val="20"/>
          <w:szCs w:val="20"/>
        </w:rPr>
      </w:pPr>
      <w:r w:rsidRPr="003E1ECF">
        <w:rPr>
          <w:b/>
          <w:sz w:val="20"/>
          <w:szCs w:val="20"/>
        </w:rPr>
        <w:t>Inquiries by Commission.</w:t>
      </w:r>
    </w:p>
    <w:p w14:paraId="1566EB02" w14:textId="77777777" w:rsidR="00B10A8E" w:rsidRPr="00FB4483" w:rsidRDefault="003E1ECF" w:rsidP="003E1ECF">
      <w:pPr>
        <w:pStyle w:val="BodyText21"/>
        <w:tabs>
          <w:tab w:val="left" w:pos="630"/>
        </w:tabs>
        <w:spacing w:after="120" w:line="240" w:lineRule="auto"/>
        <w:ind w:firstLine="270"/>
        <w:rPr>
          <w:sz w:val="24"/>
        </w:rPr>
      </w:pPr>
      <w:r w:rsidRPr="003E1ECF">
        <w:rPr>
          <w:rStyle w:val="BodyText1"/>
          <w:b/>
          <w:sz w:val="24"/>
        </w:rPr>
        <w:t>9.</w:t>
      </w:r>
      <w:r>
        <w:rPr>
          <w:rStyle w:val="BodyText1"/>
          <w:sz w:val="24"/>
        </w:rPr>
        <w:tab/>
      </w:r>
      <w:r w:rsidR="00F82192" w:rsidRPr="00FB4483">
        <w:rPr>
          <w:rStyle w:val="BodyText1"/>
          <w:sz w:val="24"/>
        </w:rPr>
        <w:t>Section 19 of the Principal Act is amended—</w:t>
      </w:r>
    </w:p>
    <w:p w14:paraId="28527036" w14:textId="77777777" w:rsidR="00B10A8E" w:rsidRPr="00FB4483" w:rsidRDefault="005A1B59" w:rsidP="003E1ECF">
      <w:pPr>
        <w:pStyle w:val="BodyText21"/>
        <w:spacing w:after="60" w:line="240" w:lineRule="auto"/>
        <w:ind w:firstLine="270"/>
        <w:rPr>
          <w:sz w:val="24"/>
        </w:rPr>
      </w:pPr>
      <w:r w:rsidRPr="00FB4483">
        <w:rPr>
          <w:rStyle w:val="BodyText1"/>
          <w:sz w:val="24"/>
        </w:rPr>
        <w:t xml:space="preserve">(a) </w:t>
      </w:r>
      <w:r w:rsidR="00F82192" w:rsidRPr="00FB4483">
        <w:rPr>
          <w:rStyle w:val="BodyText1"/>
          <w:sz w:val="24"/>
        </w:rPr>
        <w:t>by omitting from sub-section (1) the words “by section 16 or 18”; and</w:t>
      </w:r>
    </w:p>
    <w:p w14:paraId="7DA7A234" w14:textId="3BB07A4E" w:rsidR="00B10A8E" w:rsidRPr="00FB4483" w:rsidRDefault="005A1B59" w:rsidP="003E1ECF">
      <w:pPr>
        <w:pStyle w:val="BodyText21"/>
        <w:spacing w:after="60" w:line="240" w:lineRule="auto"/>
        <w:ind w:firstLine="270"/>
        <w:rPr>
          <w:sz w:val="24"/>
        </w:rPr>
      </w:pPr>
      <w:r w:rsidRPr="00FB4483">
        <w:rPr>
          <w:rStyle w:val="BodyText1"/>
          <w:sz w:val="24"/>
        </w:rPr>
        <w:t xml:space="preserve">(b) </w:t>
      </w:r>
      <w:r w:rsidR="00F82192" w:rsidRPr="00FB4483">
        <w:rPr>
          <w:rStyle w:val="BodyText1"/>
          <w:sz w:val="24"/>
        </w:rPr>
        <w:t>by omitting from sub-section (3) the words “referred to in section 16”.</w:t>
      </w:r>
    </w:p>
    <w:p w14:paraId="230695E2" w14:textId="77777777" w:rsidR="005A1B59" w:rsidRPr="003E1ECF" w:rsidRDefault="005A1B59" w:rsidP="003E1ECF">
      <w:pPr>
        <w:pStyle w:val="BodyText21"/>
        <w:spacing w:before="120" w:after="60" w:line="240" w:lineRule="auto"/>
        <w:ind w:firstLine="0"/>
        <w:rPr>
          <w:b/>
          <w:sz w:val="20"/>
          <w:szCs w:val="20"/>
        </w:rPr>
      </w:pPr>
      <w:r w:rsidRPr="003E1ECF">
        <w:rPr>
          <w:b/>
          <w:sz w:val="20"/>
          <w:szCs w:val="20"/>
        </w:rPr>
        <w:t>Commission may take evidence.</w:t>
      </w:r>
    </w:p>
    <w:p w14:paraId="4EB0D5A5" w14:textId="6A1D3F1F" w:rsidR="00B10A8E" w:rsidRPr="00FB4483" w:rsidRDefault="003E1ECF" w:rsidP="003E1ECF">
      <w:pPr>
        <w:pStyle w:val="BodyText21"/>
        <w:tabs>
          <w:tab w:val="left" w:pos="630"/>
        </w:tabs>
        <w:spacing w:after="120" w:line="240" w:lineRule="auto"/>
        <w:ind w:firstLine="270"/>
        <w:rPr>
          <w:sz w:val="24"/>
        </w:rPr>
      </w:pPr>
      <w:r w:rsidRPr="003E1ECF">
        <w:rPr>
          <w:rStyle w:val="BodyText1"/>
          <w:b/>
          <w:sz w:val="24"/>
        </w:rPr>
        <w:t>10.</w:t>
      </w:r>
      <w:r>
        <w:rPr>
          <w:rStyle w:val="BodyText1"/>
          <w:sz w:val="24"/>
        </w:rPr>
        <w:tab/>
      </w:r>
      <w:r w:rsidR="00F82192" w:rsidRPr="00FB4483">
        <w:rPr>
          <w:rStyle w:val="BodyText1"/>
          <w:sz w:val="24"/>
        </w:rPr>
        <w:t>Section 20 of the Principal</w:t>
      </w:r>
      <w:r>
        <w:rPr>
          <w:rStyle w:val="BodyText1"/>
          <w:sz w:val="24"/>
        </w:rPr>
        <w:t xml:space="preserve"> Act is amended by omitting sub</w:t>
      </w:r>
      <w:r w:rsidR="00482E1E">
        <w:rPr>
          <w:rStyle w:val="BodyText1"/>
          <w:sz w:val="24"/>
        </w:rPr>
        <w:t>-</w:t>
      </w:r>
      <w:r w:rsidR="00F82192" w:rsidRPr="00FB4483">
        <w:rPr>
          <w:rStyle w:val="BodyText1"/>
          <w:sz w:val="24"/>
        </w:rPr>
        <w:t>sections (3), (4) and (5).</w:t>
      </w:r>
    </w:p>
    <w:p w14:paraId="7100ECE9" w14:textId="77777777" w:rsidR="005A1B59" w:rsidRPr="003E1ECF" w:rsidRDefault="005A1B59" w:rsidP="003E1ECF">
      <w:pPr>
        <w:pStyle w:val="BodyText21"/>
        <w:spacing w:before="120" w:after="60" w:line="240" w:lineRule="auto"/>
        <w:ind w:firstLine="0"/>
        <w:rPr>
          <w:b/>
          <w:sz w:val="20"/>
          <w:szCs w:val="20"/>
        </w:rPr>
      </w:pPr>
      <w:r w:rsidRPr="003E1ECF">
        <w:rPr>
          <w:b/>
          <w:sz w:val="20"/>
          <w:szCs w:val="20"/>
        </w:rPr>
        <w:t>Penalty for refusing to give evidence.</w:t>
      </w:r>
    </w:p>
    <w:p w14:paraId="4B8D9BE8" w14:textId="3AE1238A" w:rsidR="00B10A8E" w:rsidRPr="00FB4483" w:rsidRDefault="003E1ECF" w:rsidP="003E1ECF">
      <w:pPr>
        <w:pStyle w:val="BodyText21"/>
        <w:tabs>
          <w:tab w:val="left" w:pos="630"/>
        </w:tabs>
        <w:spacing w:after="120" w:line="240" w:lineRule="auto"/>
        <w:ind w:firstLine="270"/>
        <w:rPr>
          <w:sz w:val="24"/>
        </w:rPr>
      </w:pPr>
      <w:r w:rsidRPr="003E1ECF">
        <w:rPr>
          <w:rStyle w:val="BodyText1"/>
          <w:b/>
          <w:sz w:val="24"/>
        </w:rPr>
        <w:t>11.</w:t>
      </w:r>
      <w:r>
        <w:rPr>
          <w:rStyle w:val="BodyText1"/>
          <w:sz w:val="24"/>
        </w:rPr>
        <w:tab/>
      </w:r>
      <w:r w:rsidR="00F82192" w:rsidRPr="00FB4483">
        <w:rPr>
          <w:rStyle w:val="BodyText1"/>
          <w:sz w:val="24"/>
        </w:rPr>
        <w:t>Section 23 of the Principal</w:t>
      </w:r>
      <w:r>
        <w:rPr>
          <w:rStyle w:val="BodyText1"/>
          <w:sz w:val="24"/>
        </w:rPr>
        <w:t xml:space="preserve"> Act is amended by omitting sub</w:t>
      </w:r>
      <w:r w:rsidR="00482E1E">
        <w:rPr>
          <w:rStyle w:val="BodyText1"/>
          <w:sz w:val="24"/>
        </w:rPr>
        <w:t>-</w:t>
      </w:r>
      <w:r w:rsidR="00F82192" w:rsidRPr="00FB4483">
        <w:rPr>
          <w:rStyle w:val="BodyText1"/>
          <w:sz w:val="24"/>
        </w:rPr>
        <w:t>section (2) and substituting the following sub-section:—</w:t>
      </w:r>
    </w:p>
    <w:p w14:paraId="12A2F777" w14:textId="77777777" w:rsidR="00B10A8E" w:rsidRPr="00FB4483" w:rsidRDefault="00F82192" w:rsidP="003E1ECF">
      <w:pPr>
        <w:pStyle w:val="BodyText21"/>
        <w:spacing w:after="120" w:line="240" w:lineRule="auto"/>
        <w:ind w:firstLine="270"/>
        <w:rPr>
          <w:sz w:val="24"/>
        </w:rPr>
      </w:pPr>
      <w:r w:rsidRPr="00FB4483">
        <w:rPr>
          <w:rStyle w:val="BodyText1"/>
          <w:sz w:val="24"/>
        </w:rPr>
        <w:t>“(2) For the purposes of sub-section (1), a question shall be deemed to have been put to a witness by the Commission—</w:t>
      </w:r>
    </w:p>
    <w:p w14:paraId="10FC3E17" w14:textId="77777777" w:rsidR="005A1B59" w:rsidRPr="00FB4483" w:rsidRDefault="005A1B59" w:rsidP="003E1ECF">
      <w:pPr>
        <w:pStyle w:val="BodyText21"/>
        <w:spacing w:after="120" w:line="240" w:lineRule="auto"/>
        <w:ind w:firstLine="270"/>
        <w:rPr>
          <w:rStyle w:val="BodyText1"/>
          <w:sz w:val="24"/>
        </w:rPr>
      </w:pPr>
      <w:r w:rsidRPr="00FB4483">
        <w:rPr>
          <w:rStyle w:val="BodyText1"/>
          <w:sz w:val="24"/>
        </w:rPr>
        <w:t xml:space="preserve">(a) </w:t>
      </w:r>
      <w:r w:rsidR="00F82192" w:rsidRPr="00FB4483">
        <w:rPr>
          <w:rStyle w:val="BodyText1"/>
          <w:sz w:val="24"/>
        </w:rPr>
        <w:t>if it is put by any of the members who are exercising the powers of the Commission in relation to the matter; or</w:t>
      </w:r>
    </w:p>
    <w:p w14:paraId="284C5130" w14:textId="77777777" w:rsidR="00B10A8E" w:rsidRPr="00FB4483" w:rsidRDefault="00287074" w:rsidP="003E1ECF">
      <w:pPr>
        <w:pStyle w:val="BodyText21"/>
        <w:spacing w:after="120" w:line="240" w:lineRule="auto"/>
        <w:ind w:firstLine="270"/>
        <w:rPr>
          <w:sz w:val="24"/>
        </w:rPr>
      </w:pPr>
      <w:r w:rsidRPr="00FB4483">
        <w:rPr>
          <w:rStyle w:val="BodyText1"/>
          <w:sz w:val="24"/>
        </w:rPr>
        <w:t xml:space="preserve">(b) </w:t>
      </w:r>
      <w:r w:rsidR="00F82192" w:rsidRPr="00FB4483">
        <w:rPr>
          <w:rStyle w:val="BodyText1"/>
          <w:sz w:val="24"/>
        </w:rPr>
        <w:t xml:space="preserve">if, with the approval of a majority of those members, it is put by a person authorized by a majority of those members to appear in </w:t>
      </w:r>
      <w:proofErr w:type="spellStart"/>
      <w:r w:rsidR="00F82192" w:rsidRPr="00FB4483">
        <w:rPr>
          <w:rStyle w:val="BodyText1"/>
          <w:sz w:val="24"/>
        </w:rPr>
        <w:t>connexion</w:t>
      </w:r>
      <w:proofErr w:type="spellEnd"/>
      <w:r w:rsidR="00F82192" w:rsidRPr="00FB4483">
        <w:rPr>
          <w:rStyle w:val="BodyText1"/>
          <w:sz w:val="24"/>
        </w:rPr>
        <w:t xml:space="preserve"> with the taking of the evidence.</w:t>
      </w:r>
    </w:p>
    <w:p w14:paraId="12D376EE" w14:textId="77777777" w:rsidR="00B10A8E" w:rsidRPr="00FB4483" w:rsidRDefault="003E1ECF" w:rsidP="003E1ECF">
      <w:pPr>
        <w:pStyle w:val="BodyText21"/>
        <w:tabs>
          <w:tab w:val="left" w:pos="630"/>
        </w:tabs>
        <w:spacing w:after="120" w:line="240" w:lineRule="auto"/>
        <w:ind w:firstLine="270"/>
        <w:rPr>
          <w:sz w:val="24"/>
        </w:rPr>
      </w:pPr>
      <w:r w:rsidRPr="003E1ECF">
        <w:rPr>
          <w:rStyle w:val="BodyText1"/>
          <w:b/>
          <w:sz w:val="24"/>
        </w:rPr>
        <w:t>12.</w:t>
      </w:r>
      <w:r>
        <w:rPr>
          <w:rStyle w:val="BodyText1"/>
          <w:sz w:val="24"/>
        </w:rPr>
        <w:tab/>
      </w:r>
      <w:r w:rsidR="00F82192" w:rsidRPr="00FB4483">
        <w:rPr>
          <w:rStyle w:val="BodyText1"/>
          <w:sz w:val="24"/>
        </w:rPr>
        <w:t>Section 24 of the Principal Act is repealed and the following section substituted: —</w:t>
      </w:r>
    </w:p>
    <w:p w14:paraId="55864FCB" w14:textId="77777777" w:rsidR="0044043B" w:rsidRPr="003E1ECF" w:rsidRDefault="0044043B" w:rsidP="003E1ECF">
      <w:pPr>
        <w:pStyle w:val="BodyText21"/>
        <w:spacing w:before="120" w:after="60" w:line="240" w:lineRule="auto"/>
        <w:ind w:firstLine="0"/>
        <w:rPr>
          <w:sz w:val="20"/>
          <w:szCs w:val="20"/>
        </w:rPr>
      </w:pPr>
      <w:r w:rsidRPr="003E1ECF">
        <w:rPr>
          <w:b/>
          <w:sz w:val="20"/>
          <w:szCs w:val="20"/>
        </w:rPr>
        <w:t>Giving false evidence</w:t>
      </w:r>
    </w:p>
    <w:p w14:paraId="1CAFF597" w14:textId="77777777" w:rsidR="00B10A8E" w:rsidRPr="00FB4483" w:rsidRDefault="00F82192" w:rsidP="003E1ECF">
      <w:pPr>
        <w:pStyle w:val="BodyText21"/>
        <w:spacing w:after="60" w:line="240" w:lineRule="auto"/>
        <w:ind w:firstLine="270"/>
        <w:rPr>
          <w:sz w:val="24"/>
        </w:rPr>
      </w:pPr>
      <w:r w:rsidRPr="00FB4483">
        <w:rPr>
          <w:rStyle w:val="BodyText1"/>
          <w:sz w:val="24"/>
        </w:rPr>
        <w:t>“24. A person shall not, in the course of giving evidence before the members of the Commission who are e</w:t>
      </w:r>
      <w:r w:rsidR="003E1ECF">
        <w:rPr>
          <w:rStyle w:val="BodyText1"/>
          <w:sz w:val="24"/>
        </w:rPr>
        <w:t>xercising the powers of the Com</w:t>
      </w:r>
      <w:r w:rsidRPr="00FB4483">
        <w:rPr>
          <w:rStyle w:val="BodyText1"/>
          <w:sz w:val="24"/>
        </w:rPr>
        <w:t>mission in relation to a matter, make a statement that he knows to be false or misleading in a material particular.</w:t>
      </w:r>
    </w:p>
    <w:p w14:paraId="256D6957" w14:textId="77777777" w:rsidR="00B10A8E" w:rsidRPr="00FB4483" w:rsidRDefault="00F82192" w:rsidP="003E1ECF">
      <w:pPr>
        <w:pStyle w:val="BodyText21"/>
        <w:spacing w:line="240" w:lineRule="auto"/>
        <w:ind w:firstLine="270"/>
        <w:rPr>
          <w:sz w:val="24"/>
        </w:rPr>
      </w:pPr>
      <w:r w:rsidRPr="00FB4483">
        <w:rPr>
          <w:rStyle w:val="BodyText1"/>
          <w:sz w:val="24"/>
        </w:rPr>
        <w:t>Penalty: Imprisonment for 5 years. ”.</w:t>
      </w:r>
    </w:p>
    <w:p w14:paraId="716EED05" w14:textId="77777777" w:rsidR="0044043B" w:rsidRPr="003E1ECF" w:rsidRDefault="0044043B" w:rsidP="003E1ECF">
      <w:pPr>
        <w:pStyle w:val="BodyText21"/>
        <w:spacing w:before="120" w:after="60" w:line="240" w:lineRule="auto"/>
        <w:ind w:firstLine="0"/>
        <w:rPr>
          <w:rStyle w:val="BodyText1"/>
          <w:b/>
          <w:sz w:val="20"/>
          <w:szCs w:val="20"/>
        </w:rPr>
      </w:pPr>
      <w:r w:rsidRPr="003E1ECF">
        <w:rPr>
          <w:b/>
          <w:sz w:val="20"/>
          <w:szCs w:val="20"/>
        </w:rPr>
        <w:t>Reports to be laid before Parliament</w:t>
      </w:r>
    </w:p>
    <w:p w14:paraId="4787BE6B" w14:textId="77777777" w:rsidR="00B10A8E" w:rsidRPr="00FB4483" w:rsidRDefault="003E1ECF" w:rsidP="003E1ECF">
      <w:pPr>
        <w:pStyle w:val="BodyText21"/>
        <w:tabs>
          <w:tab w:val="left" w:pos="630"/>
        </w:tabs>
        <w:spacing w:after="120" w:line="240" w:lineRule="auto"/>
        <w:ind w:firstLine="270"/>
        <w:rPr>
          <w:sz w:val="24"/>
        </w:rPr>
      </w:pPr>
      <w:r w:rsidRPr="003E1ECF">
        <w:rPr>
          <w:rStyle w:val="BodyText1"/>
          <w:b/>
          <w:sz w:val="24"/>
        </w:rPr>
        <w:t>13.</w:t>
      </w:r>
      <w:r>
        <w:rPr>
          <w:rStyle w:val="BodyText1"/>
          <w:sz w:val="24"/>
        </w:rPr>
        <w:tab/>
      </w:r>
      <w:r w:rsidR="00F82192" w:rsidRPr="00FB4483">
        <w:rPr>
          <w:rStyle w:val="BodyText1"/>
          <w:sz w:val="24"/>
        </w:rPr>
        <w:t>Section 25 of the Principal Act is amended by omitting the words “section 16 or 18” (wherever occurring) and substituting the words “section 16 or 17”.</w:t>
      </w:r>
    </w:p>
    <w:p w14:paraId="3DA0F466" w14:textId="77777777" w:rsidR="0044043B" w:rsidRPr="003E1ECF" w:rsidRDefault="0044043B" w:rsidP="003E1ECF">
      <w:pPr>
        <w:pStyle w:val="Bodytext50"/>
        <w:spacing w:before="120" w:after="60" w:line="240" w:lineRule="auto"/>
        <w:rPr>
          <w:b/>
          <w:sz w:val="20"/>
          <w:szCs w:val="20"/>
        </w:rPr>
      </w:pPr>
      <w:r w:rsidRPr="003E1ECF">
        <w:rPr>
          <w:b/>
          <w:sz w:val="20"/>
          <w:szCs w:val="20"/>
        </w:rPr>
        <w:t>Savings.</w:t>
      </w:r>
    </w:p>
    <w:p w14:paraId="62CCCB9D" w14:textId="77777777" w:rsidR="00B10A8E" w:rsidRPr="00FB4483" w:rsidRDefault="003E1ECF" w:rsidP="003E1ECF">
      <w:pPr>
        <w:pStyle w:val="BodyText21"/>
        <w:tabs>
          <w:tab w:val="left" w:pos="630"/>
        </w:tabs>
        <w:spacing w:after="120" w:line="240" w:lineRule="auto"/>
        <w:ind w:firstLine="270"/>
        <w:rPr>
          <w:sz w:val="24"/>
        </w:rPr>
      </w:pPr>
      <w:r w:rsidRPr="003E1ECF">
        <w:rPr>
          <w:rStyle w:val="BodyText1"/>
          <w:b/>
          <w:sz w:val="24"/>
        </w:rPr>
        <w:t>14.</w:t>
      </w:r>
      <w:r>
        <w:rPr>
          <w:rStyle w:val="BodyText1"/>
          <w:sz w:val="24"/>
        </w:rPr>
        <w:tab/>
      </w:r>
      <w:r w:rsidR="00F82192" w:rsidRPr="00FB4483">
        <w:rPr>
          <w:rStyle w:val="BodyText1"/>
          <w:sz w:val="24"/>
        </w:rPr>
        <w:t>Section 26 of the Principal Act is amended—</w:t>
      </w:r>
    </w:p>
    <w:p w14:paraId="65AC28B7" w14:textId="77777777" w:rsidR="00B10A8E" w:rsidRPr="00FB4483" w:rsidRDefault="0044043B" w:rsidP="00425575">
      <w:pPr>
        <w:pStyle w:val="BodyText21"/>
        <w:spacing w:after="60" w:line="240" w:lineRule="auto"/>
        <w:ind w:firstLine="270"/>
        <w:rPr>
          <w:sz w:val="24"/>
        </w:rPr>
      </w:pPr>
      <w:r w:rsidRPr="00FB4483">
        <w:rPr>
          <w:rStyle w:val="BodyText1"/>
          <w:sz w:val="24"/>
        </w:rPr>
        <w:t xml:space="preserve">(a) </w:t>
      </w:r>
      <w:r w:rsidR="00F82192" w:rsidRPr="00FB4483">
        <w:rPr>
          <w:rStyle w:val="BodyText1"/>
          <w:sz w:val="24"/>
        </w:rPr>
        <w:t>by omitting from sub-section (</w:t>
      </w:r>
      <w:r w:rsidR="00425575">
        <w:rPr>
          <w:rStyle w:val="BodyText1"/>
          <w:sz w:val="24"/>
        </w:rPr>
        <w:t>2) the words “of this Act” (sec</w:t>
      </w:r>
      <w:r w:rsidR="00F82192" w:rsidRPr="00FB4483">
        <w:rPr>
          <w:rStyle w:val="BodyText1"/>
          <w:sz w:val="24"/>
        </w:rPr>
        <w:t>ond occurring);</w:t>
      </w:r>
    </w:p>
    <w:p w14:paraId="18A2D6CA" w14:textId="77777777" w:rsidR="00B10A8E" w:rsidRPr="00FB4483" w:rsidRDefault="0044043B" w:rsidP="00425575">
      <w:pPr>
        <w:pStyle w:val="BodyText21"/>
        <w:spacing w:after="60" w:line="240" w:lineRule="auto"/>
        <w:ind w:firstLine="270"/>
        <w:rPr>
          <w:sz w:val="24"/>
        </w:rPr>
      </w:pPr>
      <w:r w:rsidRPr="00FB4483">
        <w:rPr>
          <w:rStyle w:val="BodyText1"/>
          <w:sz w:val="24"/>
        </w:rPr>
        <w:t xml:space="preserve">(b) </w:t>
      </w:r>
      <w:r w:rsidR="00F82192" w:rsidRPr="00FB4483">
        <w:rPr>
          <w:rStyle w:val="BodyText1"/>
          <w:sz w:val="24"/>
        </w:rPr>
        <w:t>by omitting from sub-section (3) the words “of this Act” (se</w:t>
      </w:r>
      <w:r w:rsidR="00425575">
        <w:rPr>
          <w:rStyle w:val="BodyText1"/>
          <w:sz w:val="24"/>
        </w:rPr>
        <w:t>c</w:t>
      </w:r>
      <w:r w:rsidR="00F82192" w:rsidRPr="00FB4483">
        <w:rPr>
          <w:rStyle w:val="BodyText1"/>
          <w:sz w:val="24"/>
        </w:rPr>
        <w:t>ond occurring); and</w:t>
      </w:r>
    </w:p>
    <w:p w14:paraId="3A16C2D9" w14:textId="77777777" w:rsidR="00B10A8E" w:rsidRPr="00FB4483" w:rsidRDefault="0044043B" w:rsidP="00425575">
      <w:pPr>
        <w:pStyle w:val="BodyText21"/>
        <w:spacing w:after="60" w:line="240" w:lineRule="auto"/>
        <w:ind w:firstLine="270"/>
        <w:rPr>
          <w:sz w:val="24"/>
        </w:rPr>
      </w:pPr>
      <w:r w:rsidRPr="00FB4483">
        <w:rPr>
          <w:rStyle w:val="BodyText1"/>
          <w:sz w:val="24"/>
        </w:rPr>
        <w:t xml:space="preserve">(c) </w:t>
      </w:r>
      <w:r w:rsidR="00F82192" w:rsidRPr="00FB4483">
        <w:rPr>
          <w:rStyle w:val="BodyText1"/>
          <w:sz w:val="24"/>
        </w:rPr>
        <w:t>by omitting from sub-section (</w:t>
      </w:r>
      <w:r w:rsidR="00425575">
        <w:rPr>
          <w:rStyle w:val="BodyText1"/>
          <w:sz w:val="24"/>
        </w:rPr>
        <w:t>4) the words “of this Act” (sec</w:t>
      </w:r>
      <w:r w:rsidR="00F82192" w:rsidRPr="00FB4483">
        <w:rPr>
          <w:rStyle w:val="BodyText1"/>
          <w:sz w:val="24"/>
        </w:rPr>
        <w:t>ond occurring).</w:t>
      </w:r>
    </w:p>
    <w:p w14:paraId="163DD2E8" w14:textId="77777777" w:rsidR="00B10A8E" w:rsidRPr="00FB4483" w:rsidRDefault="0044043B" w:rsidP="00425575">
      <w:pPr>
        <w:pStyle w:val="BodyText21"/>
        <w:spacing w:after="60" w:line="240" w:lineRule="auto"/>
        <w:ind w:firstLine="270"/>
        <w:rPr>
          <w:sz w:val="24"/>
        </w:rPr>
      </w:pPr>
      <w:r w:rsidRPr="00425575">
        <w:rPr>
          <w:rStyle w:val="BodyText1"/>
          <w:b/>
          <w:sz w:val="24"/>
        </w:rPr>
        <w:t>15.</w:t>
      </w:r>
      <w:r w:rsidRPr="00FB4483">
        <w:rPr>
          <w:rStyle w:val="BodyText1"/>
          <w:sz w:val="24"/>
        </w:rPr>
        <w:t xml:space="preserve"> </w:t>
      </w:r>
      <w:r w:rsidR="00F82192" w:rsidRPr="00FB4483">
        <w:rPr>
          <w:rStyle w:val="BodyText1"/>
          <w:sz w:val="24"/>
        </w:rPr>
        <w:t>(1) Section 27 of the Principal Act is repealed and the following section substituted: —</w:t>
      </w:r>
    </w:p>
    <w:p w14:paraId="5CD0BA1D" w14:textId="77777777" w:rsidR="00B10A8E" w:rsidRPr="003E1ECF" w:rsidRDefault="00F82192" w:rsidP="003E1ECF">
      <w:pPr>
        <w:pStyle w:val="Bodytext50"/>
        <w:spacing w:before="120" w:after="60" w:line="240" w:lineRule="auto"/>
        <w:rPr>
          <w:b/>
          <w:sz w:val="20"/>
          <w:szCs w:val="20"/>
        </w:rPr>
      </w:pPr>
      <w:r w:rsidRPr="003E1ECF">
        <w:rPr>
          <w:b/>
          <w:sz w:val="20"/>
          <w:szCs w:val="20"/>
        </w:rPr>
        <w:t>Regulations.</w:t>
      </w:r>
    </w:p>
    <w:p w14:paraId="4E80CE57" w14:textId="77777777" w:rsidR="00B10A8E" w:rsidRPr="00FB4483" w:rsidRDefault="00F82192" w:rsidP="00425575">
      <w:pPr>
        <w:pStyle w:val="BodyText21"/>
        <w:spacing w:after="120" w:line="240" w:lineRule="auto"/>
        <w:ind w:firstLine="270"/>
        <w:rPr>
          <w:sz w:val="24"/>
        </w:rPr>
      </w:pPr>
      <w:r w:rsidRPr="00FB4483">
        <w:rPr>
          <w:rStyle w:val="BodyText1"/>
          <w:sz w:val="24"/>
        </w:rPr>
        <w:t>“27. The Governor-General may make regulations, not inconsistent with this Act, prescribing all matters which by this Act are required or permitted to be prescribed or which are necessary or convenient to be prescribed for carrying out or giving effect to this Act, and, in particular, for regulating the practice and procedure of the Commission. ”.</w:t>
      </w:r>
    </w:p>
    <w:p w14:paraId="3E78B759" w14:textId="77777777" w:rsidR="00B10A8E" w:rsidRPr="00FB4483" w:rsidRDefault="00F82192" w:rsidP="00425575">
      <w:pPr>
        <w:pStyle w:val="BodyText21"/>
        <w:spacing w:after="60" w:line="240" w:lineRule="auto"/>
        <w:ind w:firstLine="270"/>
        <w:rPr>
          <w:sz w:val="24"/>
        </w:rPr>
      </w:pPr>
      <w:r w:rsidRPr="00FB4483">
        <w:rPr>
          <w:rStyle w:val="BodyText1"/>
          <w:sz w:val="24"/>
        </w:rPr>
        <w:lastRenderedPageBreak/>
        <w:t>(2) Notwithstanding the repeal effe</w:t>
      </w:r>
      <w:r w:rsidR="00425575">
        <w:rPr>
          <w:rStyle w:val="BodyText1"/>
          <w:sz w:val="24"/>
        </w:rPr>
        <w:t>cted by sub-section (1), regula</w:t>
      </w:r>
      <w:r w:rsidRPr="00FB4483">
        <w:rPr>
          <w:rStyle w:val="BodyText1"/>
          <w:sz w:val="24"/>
        </w:rPr>
        <w:t>tions in force under the Principal Act immediately before the date of commencement of this Act continue in force on and after that date as if they had been made under the Principal Act as amended by this Act.</w:t>
      </w:r>
    </w:p>
    <w:p w14:paraId="381E9FB5" w14:textId="77777777" w:rsidR="00B10A8E" w:rsidRPr="003E1ECF" w:rsidRDefault="00F82192" w:rsidP="003E1ECF">
      <w:pPr>
        <w:pStyle w:val="Bodytext50"/>
        <w:spacing w:before="120" w:after="60" w:line="240" w:lineRule="auto"/>
        <w:rPr>
          <w:b/>
          <w:sz w:val="20"/>
          <w:szCs w:val="20"/>
        </w:rPr>
      </w:pPr>
      <w:r w:rsidRPr="003E1ECF">
        <w:rPr>
          <w:b/>
          <w:sz w:val="20"/>
          <w:szCs w:val="20"/>
        </w:rPr>
        <w:t>Revocation of certain references.</w:t>
      </w:r>
    </w:p>
    <w:p w14:paraId="09E1BC72" w14:textId="49BB8DB2" w:rsidR="00B10A8E" w:rsidRPr="00FB4483" w:rsidRDefault="0044043B" w:rsidP="00425575">
      <w:pPr>
        <w:pStyle w:val="BodyText21"/>
        <w:spacing w:after="120" w:line="240" w:lineRule="auto"/>
        <w:ind w:firstLine="270"/>
        <w:rPr>
          <w:sz w:val="24"/>
        </w:rPr>
      </w:pPr>
      <w:r w:rsidRPr="00425575">
        <w:rPr>
          <w:rStyle w:val="BodyText1"/>
          <w:b/>
          <w:sz w:val="24"/>
        </w:rPr>
        <w:t>16.</w:t>
      </w:r>
      <w:r w:rsidRPr="00FB4483">
        <w:rPr>
          <w:rStyle w:val="BodyText1"/>
          <w:sz w:val="24"/>
        </w:rPr>
        <w:t xml:space="preserve"> </w:t>
      </w:r>
      <w:r w:rsidR="00F82192" w:rsidRPr="00FB4483">
        <w:rPr>
          <w:rStyle w:val="BodyText1"/>
          <w:sz w:val="24"/>
        </w:rPr>
        <w:t>(1) Every reference to the Grants Commission of an applicatio</w:t>
      </w:r>
      <w:r w:rsidR="00482E1E">
        <w:rPr>
          <w:rStyle w:val="BodyText1"/>
          <w:sz w:val="24"/>
        </w:rPr>
        <w:t>n referred to in sub-section 18</w:t>
      </w:r>
      <w:bookmarkStart w:id="1" w:name="_GoBack"/>
      <w:bookmarkEnd w:id="1"/>
      <w:r w:rsidR="00F82192" w:rsidRPr="00FB4483">
        <w:rPr>
          <w:rStyle w:val="BodyText1"/>
          <w:sz w:val="24"/>
        </w:rPr>
        <w:t xml:space="preserve">(3) of the </w:t>
      </w:r>
      <w:r w:rsidR="00425575">
        <w:rPr>
          <w:rStyle w:val="BodyText1"/>
          <w:sz w:val="24"/>
        </w:rPr>
        <w:t>Principal Act made by the Minis</w:t>
      </w:r>
      <w:r w:rsidR="00F82192" w:rsidRPr="00FB4483">
        <w:rPr>
          <w:rStyle w:val="BodyText1"/>
          <w:sz w:val="24"/>
        </w:rPr>
        <w:t>ter under that sub-section on or after 1 October 1975 is, by force of this sub-section, revoked, and the Commonwealth Grants Commission shall not inquire, or inquire further, into, or report to the Minister on, any application so referred to the Grants Commission.</w:t>
      </w:r>
    </w:p>
    <w:p w14:paraId="6D9C0A29" w14:textId="1251B041" w:rsidR="00B10A8E" w:rsidRDefault="0044043B" w:rsidP="00482E1E">
      <w:pPr>
        <w:pStyle w:val="BodyText21"/>
        <w:spacing w:after="60" w:line="240" w:lineRule="auto"/>
        <w:ind w:firstLine="270"/>
        <w:rPr>
          <w:rStyle w:val="BodyText1"/>
          <w:sz w:val="24"/>
        </w:rPr>
      </w:pPr>
      <w:r w:rsidRPr="00FB4483">
        <w:rPr>
          <w:rStyle w:val="BodyText1"/>
          <w:sz w:val="24"/>
        </w:rPr>
        <w:t xml:space="preserve">(2) </w:t>
      </w:r>
      <w:r w:rsidR="00F82192" w:rsidRPr="00FB4483">
        <w:rPr>
          <w:rStyle w:val="BodyText1"/>
          <w:sz w:val="24"/>
        </w:rPr>
        <w:t>Notwithstanding the revocation by sub-section (1) of a reference of an application to the Grants Commission, the Commonwealth Grants Commission may, for the purpose of reporting on the matter referred to the Grants Commission on 31 March 1976 under</w:t>
      </w:r>
      <w:r w:rsidR="00482E1E">
        <w:rPr>
          <w:rStyle w:val="BodyText1"/>
          <w:sz w:val="24"/>
        </w:rPr>
        <w:t xml:space="preserve"> </w:t>
      </w:r>
      <w:r w:rsidR="009B422B" w:rsidRPr="00FB4483">
        <w:rPr>
          <w:rStyle w:val="BodyText1"/>
          <w:sz w:val="24"/>
        </w:rPr>
        <w:t>P</w:t>
      </w:r>
      <w:r w:rsidR="00F82192" w:rsidRPr="00FB4483">
        <w:rPr>
          <w:rStyle w:val="BodyText1"/>
          <w:sz w:val="24"/>
        </w:rPr>
        <w:t>aragraph</w:t>
      </w:r>
      <w:r w:rsidR="009B422B">
        <w:rPr>
          <w:rStyle w:val="BodyText1"/>
          <w:sz w:val="24"/>
        </w:rPr>
        <w:t xml:space="preserve"> </w:t>
      </w:r>
      <w:r w:rsidR="00F82192" w:rsidRPr="00FB4483">
        <w:rPr>
          <w:rStyle w:val="BodyText1"/>
          <w:sz w:val="24"/>
        </w:rPr>
        <w:t xml:space="preserve">16(c) of the Principal Act, have regard to any evidence taken by, and any information provided to, the Grants Commission before the commencement of this Act in </w:t>
      </w:r>
      <w:proofErr w:type="spellStart"/>
      <w:r w:rsidR="00F82192" w:rsidRPr="00FB4483">
        <w:rPr>
          <w:rStyle w:val="BodyText1"/>
          <w:sz w:val="24"/>
        </w:rPr>
        <w:t>connexion</w:t>
      </w:r>
      <w:proofErr w:type="spellEnd"/>
      <w:r w:rsidR="00F82192" w:rsidRPr="00FB4483">
        <w:rPr>
          <w:rStyle w:val="BodyText1"/>
          <w:sz w:val="24"/>
        </w:rPr>
        <w:t xml:space="preserve"> with its inquiry into that application.</w:t>
      </w:r>
    </w:p>
    <w:p w14:paraId="163EC00E" w14:textId="77777777" w:rsidR="00425575" w:rsidRPr="00FB4483" w:rsidRDefault="00425575" w:rsidP="00FB4483">
      <w:pPr>
        <w:pStyle w:val="BodyText21"/>
        <w:spacing w:line="240" w:lineRule="auto"/>
        <w:ind w:firstLine="0"/>
        <w:rPr>
          <w:sz w:val="24"/>
        </w:rPr>
      </w:pPr>
      <w:r>
        <w:rPr>
          <w:rStyle w:val="BodyText1"/>
          <w:sz w:val="24"/>
        </w:rPr>
        <w:t>_________________________________________________________________________________</w:t>
      </w:r>
    </w:p>
    <w:p w14:paraId="005AA7FD" w14:textId="77777777" w:rsidR="00425575" w:rsidRDefault="00425575" w:rsidP="00FB4483">
      <w:pPr>
        <w:pStyle w:val="Bodytext40"/>
        <w:spacing w:line="240" w:lineRule="auto"/>
        <w:ind w:firstLine="0"/>
        <w:jc w:val="both"/>
        <w:rPr>
          <w:sz w:val="24"/>
          <w:szCs w:val="22"/>
        </w:rPr>
      </w:pPr>
    </w:p>
    <w:sectPr w:rsidR="00425575" w:rsidSect="004112FE">
      <w:headerReference w:type="even" r:id="rId9"/>
      <w:headerReference w:type="default" r:id="rId10"/>
      <w:type w:val="continuous"/>
      <w:pgSz w:w="11909" w:h="18000" w:code="9"/>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78C8E0" w15:done="0"/>
  <w15:commentEx w15:paraId="6D164C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78C8E0" w16cid:durableId="1F58ACD0"/>
  <w16cid:commentId w16cid:paraId="6D164C4A" w16cid:durableId="1F58AC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0DB0D" w14:textId="77777777" w:rsidR="00260A36" w:rsidRDefault="00260A36">
      <w:r>
        <w:separator/>
      </w:r>
    </w:p>
  </w:endnote>
  <w:endnote w:type="continuationSeparator" w:id="0">
    <w:p w14:paraId="7B411E26" w14:textId="77777777" w:rsidR="00260A36" w:rsidRDefault="0026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2A132" w14:textId="77777777" w:rsidR="00260A36" w:rsidRDefault="00260A36"/>
  </w:footnote>
  <w:footnote w:type="continuationSeparator" w:id="0">
    <w:p w14:paraId="7306FCE5" w14:textId="77777777" w:rsidR="00260A36" w:rsidRDefault="00260A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9C92F" w14:textId="77777777" w:rsidR="004112FE" w:rsidRPr="004112FE" w:rsidRDefault="004112FE">
    <w:pPr>
      <w:pStyle w:val="Header"/>
      <w:rPr>
        <w:rFonts w:ascii="Times New Roman" w:hAnsi="Times New Roman" w:cs="Times New Roman"/>
        <w:sz w:val="22"/>
        <w:szCs w:val="22"/>
        <w:lang w:val="en-IN"/>
      </w:rPr>
    </w:pPr>
    <w:r w:rsidRPr="004112FE">
      <w:rPr>
        <w:rFonts w:ascii="Times New Roman" w:hAnsi="Times New Roman" w:cs="Times New Roman"/>
        <w:sz w:val="22"/>
        <w:szCs w:val="22"/>
        <w:lang w:val="en-IN"/>
      </w:rPr>
      <w:t>1976</w:t>
    </w:r>
    <w:r w:rsidRPr="004112FE">
      <w:rPr>
        <w:rFonts w:ascii="Times New Roman" w:hAnsi="Times New Roman" w:cs="Times New Roman"/>
        <w:sz w:val="22"/>
        <w:szCs w:val="22"/>
        <w:lang w:val="en-IN"/>
      </w:rPr>
      <w:tab/>
    </w:r>
    <w:r w:rsidRPr="004112FE">
      <w:rPr>
        <w:rFonts w:ascii="Times New Roman" w:hAnsi="Times New Roman" w:cs="Times New Roman"/>
        <w:i/>
        <w:iCs/>
        <w:color w:val="auto"/>
        <w:sz w:val="22"/>
        <w:szCs w:val="22"/>
        <w:lang w:val="en-IN"/>
      </w:rPr>
      <w:t>Commonwealth Grants Commission</w:t>
    </w:r>
    <w:r w:rsidRPr="004112FE">
      <w:rPr>
        <w:rFonts w:ascii="Times New Roman" w:hAnsi="Times New Roman" w:cs="Times New Roman"/>
        <w:i/>
        <w:iCs/>
        <w:color w:val="auto"/>
        <w:sz w:val="22"/>
        <w:szCs w:val="22"/>
        <w:lang w:val="en-IN"/>
      </w:rPr>
      <w:tab/>
    </w:r>
    <w:r w:rsidRPr="004112FE">
      <w:rPr>
        <w:rFonts w:ascii="Times New Roman" w:hAnsi="Times New Roman" w:cs="Times New Roman"/>
        <w:color w:val="auto"/>
        <w:sz w:val="22"/>
        <w:szCs w:val="22"/>
        <w:lang w:val="en-IN"/>
      </w:rPr>
      <w:t>No. 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C2B5F" w14:textId="77777777" w:rsidR="004112FE" w:rsidRPr="004112FE" w:rsidRDefault="004112FE">
    <w:pPr>
      <w:pStyle w:val="Header"/>
      <w:rPr>
        <w:rFonts w:ascii="Times New Roman" w:hAnsi="Times New Roman" w:cs="Times New Roman"/>
        <w:sz w:val="22"/>
        <w:szCs w:val="22"/>
        <w:lang w:val="en-IN"/>
      </w:rPr>
    </w:pPr>
    <w:r>
      <w:rPr>
        <w:rFonts w:ascii="Times New Roman" w:hAnsi="Times New Roman" w:cs="Times New Roman"/>
        <w:sz w:val="22"/>
        <w:szCs w:val="22"/>
        <w:lang w:val="en-IN"/>
      </w:rPr>
      <w:t>No. 47</w:t>
    </w:r>
    <w:r w:rsidRPr="004112FE">
      <w:rPr>
        <w:rFonts w:ascii="Times New Roman" w:hAnsi="Times New Roman" w:cs="Times New Roman"/>
        <w:sz w:val="22"/>
        <w:szCs w:val="22"/>
        <w:lang w:val="en-IN"/>
      </w:rPr>
      <w:tab/>
    </w:r>
    <w:r w:rsidRPr="004112FE">
      <w:rPr>
        <w:rFonts w:ascii="Times New Roman" w:hAnsi="Times New Roman" w:cs="Times New Roman"/>
        <w:i/>
        <w:iCs/>
        <w:color w:val="auto"/>
        <w:sz w:val="22"/>
        <w:szCs w:val="22"/>
        <w:lang w:val="en-IN"/>
      </w:rPr>
      <w:t>Commonwealth Grants Commission</w:t>
    </w:r>
    <w:r w:rsidRPr="004112FE">
      <w:rPr>
        <w:rFonts w:ascii="Times New Roman" w:hAnsi="Times New Roman" w:cs="Times New Roman"/>
        <w:i/>
        <w:iCs/>
        <w:color w:val="auto"/>
        <w:sz w:val="22"/>
        <w:szCs w:val="22"/>
        <w:lang w:val="en-IN"/>
      </w:rPr>
      <w:tab/>
    </w:r>
    <w:r>
      <w:rPr>
        <w:rFonts w:ascii="Times New Roman" w:hAnsi="Times New Roman" w:cs="Times New Roman"/>
        <w:color w:val="auto"/>
        <w:sz w:val="22"/>
        <w:szCs w:val="22"/>
        <w:lang w:val="en-IN"/>
      </w:rPr>
      <w:t>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8CB"/>
    <w:multiLevelType w:val="multilevel"/>
    <w:tmpl w:val="9BC415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8137B1"/>
    <w:multiLevelType w:val="multilevel"/>
    <w:tmpl w:val="95127B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372346"/>
    <w:multiLevelType w:val="hybridMultilevel"/>
    <w:tmpl w:val="C644B5CE"/>
    <w:lvl w:ilvl="0" w:tplc="8638A2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C06E51"/>
    <w:multiLevelType w:val="multilevel"/>
    <w:tmpl w:val="C7DCF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3B27C8"/>
    <w:multiLevelType w:val="multilevel"/>
    <w:tmpl w:val="AB5EB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7916DF"/>
    <w:multiLevelType w:val="multilevel"/>
    <w:tmpl w:val="4F587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2D6E59"/>
    <w:multiLevelType w:val="multilevel"/>
    <w:tmpl w:val="55089E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EA16BC"/>
    <w:multiLevelType w:val="multilevel"/>
    <w:tmpl w:val="C1C2E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F13B89"/>
    <w:multiLevelType w:val="multilevel"/>
    <w:tmpl w:val="65028D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C721EF"/>
    <w:multiLevelType w:val="multilevel"/>
    <w:tmpl w:val="148212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7"/>
  </w:num>
  <w:num w:numId="4">
    <w:abstractNumId w:val="5"/>
  </w:num>
  <w:num w:numId="5">
    <w:abstractNumId w:val="1"/>
  </w:num>
  <w:num w:numId="6">
    <w:abstractNumId w:val="6"/>
  </w:num>
  <w:num w:numId="7">
    <w:abstractNumId w:val="0"/>
  </w:num>
  <w:num w:numId="8">
    <w:abstractNumId w:val="9"/>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10A8E"/>
    <w:rsid w:val="00015BA2"/>
    <w:rsid w:val="000216FE"/>
    <w:rsid w:val="000755EA"/>
    <w:rsid w:val="0012648B"/>
    <w:rsid w:val="00200DEF"/>
    <w:rsid w:val="00260A36"/>
    <w:rsid w:val="00287074"/>
    <w:rsid w:val="00316B4F"/>
    <w:rsid w:val="00387502"/>
    <w:rsid w:val="003E1ECF"/>
    <w:rsid w:val="003E774F"/>
    <w:rsid w:val="004112FE"/>
    <w:rsid w:val="00425575"/>
    <w:rsid w:val="0044043B"/>
    <w:rsid w:val="00482E1E"/>
    <w:rsid w:val="005A1B59"/>
    <w:rsid w:val="006E4403"/>
    <w:rsid w:val="006E67FF"/>
    <w:rsid w:val="007A2742"/>
    <w:rsid w:val="00810D24"/>
    <w:rsid w:val="00845DFA"/>
    <w:rsid w:val="009704F0"/>
    <w:rsid w:val="009A58DA"/>
    <w:rsid w:val="009B422B"/>
    <w:rsid w:val="009F1BB4"/>
    <w:rsid w:val="00A05AD1"/>
    <w:rsid w:val="00A61E80"/>
    <w:rsid w:val="00B10A8E"/>
    <w:rsid w:val="00B86DE5"/>
    <w:rsid w:val="00CA0044"/>
    <w:rsid w:val="00CD5809"/>
    <w:rsid w:val="00CE70A4"/>
    <w:rsid w:val="00D05FC5"/>
    <w:rsid w:val="00E90865"/>
    <w:rsid w:val="00E93990"/>
    <w:rsid w:val="00ED0E32"/>
    <w:rsid w:val="00F82192"/>
    <w:rsid w:val="00FB44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7"/>
      <w:szCs w:val="17"/>
      <w:u w:val="none"/>
    </w:rPr>
  </w:style>
  <w:style w:type="character" w:customStyle="1" w:styleId="Bodytext2">
    <w:name w:val="Body text (2)_"/>
    <w:basedOn w:val="DefaultParagraphFont"/>
    <w:link w:val="Bodytext20"/>
    <w:rPr>
      <w:rFonts w:ascii="Segoe UI" w:eastAsia="Segoe UI" w:hAnsi="Segoe UI" w:cs="Segoe UI"/>
      <w:b/>
      <w:bCs/>
      <w:i w:val="0"/>
      <w:iCs w:val="0"/>
      <w:smallCaps w:val="0"/>
      <w:strike w:val="0"/>
      <w:sz w:val="28"/>
      <w:szCs w:val="28"/>
      <w:u w:val="none"/>
    </w:rPr>
  </w:style>
  <w:style w:type="character" w:customStyle="1" w:styleId="Heading12">
    <w:name w:val="Heading #1 (2)_"/>
    <w:basedOn w:val="DefaultParagraphFont"/>
    <w:link w:val="Heading120"/>
    <w:rPr>
      <w:rFonts w:ascii="Segoe UI" w:eastAsia="Segoe UI" w:hAnsi="Segoe UI" w:cs="Segoe UI"/>
      <w:b/>
      <w:bCs/>
      <w:i w:val="0"/>
      <w:iCs w:val="0"/>
      <w:smallCaps w:val="0"/>
      <w:strike w:val="0"/>
      <w:sz w:val="25"/>
      <w:szCs w:val="25"/>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paragraph" w:customStyle="1" w:styleId="Bodytext50">
    <w:name w:val="Body text (5)"/>
    <w:basedOn w:val="Normal"/>
    <w:link w:val="Bodytext5"/>
    <w:pPr>
      <w:spacing w:line="168" w:lineRule="exact"/>
      <w:jc w:val="both"/>
    </w:pPr>
    <w:rPr>
      <w:rFonts w:ascii="Times New Roman" w:eastAsia="Times New Roman" w:hAnsi="Times New Roman" w:cs="Times New Roman"/>
      <w:sz w:val="17"/>
      <w:szCs w:val="17"/>
    </w:rPr>
  </w:style>
  <w:style w:type="paragraph" w:customStyle="1" w:styleId="Bodytext20">
    <w:name w:val="Body text (2)"/>
    <w:basedOn w:val="Normal"/>
    <w:link w:val="Bodytext2"/>
    <w:pPr>
      <w:spacing w:line="0" w:lineRule="atLeast"/>
      <w:jc w:val="center"/>
    </w:pPr>
    <w:rPr>
      <w:rFonts w:ascii="Segoe UI" w:eastAsia="Segoe UI" w:hAnsi="Segoe UI" w:cs="Segoe UI"/>
      <w:b/>
      <w:bCs/>
      <w:sz w:val="28"/>
      <w:szCs w:val="28"/>
    </w:rPr>
  </w:style>
  <w:style w:type="paragraph" w:customStyle="1" w:styleId="Heading120">
    <w:name w:val="Heading #1 (2)"/>
    <w:basedOn w:val="Normal"/>
    <w:link w:val="Heading12"/>
    <w:pPr>
      <w:spacing w:line="0" w:lineRule="atLeast"/>
      <w:jc w:val="center"/>
      <w:outlineLvl w:val="0"/>
    </w:pPr>
    <w:rPr>
      <w:rFonts w:ascii="Segoe UI" w:eastAsia="Segoe UI" w:hAnsi="Segoe UI" w:cs="Segoe UI"/>
      <w:b/>
      <w:bCs/>
      <w:sz w:val="25"/>
      <w:szCs w:val="25"/>
    </w:rPr>
  </w:style>
  <w:style w:type="paragraph" w:customStyle="1" w:styleId="BodyText21">
    <w:name w:val="Body Text2"/>
    <w:basedOn w:val="Normal"/>
    <w:link w:val="Bodytext"/>
    <w:pPr>
      <w:spacing w:line="0" w:lineRule="atLeast"/>
      <w:ind w:hanging="640"/>
      <w:jc w:val="both"/>
    </w:pPr>
    <w:rPr>
      <w:rFonts w:ascii="Times New Roman" w:eastAsia="Times New Roman" w:hAnsi="Times New Roman" w:cs="Times New Roman"/>
      <w:sz w:val="22"/>
      <w:szCs w:val="22"/>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i/>
      <w:iCs/>
      <w:sz w:val="22"/>
      <w:szCs w:val="22"/>
    </w:rPr>
  </w:style>
  <w:style w:type="paragraph" w:customStyle="1" w:styleId="Bodytext40">
    <w:name w:val="Body text (4)"/>
    <w:basedOn w:val="Normal"/>
    <w:link w:val="Bodytext4"/>
    <w:pPr>
      <w:spacing w:line="0" w:lineRule="atLeast"/>
      <w:ind w:hanging="280"/>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4112FE"/>
    <w:pPr>
      <w:tabs>
        <w:tab w:val="center" w:pos="4513"/>
        <w:tab w:val="right" w:pos="9026"/>
      </w:tabs>
    </w:pPr>
  </w:style>
  <w:style w:type="character" w:customStyle="1" w:styleId="HeaderChar">
    <w:name w:val="Header Char"/>
    <w:basedOn w:val="DefaultParagraphFont"/>
    <w:link w:val="Header"/>
    <w:uiPriority w:val="99"/>
    <w:rsid w:val="004112FE"/>
    <w:rPr>
      <w:color w:val="000000"/>
    </w:rPr>
  </w:style>
  <w:style w:type="paragraph" w:styleId="Footer">
    <w:name w:val="footer"/>
    <w:basedOn w:val="Normal"/>
    <w:link w:val="FooterChar"/>
    <w:uiPriority w:val="99"/>
    <w:unhideWhenUsed/>
    <w:rsid w:val="004112FE"/>
    <w:pPr>
      <w:tabs>
        <w:tab w:val="center" w:pos="4513"/>
        <w:tab w:val="right" w:pos="9026"/>
      </w:tabs>
    </w:pPr>
  </w:style>
  <w:style w:type="character" w:customStyle="1" w:styleId="FooterChar">
    <w:name w:val="Footer Char"/>
    <w:basedOn w:val="DefaultParagraphFont"/>
    <w:link w:val="Footer"/>
    <w:uiPriority w:val="99"/>
    <w:rsid w:val="004112FE"/>
    <w:rPr>
      <w:color w:val="000000"/>
    </w:rPr>
  </w:style>
  <w:style w:type="character" w:styleId="CommentReference">
    <w:name w:val="annotation reference"/>
    <w:basedOn w:val="DefaultParagraphFont"/>
    <w:uiPriority w:val="99"/>
    <w:semiHidden/>
    <w:unhideWhenUsed/>
    <w:rsid w:val="006E67FF"/>
    <w:rPr>
      <w:sz w:val="16"/>
      <w:szCs w:val="16"/>
    </w:rPr>
  </w:style>
  <w:style w:type="paragraph" w:styleId="CommentText">
    <w:name w:val="annotation text"/>
    <w:basedOn w:val="Normal"/>
    <w:link w:val="CommentTextChar"/>
    <w:uiPriority w:val="99"/>
    <w:semiHidden/>
    <w:unhideWhenUsed/>
    <w:rsid w:val="006E67FF"/>
    <w:rPr>
      <w:sz w:val="20"/>
      <w:szCs w:val="20"/>
    </w:rPr>
  </w:style>
  <w:style w:type="character" w:customStyle="1" w:styleId="CommentTextChar">
    <w:name w:val="Comment Text Char"/>
    <w:basedOn w:val="DefaultParagraphFont"/>
    <w:link w:val="CommentText"/>
    <w:uiPriority w:val="99"/>
    <w:semiHidden/>
    <w:rsid w:val="006E67FF"/>
    <w:rPr>
      <w:color w:val="000000"/>
      <w:sz w:val="20"/>
      <w:szCs w:val="20"/>
    </w:rPr>
  </w:style>
  <w:style w:type="paragraph" w:styleId="CommentSubject">
    <w:name w:val="annotation subject"/>
    <w:basedOn w:val="CommentText"/>
    <w:next w:val="CommentText"/>
    <w:link w:val="CommentSubjectChar"/>
    <w:uiPriority w:val="99"/>
    <w:semiHidden/>
    <w:unhideWhenUsed/>
    <w:rsid w:val="006E67FF"/>
    <w:rPr>
      <w:b/>
      <w:bCs/>
    </w:rPr>
  </w:style>
  <w:style w:type="character" w:customStyle="1" w:styleId="CommentSubjectChar">
    <w:name w:val="Comment Subject Char"/>
    <w:basedOn w:val="CommentTextChar"/>
    <w:link w:val="CommentSubject"/>
    <w:uiPriority w:val="99"/>
    <w:semiHidden/>
    <w:rsid w:val="006E67FF"/>
    <w:rPr>
      <w:b/>
      <w:bCs/>
      <w:color w:val="000000"/>
      <w:sz w:val="20"/>
      <w:szCs w:val="20"/>
    </w:rPr>
  </w:style>
  <w:style w:type="paragraph" w:styleId="BalloonText">
    <w:name w:val="Balloon Text"/>
    <w:basedOn w:val="Normal"/>
    <w:link w:val="BalloonTextChar"/>
    <w:uiPriority w:val="99"/>
    <w:semiHidden/>
    <w:unhideWhenUsed/>
    <w:rsid w:val="006E6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7FF"/>
    <w:rPr>
      <w:rFonts w:ascii="Segoe UI" w:hAnsi="Segoe UI" w:cs="Segoe UI"/>
      <w:color w:val="000000"/>
      <w:sz w:val="18"/>
      <w:szCs w:val="18"/>
    </w:rPr>
  </w:style>
  <w:style w:type="paragraph" w:styleId="Revision">
    <w:name w:val="Revision"/>
    <w:hidden/>
    <w:uiPriority w:val="99"/>
    <w:semiHidden/>
    <w:rsid w:val="00482E1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AF8D-F26B-4C70-A924-801CE500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3</cp:revision>
  <dcterms:created xsi:type="dcterms:W3CDTF">2018-09-28T03:37:00Z</dcterms:created>
  <dcterms:modified xsi:type="dcterms:W3CDTF">2019-08-05T22:30:00Z</dcterms:modified>
</cp:coreProperties>
</file>