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FB8A3" w14:textId="77777777" w:rsidR="00AD6685" w:rsidRPr="007659A1" w:rsidRDefault="00AD6685" w:rsidP="00AD6685">
      <w:pPr>
        <w:spacing w:after="60"/>
        <w:jc w:val="center"/>
        <w:rPr>
          <w:rFonts w:ascii="Times New Roman" w:hAnsi="Times New Roman" w:cs="Times New Roman"/>
          <w:b/>
          <w:sz w:val="32"/>
          <w:szCs w:val="32"/>
        </w:rPr>
      </w:pPr>
      <w:bookmarkStart w:id="0" w:name="bookmark0"/>
      <w:r w:rsidRPr="007659A1">
        <w:rPr>
          <w:rFonts w:ascii="Times New Roman" w:hAnsi="Times New Roman" w:cs="Times New Roman"/>
          <w:b/>
          <w:sz w:val="32"/>
          <w:szCs w:val="32"/>
        </w:rPr>
        <w:t>STEVEDORING INDUSTRY (TEMPORARY</w:t>
      </w:r>
    </w:p>
    <w:p w14:paraId="172B0F79" w14:textId="77777777" w:rsidR="00436E15" w:rsidRPr="007659A1" w:rsidRDefault="00FC5552" w:rsidP="00AD6685">
      <w:pPr>
        <w:spacing w:after="240"/>
        <w:jc w:val="center"/>
        <w:rPr>
          <w:rFonts w:ascii="Times New Roman" w:hAnsi="Times New Roman" w:cs="Times New Roman"/>
          <w:b/>
          <w:sz w:val="32"/>
          <w:szCs w:val="32"/>
        </w:rPr>
      </w:pPr>
      <w:r w:rsidRPr="007659A1">
        <w:rPr>
          <w:rFonts w:ascii="Times New Roman" w:hAnsi="Times New Roman" w:cs="Times New Roman"/>
          <w:b/>
          <w:sz w:val="32"/>
          <w:szCs w:val="32"/>
        </w:rPr>
        <w:t>PROVISIONS) AMENDMENT ACT 1976</w:t>
      </w:r>
      <w:bookmarkEnd w:id="0"/>
    </w:p>
    <w:p w14:paraId="69FD48A8" w14:textId="77777777" w:rsidR="00436E15" w:rsidRPr="007659A1" w:rsidRDefault="00FC5552" w:rsidP="00AD6685">
      <w:pPr>
        <w:spacing w:after="240"/>
        <w:jc w:val="center"/>
        <w:rPr>
          <w:rFonts w:ascii="Times New Roman" w:hAnsi="Times New Roman" w:cs="Times New Roman"/>
          <w:b/>
          <w:sz w:val="28"/>
          <w:szCs w:val="28"/>
        </w:rPr>
      </w:pPr>
      <w:bookmarkStart w:id="1" w:name="bookmark1"/>
      <w:r w:rsidRPr="007659A1">
        <w:rPr>
          <w:rFonts w:ascii="Times New Roman" w:hAnsi="Times New Roman" w:cs="Times New Roman"/>
          <w:b/>
          <w:sz w:val="28"/>
          <w:szCs w:val="28"/>
        </w:rPr>
        <w:t>No. 48 of 1976</w:t>
      </w:r>
      <w:bookmarkEnd w:id="1"/>
    </w:p>
    <w:p w14:paraId="34D93B9C" w14:textId="77777777" w:rsidR="00436E15" w:rsidRPr="00AD6685" w:rsidRDefault="00FC5552" w:rsidP="00AD6685">
      <w:pPr>
        <w:pStyle w:val="Bodytext20"/>
        <w:spacing w:after="240" w:line="240" w:lineRule="auto"/>
        <w:jc w:val="both"/>
        <w:rPr>
          <w:sz w:val="24"/>
        </w:rPr>
      </w:pPr>
      <w:r w:rsidRPr="00AD6685">
        <w:rPr>
          <w:rStyle w:val="Bodytext2NotItalic"/>
          <w:sz w:val="24"/>
        </w:rPr>
        <w:t xml:space="preserve">An Act to amend the </w:t>
      </w:r>
      <w:r w:rsidRPr="00AD6685">
        <w:rPr>
          <w:rStyle w:val="Bodytext21"/>
          <w:i/>
          <w:iCs/>
          <w:sz w:val="24"/>
        </w:rPr>
        <w:t xml:space="preserve">Stevedoring Industry (Temporary Provisions) Act </w:t>
      </w:r>
      <w:r w:rsidRPr="00AD6685">
        <w:rPr>
          <w:rStyle w:val="Bodytext2NotItalic"/>
          <w:sz w:val="24"/>
        </w:rPr>
        <w:t>1967-1974.</w:t>
      </w:r>
    </w:p>
    <w:p w14:paraId="0CD09CB4" w14:textId="768A4BDF" w:rsidR="00436E15" w:rsidRPr="00AD6685" w:rsidRDefault="00FC5552" w:rsidP="00AD6685">
      <w:pPr>
        <w:pStyle w:val="BodyText1"/>
        <w:spacing w:line="240" w:lineRule="auto"/>
        <w:ind w:firstLine="270"/>
        <w:rPr>
          <w:sz w:val="24"/>
        </w:rPr>
      </w:pPr>
      <w:r w:rsidRPr="00AD6685">
        <w:rPr>
          <w:sz w:val="24"/>
        </w:rPr>
        <w:t>BE IT ENACTED by the Queen, and the Senate and House of Representatives of the Commonwealth of Australia, as follows:—</w:t>
      </w:r>
    </w:p>
    <w:p w14:paraId="3A184E61" w14:textId="77777777" w:rsidR="00436E15" w:rsidRPr="00AD6685" w:rsidRDefault="00FC5552" w:rsidP="00AD6685">
      <w:pPr>
        <w:pStyle w:val="Bodytext30"/>
        <w:spacing w:before="120" w:after="60" w:line="240" w:lineRule="auto"/>
        <w:rPr>
          <w:b/>
          <w:sz w:val="20"/>
          <w:szCs w:val="20"/>
        </w:rPr>
      </w:pPr>
      <w:r w:rsidRPr="00AD6685">
        <w:rPr>
          <w:b/>
          <w:sz w:val="20"/>
          <w:szCs w:val="20"/>
        </w:rPr>
        <w:t>Short title and citation.</w:t>
      </w:r>
    </w:p>
    <w:p w14:paraId="5183A06D" w14:textId="7D9FEA8E" w:rsidR="00436E15" w:rsidRPr="00083D92" w:rsidRDefault="00DF7FA4" w:rsidP="009F5F42">
      <w:pPr>
        <w:pStyle w:val="Bodytext20"/>
        <w:spacing w:after="120" w:line="240" w:lineRule="auto"/>
        <w:ind w:firstLine="270"/>
        <w:jc w:val="both"/>
        <w:rPr>
          <w:sz w:val="24"/>
          <w:vertAlign w:val="superscript"/>
        </w:rPr>
      </w:pPr>
      <w:r w:rsidRPr="00AD6685">
        <w:rPr>
          <w:rStyle w:val="Bodytext2NotItalic0"/>
          <w:b/>
          <w:spacing w:val="0"/>
          <w:sz w:val="24"/>
        </w:rPr>
        <w:t>1.</w:t>
      </w:r>
      <w:r w:rsidRPr="00AD6685">
        <w:rPr>
          <w:rStyle w:val="Bodytext2NotItalic0"/>
          <w:spacing w:val="0"/>
          <w:sz w:val="24"/>
        </w:rPr>
        <w:t xml:space="preserve"> </w:t>
      </w:r>
      <w:r w:rsidR="00FC5552" w:rsidRPr="00AD6685">
        <w:rPr>
          <w:rStyle w:val="Bodytext2NotItalic0"/>
          <w:spacing w:val="0"/>
          <w:sz w:val="24"/>
        </w:rPr>
        <w:t>(1)</w:t>
      </w:r>
      <w:r w:rsidR="00FC5552" w:rsidRPr="00AD6685">
        <w:rPr>
          <w:rStyle w:val="Bodytext2NotItalic"/>
          <w:sz w:val="24"/>
        </w:rPr>
        <w:t xml:space="preserve"> This Act may be cited as the </w:t>
      </w:r>
      <w:r w:rsidR="00FC5552" w:rsidRPr="00AD6685">
        <w:rPr>
          <w:rStyle w:val="Bodytext21"/>
          <w:i/>
          <w:iCs/>
          <w:sz w:val="24"/>
        </w:rPr>
        <w:t>Stevedoring Industry (Temporary</w:t>
      </w:r>
      <w:r w:rsidR="009F5F42">
        <w:rPr>
          <w:rStyle w:val="Bodytext21"/>
          <w:i/>
          <w:iCs/>
          <w:sz w:val="24"/>
        </w:rPr>
        <w:t xml:space="preserve"> </w:t>
      </w:r>
      <w:r w:rsidR="00FC5552" w:rsidRPr="00AD6685">
        <w:rPr>
          <w:rStyle w:val="Bodytext21"/>
          <w:i/>
          <w:iCs/>
          <w:sz w:val="24"/>
        </w:rPr>
        <w:t>Provisions) Amendment Act</w:t>
      </w:r>
      <w:r w:rsidR="00FC5552" w:rsidRPr="00AD6685">
        <w:rPr>
          <w:rStyle w:val="Bodytext2NotItalic"/>
          <w:sz w:val="24"/>
        </w:rPr>
        <w:t xml:space="preserve"> 1976.</w:t>
      </w:r>
    </w:p>
    <w:p w14:paraId="41AE507C" w14:textId="328D9BD4" w:rsidR="00436E15" w:rsidRPr="00AD6685" w:rsidRDefault="00DF7FA4" w:rsidP="009F5F42">
      <w:pPr>
        <w:pStyle w:val="BodyText1"/>
        <w:spacing w:after="120" w:line="240" w:lineRule="auto"/>
        <w:ind w:firstLine="270"/>
        <w:rPr>
          <w:sz w:val="24"/>
        </w:rPr>
      </w:pPr>
      <w:r w:rsidRPr="00AD6685">
        <w:rPr>
          <w:sz w:val="24"/>
        </w:rPr>
        <w:t>(2)</w:t>
      </w:r>
      <w:r w:rsidR="00FC5552" w:rsidRPr="00AD6685">
        <w:rPr>
          <w:sz w:val="24"/>
        </w:rPr>
        <w:t xml:space="preserve"> The </w:t>
      </w:r>
      <w:r w:rsidR="00FC5552" w:rsidRPr="00AD6685">
        <w:rPr>
          <w:rStyle w:val="BodytextItalic"/>
          <w:sz w:val="24"/>
        </w:rPr>
        <w:t xml:space="preserve">Stevedoring Industry (Temporary Provisions) Act </w:t>
      </w:r>
      <w:r w:rsidR="00FC5552" w:rsidRPr="00AD6685">
        <w:rPr>
          <w:sz w:val="24"/>
        </w:rPr>
        <w:t>1967-1974 is in this Act referred to as the Principal Act.</w:t>
      </w:r>
    </w:p>
    <w:p w14:paraId="57528B8C" w14:textId="77777777" w:rsidR="00436E15" w:rsidRPr="00AD6685" w:rsidRDefault="00DF7FA4" w:rsidP="009F5F42">
      <w:pPr>
        <w:pStyle w:val="BodyText1"/>
        <w:spacing w:line="240" w:lineRule="auto"/>
        <w:ind w:firstLine="270"/>
        <w:rPr>
          <w:sz w:val="24"/>
        </w:rPr>
      </w:pPr>
      <w:r w:rsidRPr="00AD6685">
        <w:rPr>
          <w:sz w:val="24"/>
        </w:rPr>
        <w:t xml:space="preserve">(3) </w:t>
      </w:r>
      <w:r w:rsidR="00FC5552" w:rsidRPr="00AD6685">
        <w:rPr>
          <w:sz w:val="24"/>
        </w:rPr>
        <w:t xml:space="preserve">The Principal Act, as amended by this Act, may be cited as the </w:t>
      </w:r>
      <w:r w:rsidR="00FC5552" w:rsidRPr="00AD6685">
        <w:rPr>
          <w:rStyle w:val="BodytextItalic"/>
          <w:sz w:val="24"/>
        </w:rPr>
        <w:t>Stevedoring Industry (Temporary Provisions) Act</w:t>
      </w:r>
      <w:r w:rsidR="00FC5552" w:rsidRPr="00AD6685">
        <w:rPr>
          <w:sz w:val="24"/>
        </w:rPr>
        <w:t xml:space="preserve"> 1967-1976.</w:t>
      </w:r>
    </w:p>
    <w:p w14:paraId="14C06649" w14:textId="77777777" w:rsidR="00436E15" w:rsidRPr="009F5F42" w:rsidRDefault="00DF7FA4" w:rsidP="009F5F42">
      <w:pPr>
        <w:pStyle w:val="Bodytext30"/>
        <w:spacing w:before="120" w:after="60" w:line="240" w:lineRule="auto"/>
        <w:rPr>
          <w:b/>
          <w:sz w:val="20"/>
          <w:szCs w:val="20"/>
        </w:rPr>
      </w:pPr>
      <w:r w:rsidRPr="009F5F42">
        <w:rPr>
          <w:b/>
          <w:sz w:val="20"/>
          <w:szCs w:val="20"/>
        </w:rPr>
        <w:t>Commence</w:t>
      </w:r>
      <w:r w:rsidR="00FC5552" w:rsidRPr="009F5F42">
        <w:rPr>
          <w:b/>
          <w:sz w:val="20"/>
          <w:szCs w:val="20"/>
        </w:rPr>
        <w:t>ment.</w:t>
      </w:r>
    </w:p>
    <w:p w14:paraId="3420ABA1" w14:textId="7AF641EB" w:rsidR="00436E15" w:rsidRPr="00AD6685" w:rsidRDefault="00DF7FA4" w:rsidP="009F5F42">
      <w:pPr>
        <w:pStyle w:val="BodyText1"/>
        <w:tabs>
          <w:tab w:val="left" w:pos="630"/>
        </w:tabs>
        <w:spacing w:after="120" w:line="240" w:lineRule="auto"/>
        <w:ind w:firstLine="270"/>
        <w:rPr>
          <w:sz w:val="24"/>
        </w:rPr>
      </w:pPr>
      <w:r w:rsidRPr="009F5F42">
        <w:rPr>
          <w:b/>
          <w:sz w:val="24"/>
        </w:rPr>
        <w:t>2.</w:t>
      </w:r>
      <w:r w:rsidR="009F5F42">
        <w:rPr>
          <w:sz w:val="24"/>
        </w:rPr>
        <w:tab/>
      </w:r>
      <w:r w:rsidR="00FC5552" w:rsidRPr="00AD6685">
        <w:rPr>
          <w:sz w:val="24"/>
        </w:rPr>
        <w:t>This Act shall come into operation on the day on which it receives the Royal Assent.</w:t>
      </w:r>
    </w:p>
    <w:p w14:paraId="6465004D" w14:textId="77777777" w:rsidR="00DF7FA4" w:rsidRPr="009F5F42" w:rsidRDefault="00DF7FA4" w:rsidP="009F5F42">
      <w:pPr>
        <w:pStyle w:val="BodyText1"/>
        <w:spacing w:before="120" w:after="60" w:line="240" w:lineRule="auto"/>
        <w:ind w:firstLine="0"/>
        <w:rPr>
          <w:b/>
          <w:sz w:val="20"/>
          <w:szCs w:val="20"/>
        </w:rPr>
      </w:pPr>
      <w:r w:rsidRPr="009F5F42">
        <w:rPr>
          <w:b/>
          <w:sz w:val="20"/>
          <w:szCs w:val="20"/>
        </w:rPr>
        <w:t>Cessation of operation of Act.</w:t>
      </w:r>
    </w:p>
    <w:p w14:paraId="11C96863" w14:textId="24A8C218" w:rsidR="00436E15" w:rsidRDefault="00DF7FA4" w:rsidP="009F5F42">
      <w:pPr>
        <w:pStyle w:val="BodyText1"/>
        <w:tabs>
          <w:tab w:val="left" w:pos="630"/>
        </w:tabs>
        <w:spacing w:after="120" w:line="240" w:lineRule="auto"/>
        <w:ind w:firstLine="270"/>
        <w:rPr>
          <w:sz w:val="24"/>
        </w:rPr>
      </w:pPr>
      <w:r w:rsidRPr="009F5F42">
        <w:rPr>
          <w:b/>
          <w:sz w:val="24"/>
        </w:rPr>
        <w:t>3.</w:t>
      </w:r>
      <w:r w:rsidR="009F5F42">
        <w:rPr>
          <w:sz w:val="24"/>
        </w:rPr>
        <w:tab/>
      </w:r>
      <w:r w:rsidR="00FC5552" w:rsidRPr="00AD6685">
        <w:rPr>
          <w:sz w:val="24"/>
        </w:rPr>
        <w:t xml:space="preserve">Section 4 of the Principal Act is amended by </w:t>
      </w:r>
      <w:r w:rsidR="001151BC">
        <w:rPr>
          <w:sz w:val="24"/>
        </w:rPr>
        <w:t>omitting the word and figures “</w:t>
      </w:r>
      <w:r w:rsidR="00FC5552" w:rsidRPr="00AD6685">
        <w:rPr>
          <w:sz w:val="24"/>
        </w:rPr>
        <w:t>1 July 1976</w:t>
      </w:r>
      <w:r w:rsidR="001151BC">
        <w:rPr>
          <w:sz w:val="24"/>
        </w:rPr>
        <w:t>”</w:t>
      </w:r>
      <w:r w:rsidR="00FC5552" w:rsidRPr="00AD6685">
        <w:rPr>
          <w:sz w:val="24"/>
        </w:rPr>
        <w:t xml:space="preserve"> and substituting the word and figures “1 January 1977”.</w:t>
      </w:r>
    </w:p>
    <w:p w14:paraId="76B64C58" w14:textId="77777777" w:rsidR="00083D92" w:rsidRPr="00083D92" w:rsidRDefault="00083D92" w:rsidP="00083D92">
      <w:pPr>
        <w:pStyle w:val="Bodytext30"/>
        <w:spacing w:after="120" w:line="240" w:lineRule="auto"/>
        <w:rPr>
          <w:b/>
          <w:sz w:val="20"/>
          <w:szCs w:val="20"/>
        </w:rPr>
      </w:pPr>
      <w:r w:rsidRPr="00083D92">
        <w:rPr>
          <w:b/>
          <w:sz w:val="20"/>
          <w:szCs w:val="20"/>
        </w:rPr>
        <w:t>Refund of part of charge in respect of certain waterside workers employed by Fremantle Port Authority.</w:t>
      </w:r>
    </w:p>
    <w:p w14:paraId="4A9BB684" w14:textId="76FCE2E4" w:rsidR="00436E15" w:rsidRPr="00AD6685" w:rsidRDefault="009F5F42" w:rsidP="009F5F42">
      <w:pPr>
        <w:pStyle w:val="BodyText1"/>
        <w:tabs>
          <w:tab w:val="left" w:pos="630"/>
        </w:tabs>
        <w:spacing w:line="240" w:lineRule="auto"/>
        <w:ind w:firstLine="270"/>
        <w:rPr>
          <w:sz w:val="24"/>
        </w:rPr>
      </w:pPr>
      <w:r w:rsidRPr="009F5F42">
        <w:rPr>
          <w:rStyle w:val="Bodytext95pt"/>
          <w:sz w:val="24"/>
          <w:szCs w:val="22"/>
        </w:rPr>
        <w:t>4.</w:t>
      </w:r>
      <w:r>
        <w:rPr>
          <w:rStyle w:val="Bodytext95pt"/>
          <w:b w:val="0"/>
          <w:sz w:val="24"/>
          <w:szCs w:val="22"/>
        </w:rPr>
        <w:tab/>
      </w:r>
      <w:r w:rsidR="00FC5552" w:rsidRPr="00AD6685">
        <w:rPr>
          <w:sz w:val="24"/>
        </w:rPr>
        <w:t>After section 7</w:t>
      </w:r>
      <w:r w:rsidR="00FC5552" w:rsidRPr="00B84036">
        <w:rPr>
          <w:smallCaps/>
          <w:sz w:val="24"/>
        </w:rPr>
        <w:t>b</w:t>
      </w:r>
      <w:r w:rsidR="00FC5552" w:rsidRPr="00AD6685">
        <w:rPr>
          <w:sz w:val="24"/>
        </w:rPr>
        <w:t xml:space="preserve"> of the Principal Act the following section is inserted:—</w:t>
      </w:r>
    </w:p>
    <w:p w14:paraId="52B5CB2E" w14:textId="0532553E" w:rsidR="00436E15" w:rsidRPr="00AD6685" w:rsidRDefault="00FC5552" w:rsidP="00B84036">
      <w:pPr>
        <w:pStyle w:val="BodyText1"/>
        <w:spacing w:after="120" w:line="240" w:lineRule="auto"/>
        <w:ind w:firstLine="270"/>
        <w:rPr>
          <w:sz w:val="24"/>
        </w:rPr>
      </w:pPr>
      <w:r w:rsidRPr="00AD6685">
        <w:rPr>
          <w:sz w:val="24"/>
        </w:rPr>
        <w:t>“7</w:t>
      </w:r>
      <w:r w:rsidR="001151BC">
        <w:rPr>
          <w:smallCaps/>
          <w:sz w:val="24"/>
        </w:rPr>
        <w:t>c</w:t>
      </w:r>
      <w:r w:rsidRPr="00AD6685">
        <w:rPr>
          <w:sz w:val="24"/>
        </w:rPr>
        <w:t>. (1) This section applies to persons—</w:t>
      </w:r>
    </w:p>
    <w:p w14:paraId="23408CC3" w14:textId="77777777" w:rsidR="00436E15" w:rsidRPr="00AD6685" w:rsidRDefault="00DF7FA4" w:rsidP="00B84036">
      <w:pPr>
        <w:pStyle w:val="BodyText1"/>
        <w:spacing w:after="60" w:line="240" w:lineRule="auto"/>
        <w:ind w:left="675" w:hanging="405"/>
        <w:rPr>
          <w:sz w:val="24"/>
        </w:rPr>
      </w:pPr>
      <w:r w:rsidRPr="00AD6685">
        <w:rPr>
          <w:sz w:val="24"/>
        </w:rPr>
        <w:t>(a)</w:t>
      </w:r>
      <w:r w:rsidR="00B84036">
        <w:rPr>
          <w:sz w:val="24"/>
        </w:rPr>
        <w:t xml:space="preserve"> </w:t>
      </w:r>
      <w:r w:rsidR="00FC5552" w:rsidRPr="00AD6685">
        <w:rPr>
          <w:sz w:val="24"/>
        </w:rPr>
        <w:t>who are employed by the Fremantle Port Authority as crane drivers and have been so employed continuously since before the commencement of this section;</w:t>
      </w:r>
    </w:p>
    <w:p w14:paraId="7E64E1A3" w14:textId="77777777" w:rsidR="00436E15" w:rsidRPr="00AD6685" w:rsidRDefault="00DF7FA4" w:rsidP="00B84036">
      <w:pPr>
        <w:pStyle w:val="BodyText1"/>
        <w:spacing w:after="60" w:line="240" w:lineRule="auto"/>
        <w:ind w:left="675" w:hanging="405"/>
        <w:rPr>
          <w:sz w:val="24"/>
        </w:rPr>
      </w:pPr>
      <w:r w:rsidRPr="00AD6685">
        <w:rPr>
          <w:sz w:val="24"/>
        </w:rPr>
        <w:t>(</w:t>
      </w:r>
      <w:r w:rsidR="00B84036">
        <w:rPr>
          <w:sz w:val="24"/>
        </w:rPr>
        <w:t>b</w:t>
      </w:r>
      <w:r w:rsidRPr="00AD6685">
        <w:rPr>
          <w:sz w:val="24"/>
        </w:rPr>
        <w:t xml:space="preserve">) </w:t>
      </w:r>
      <w:r w:rsidR="00FC5552" w:rsidRPr="00AD6685">
        <w:rPr>
          <w:sz w:val="24"/>
        </w:rPr>
        <w:t>who are registered as waterside workers under the Stevedoring Industry Act; and</w:t>
      </w:r>
    </w:p>
    <w:p w14:paraId="7F313162" w14:textId="77777777" w:rsidR="00436E15" w:rsidRPr="00AD6685" w:rsidRDefault="00DF7FA4" w:rsidP="00B84036">
      <w:pPr>
        <w:pStyle w:val="BodyText1"/>
        <w:spacing w:after="60" w:line="240" w:lineRule="auto"/>
        <w:ind w:left="675" w:hanging="405"/>
        <w:rPr>
          <w:sz w:val="24"/>
        </w:rPr>
      </w:pPr>
      <w:r w:rsidRPr="00AD6685">
        <w:rPr>
          <w:sz w:val="24"/>
        </w:rPr>
        <w:t>(</w:t>
      </w:r>
      <w:r w:rsidR="00B84036">
        <w:rPr>
          <w:sz w:val="24"/>
        </w:rPr>
        <w:t>c</w:t>
      </w:r>
      <w:r w:rsidRPr="00AD6685">
        <w:rPr>
          <w:sz w:val="24"/>
        </w:rPr>
        <w:t xml:space="preserve">) </w:t>
      </w:r>
      <w:r w:rsidR="00FC5552" w:rsidRPr="00AD6685">
        <w:rPr>
          <w:sz w:val="24"/>
        </w:rPr>
        <w:t>in respect of whom the Fremantle Port Authority is liable to pay long service leave benefits and contributions for superannuation benefits.</w:t>
      </w:r>
    </w:p>
    <w:p w14:paraId="6833AA6A" w14:textId="7FFFFF23" w:rsidR="00436E15" w:rsidRPr="00AD6685" w:rsidRDefault="00FC5552" w:rsidP="001151BC">
      <w:pPr>
        <w:pStyle w:val="BodyText1"/>
        <w:spacing w:line="240" w:lineRule="auto"/>
        <w:ind w:firstLine="270"/>
        <w:rPr>
          <w:sz w:val="24"/>
        </w:rPr>
      </w:pPr>
      <w:r w:rsidRPr="00AD6685">
        <w:rPr>
          <w:rStyle w:val="BodytextSpacing1pt"/>
          <w:spacing w:val="0"/>
          <w:sz w:val="24"/>
        </w:rPr>
        <w:t>“(2)</w:t>
      </w:r>
      <w:r w:rsidRPr="00AD6685">
        <w:rPr>
          <w:sz w:val="24"/>
        </w:rPr>
        <w:t xml:space="preserve"> Subject to any direction of the Minister, where the Australian Stevedoring Industry Authority is satisfied that the Fremantle Port Authority has paid the charge imposed by the </w:t>
      </w:r>
      <w:r w:rsidRPr="00AD6685">
        <w:rPr>
          <w:rStyle w:val="BodytextItalic"/>
          <w:sz w:val="24"/>
        </w:rPr>
        <w:t>Stevedoring Industry Charge Act</w:t>
      </w:r>
      <w:r w:rsidRPr="00AD6685">
        <w:rPr>
          <w:sz w:val="24"/>
        </w:rPr>
        <w:t xml:space="preserve"> 1947-1975 in respect of the employmen</w:t>
      </w:r>
      <w:r w:rsidR="00B84036">
        <w:rPr>
          <w:sz w:val="24"/>
        </w:rPr>
        <w:t>t, after the com</w:t>
      </w:r>
      <w:r w:rsidRPr="00AD6685">
        <w:rPr>
          <w:sz w:val="24"/>
        </w:rPr>
        <w:t>mencement of this section, of persons to whom this section applies, the Australian Stevedoring Industry Authority may pay to the Fremantle</w:t>
      </w:r>
      <w:r w:rsidR="001151BC">
        <w:rPr>
          <w:sz w:val="24"/>
        </w:rPr>
        <w:t xml:space="preserve"> </w:t>
      </w:r>
      <w:r w:rsidRPr="00AD6685">
        <w:rPr>
          <w:sz w:val="24"/>
        </w:rPr>
        <w:t>Port Authority an amount equal to such part of the charge so paid as the Australian Stevedoring Industry Authority considers appropriate having regard to—</w:t>
      </w:r>
    </w:p>
    <w:p w14:paraId="09336C92" w14:textId="71EA5BE8" w:rsidR="00436E15" w:rsidRPr="00AD6685" w:rsidRDefault="00E067A1" w:rsidP="001151BC">
      <w:pPr>
        <w:pStyle w:val="BodyText1"/>
        <w:spacing w:line="240" w:lineRule="auto"/>
        <w:ind w:firstLine="270"/>
        <w:rPr>
          <w:sz w:val="24"/>
        </w:rPr>
      </w:pPr>
      <w:r w:rsidRPr="00AD6685">
        <w:rPr>
          <w:sz w:val="24"/>
        </w:rPr>
        <w:t xml:space="preserve">(a) </w:t>
      </w:r>
      <w:r w:rsidR="00FC5552" w:rsidRPr="00AD6685">
        <w:rPr>
          <w:sz w:val="24"/>
        </w:rPr>
        <w:t xml:space="preserve">the proportion of the amounts paid to the Australian </w:t>
      </w:r>
      <w:r w:rsidR="001151BC">
        <w:rPr>
          <w:sz w:val="24"/>
        </w:rPr>
        <w:t>S</w:t>
      </w:r>
      <w:r w:rsidR="00FC5552" w:rsidRPr="00AD6685">
        <w:rPr>
          <w:sz w:val="24"/>
        </w:rPr>
        <w:t>tevedoring</w:t>
      </w:r>
      <w:r w:rsidR="001151BC">
        <w:rPr>
          <w:sz w:val="24"/>
        </w:rPr>
        <w:t xml:space="preserve"> I</w:t>
      </w:r>
      <w:r w:rsidR="00FC5552" w:rsidRPr="00AD6685">
        <w:rPr>
          <w:sz w:val="24"/>
        </w:rPr>
        <w:t>ndustry Authority under section 46 of the Stevedoring Industry Act that, from time to time, is applied by the Australian Stevedoring Industry Authority for the purpose of meeting the cost to the holding company of the contributions referred to in paragraph (e) of sub-section (1) of section 7 of this Act; and</w:t>
      </w:r>
    </w:p>
    <w:p w14:paraId="14D8C26E" w14:textId="77777777" w:rsidR="00436E15" w:rsidRPr="00AD6685" w:rsidRDefault="00E067A1" w:rsidP="00B84036">
      <w:pPr>
        <w:pStyle w:val="BodyText1"/>
        <w:spacing w:line="240" w:lineRule="auto"/>
        <w:ind w:firstLine="270"/>
        <w:rPr>
          <w:sz w:val="24"/>
        </w:rPr>
      </w:pPr>
      <w:r w:rsidRPr="00AD6685">
        <w:rPr>
          <w:sz w:val="24"/>
        </w:rPr>
        <w:t xml:space="preserve">(b) </w:t>
      </w:r>
      <w:r w:rsidR="00FC5552" w:rsidRPr="00AD6685">
        <w:rPr>
          <w:sz w:val="24"/>
        </w:rPr>
        <w:t>the amount of the expenditure of the Australian Stevedoring Industry Authority that would be required for the purpose of provision for payment of long service leave benefits to persons to whom this section applies if they were entitled to long service leave in accordance with the Stevedoring Industry Act and the regulations under this Act.''.</w:t>
      </w:r>
    </w:p>
    <w:p w14:paraId="5AA7C1F0" w14:textId="77777777" w:rsidR="00B84036" w:rsidRDefault="00B84036" w:rsidP="00B84036">
      <w:pPr>
        <w:pStyle w:val="BodyText1"/>
        <w:pBdr>
          <w:bottom w:val="single" w:sz="12" w:space="1" w:color="auto"/>
        </w:pBdr>
        <w:spacing w:after="160" w:line="240" w:lineRule="auto"/>
        <w:ind w:firstLine="0"/>
        <w:rPr>
          <w:sz w:val="24"/>
        </w:rPr>
      </w:pPr>
      <w:bookmarkStart w:id="2" w:name="_GoBack"/>
      <w:bookmarkEnd w:id="2"/>
    </w:p>
    <w:sectPr w:rsidR="00B84036" w:rsidSect="008C05B5">
      <w:headerReference w:type="default" r:id="rId8"/>
      <w:type w:val="continuous"/>
      <w:pgSz w:w="11909" w:h="18000" w:code="9"/>
      <w:pgMar w:top="1080" w:right="1080" w:bottom="1080" w:left="108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7C410D" w15:done="0"/>
  <w15:commentEx w15:paraId="19A4F31D" w15:done="0"/>
  <w15:commentEx w15:paraId="65320762" w15:done="0"/>
  <w15:commentEx w15:paraId="7E18CC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7C410D" w16cid:durableId="1F58AD41"/>
  <w16cid:commentId w16cid:paraId="19A4F31D" w16cid:durableId="1F58AD5B"/>
  <w16cid:commentId w16cid:paraId="65320762" w16cid:durableId="1F58AD6F"/>
  <w16cid:commentId w16cid:paraId="7E18CC0A" w16cid:durableId="1F58AD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CF1DC" w14:textId="77777777" w:rsidR="00B07E7D" w:rsidRDefault="00B07E7D">
      <w:r>
        <w:separator/>
      </w:r>
    </w:p>
  </w:endnote>
  <w:endnote w:type="continuationSeparator" w:id="0">
    <w:p w14:paraId="6F087C26" w14:textId="77777777" w:rsidR="00B07E7D" w:rsidRDefault="00B0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B367D" w14:textId="77777777" w:rsidR="00B07E7D" w:rsidRDefault="00B07E7D">
      <w:r>
        <w:separator/>
      </w:r>
    </w:p>
  </w:footnote>
  <w:footnote w:type="continuationSeparator" w:id="0">
    <w:p w14:paraId="5FBEF621" w14:textId="77777777" w:rsidR="00B07E7D" w:rsidRDefault="00B07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5184A" w14:textId="77777777" w:rsidR="008C05B5" w:rsidRPr="008C05B5" w:rsidRDefault="008C05B5" w:rsidP="008C05B5">
    <w:pPr>
      <w:pStyle w:val="Header"/>
      <w:tabs>
        <w:tab w:val="clear" w:pos="4513"/>
        <w:tab w:val="clear" w:pos="9026"/>
        <w:tab w:val="center" w:pos="5040"/>
        <w:tab w:val="right" w:pos="9720"/>
      </w:tabs>
      <w:rPr>
        <w:rFonts w:ascii="Times New Roman" w:hAnsi="Times New Roman" w:cs="Times New Roman"/>
        <w:sz w:val="22"/>
        <w:szCs w:val="22"/>
        <w:lang w:val="en-IN"/>
      </w:rPr>
    </w:pPr>
    <w:r w:rsidRPr="008C05B5">
      <w:rPr>
        <w:rFonts w:ascii="Times New Roman" w:hAnsi="Times New Roman" w:cs="Times New Roman"/>
        <w:sz w:val="22"/>
        <w:szCs w:val="22"/>
        <w:lang w:val="en-IN"/>
      </w:rPr>
      <w:t>1976</w:t>
    </w:r>
    <w:r>
      <w:rPr>
        <w:rFonts w:ascii="Times New Roman" w:hAnsi="Times New Roman" w:cs="Times New Roman"/>
        <w:sz w:val="22"/>
        <w:szCs w:val="22"/>
        <w:lang w:val="en-IN"/>
      </w:rPr>
      <w:tab/>
      <w:t>S</w:t>
    </w:r>
    <w:r w:rsidRPr="008C05B5">
      <w:rPr>
        <w:rFonts w:ascii="Times New Roman" w:hAnsi="Times New Roman" w:cs="Times New Roman"/>
        <w:sz w:val="22"/>
        <w:szCs w:val="22"/>
        <w:lang w:val="en-IN"/>
      </w:rPr>
      <w:t>tevedoring Industry (Temporary Provisions)</w:t>
    </w:r>
    <w:r>
      <w:rPr>
        <w:rFonts w:ascii="Times New Roman" w:hAnsi="Times New Roman" w:cs="Times New Roman"/>
        <w:sz w:val="22"/>
        <w:szCs w:val="22"/>
        <w:lang w:val="en-IN"/>
      </w:rPr>
      <w:tab/>
    </w:r>
    <w:r w:rsidRPr="008C05B5">
      <w:rPr>
        <w:rFonts w:ascii="Times New Roman" w:hAnsi="Times New Roman" w:cs="Times New Roman"/>
        <w:sz w:val="22"/>
        <w:szCs w:val="22"/>
        <w:lang w:val="en-IN"/>
      </w:rPr>
      <w:t>No. 48</w:t>
    </w:r>
  </w:p>
  <w:p w14:paraId="3C2194F1" w14:textId="77777777" w:rsidR="008C05B5" w:rsidRPr="008C05B5" w:rsidRDefault="008C05B5" w:rsidP="008C05B5">
    <w:pPr>
      <w:pStyle w:val="Header"/>
      <w:jc w:val="center"/>
      <w:rPr>
        <w:rFonts w:ascii="Times New Roman" w:hAnsi="Times New Roman" w:cs="Times New Roman"/>
        <w:sz w:val="22"/>
        <w:szCs w:val="22"/>
        <w:lang w:val="en-IN"/>
      </w:rPr>
    </w:pPr>
    <w:r w:rsidRPr="008C05B5">
      <w:rPr>
        <w:rFonts w:ascii="Times New Roman" w:hAnsi="Times New Roman" w:cs="Times New Roman"/>
        <w:sz w:val="22"/>
        <w:szCs w:val="22"/>
        <w:lang w:val="en-IN"/>
      </w:rPr>
      <w:t>Amendment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7E5"/>
    <w:multiLevelType w:val="multilevel"/>
    <w:tmpl w:val="160C0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71DBA"/>
    <w:multiLevelType w:val="multilevel"/>
    <w:tmpl w:val="24202F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7C1A37"/>
    <w:multiLevelType w:val="multilevel"/>
    <w:tmpl w:val="E6585B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87539B"/>
    <w:multiLevelType w:val="multilevel"/>
    <w:tmpl w:val="53123D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EF7529"/>
    <w:multiLevelType w:val="hybridMultilevel"/>
    <w:tmpl w:val="3C586894"/>
    <w:lvl w:ilvl="0" w:tplc="0174303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5CB3C0A"/>
    <w:multiLevelType w:val="multilevel"/>
    <w:tmpl w:val="180602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36E15"/>
    <w:rsid w:val="000217F2"/>
    <w:rsid w:val="00083D92"/>
    <w:rsid w:val="000A2503"/>
    <w:rsid w:val="001151BC"/>
    <w:rsid w:val="001C77FE"/>
    <w:rsid w:val="00436E15"/>
    <w:rsid w:val="007659A1"/>
    <w:rsid w:val="007C501D"/>
    <w:rsid w:val="008C05B5"/>
    <w:rsid w:val="009F5F42"/>
    <w:rsid w:val="00A509A0"/>
    <w:rsid w:val="00AD6685"/>
    <w:rsid w:val="00B07E7D"/>
    <w:rsid w:val="00B84036"/>
    <w:rsid w:val="00DF7FA4"/>
    <w:rsid w:val="00E067A1"/>
    <w:rsid w:val="00FC55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7"/>
      <w:szCs w:val="27"/>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2"/>
      <w:szCs w:val="22"/>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1">
    <w:name w:val="Body text (2)"/>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2NotItalic0">
    <w:name w:val="Body text (2) + Not Italic"/>
    <w:aliases w:val="Spacing 1 pt"/>
    <w:basedOn w:val="Bodytext2"/>
    <w:rPr>
      <w:rFonts w:ascii="Times New Roman" w:eastAsia="Times New Roman" w:hAnsi="Times New Roman" w:cs="Times New Roman"/>
      <w:b w:val="0"/>
      <w:bCs w:val="0"/>
      <w:i/>
      <w:iCs/>
      <w:smallCaps w:val="0"/>
      <w:strike w:val="0"/>
      <w:color w:val="000000"/>
      <w:spacing w:val="3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95pt">
    <w:name w:val="Body text + 9.5 pt"/>
    <w:aliases w:val="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8"/>
      <w:szCs w:val="18"/>
      <w:u w:val="none"/>
    </w:rPr>
  </w:style>
  <w:style w:type="paragraph" w:customStyle="1" w:styleId="Bodytext30">
    <w:name w:val="Body text (3)"/>
    <w:basedOn w:val="Normal"/>
    <w:link w:val="Bodytext3"/>
    <w:pPr>
      <w:spacing w:line="173" w:lineRule="exact"/>
      <w:jc w:val="both"/>
    </w:pPr>
    <w:rPr>
      <w:rFonts w:ascii="Times New Roman" w:eastAsia="Times New Roman" w:hAnsi="Times New Roman" w:cs="Times New Roman"/>
      <w:sz w:val="17"/>
      <w:szCs w:val="17"/>
    </w:rPr>
  </w:style>
  <w:style w:type="paragraph" w:customStyle="1" w:styleId="Heading10">
    <w:name w:val="Heading #1"/>
    <w:basedOn w:val="Normal"/>
    <w:link w:val="Heading1"/>
    <w:pPr>
      <w:spacing w:line="341" w:lineRule="exact"/>
      <w:outlineLvl w:val="0"/>
    </w:pPr>
    <w:rPr>
      <w:rFonts w:ascii="Arial" w:eastAsia="Arial" w:hAnsi="Arial" w:cs="Arial"/>
      <w:b/>
      <w:bCs/>
      <w:sz w:val="27"/>
      <w:szCs w:val="27"/>
    </w:rPr>
  </w:style>
  <w:style w:type="paragraph" w:customStyle="1" w:styleId="Heading20">
    <w:name w:val="Heading #2"/>
    <w:basedOn w:val="Normal"/>
    <w:link w:val="Heading2"/>
    <w:pPr>
      <w:spacing w:line="0" w:lineRule="atLeast"/>
      <w:jc w:val="center"/>
      <w:outlineLvl w:val="1"/>
    </w:pPr>
    <w:rPr>
      <w:rFonts w:ascii="Arial" w:eastAsia="Arial" w:hAnsi="Arial" w:cs="Arial"/>
      <w:b/>
      <w:bCs/>
      <w:sz w:val="27"/>
      <w:szCs w:val="27"/>
    </w:rPr>
  </w:style>
  <w:style w:type="paragraph" w:customStyle="1" w:styleId="Bodytext20">
    <w:name w:val="Body text (2)"/>
    <w:basedOn w:val="Normal"/>
    <w:link w:val="Bodytext2"/>
    <w:pPr>
      <w:spacing w:line="230" w:lineRule="exact"/>
    </w:pPr>
    <w:rPr>
      <w:rFonts w:ascii="Times New Roman" w:eastAsia="Times New Roman" w:hAnsi="Times New Roman" w:cs="Times New Roman"/>
      <w:i/>
      <w:iCs/>
      <w:sz w:val="22"/>
      <w:szCs w:val="22"/>
    </w:rPr>
  </w:style>
  <w:style w:type="paragraph" w:customStyle="1" w:styleId="BodyText1">
    <w:name w:val="Body Text1"/>
    <w:basedOn w:val="Normal"/>
    <w:link w:val="Bodytext"/>
    <w:pPr>
      <w:spacing w:line="240" w:lineRule="exact"/>
      <w:ind w:hanging="440"/>
      <w:jc w:val="both"/>
    </w:pPr>
    <w:rPr>
      <w:rFonts w:ascii="Times New Roman" w:eastAsia="Times New Roman" w:hAnsi="Times New Roman" w:cs="Times New Roman"/>
      <w:sz w:val="22"/>
      <w:szCs w:val="22"/>
    </w:rPr>
  </w:style>
  <w:style w:type="paragraph" w:customStyle="1" w:styleId="Bodytext40">
    <w:name w:val="Body text (4)"/>
    <w:basedOn w:val="Normal"/>
    <w:link w:val="Bodytext4"/>
    <w:pPr>
      <w:spacing w:line="0" w:lineRule="atLeast"/>
      <w:ind w:hanging="300"/>
      <w:jc w:val="both"/>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8C05B5"/>
    <w:pPr>
      <w:tabs>
        <w:tab w:val="center" w:pos="4513"/>
        <w:tab w:val="right" w:pos="9026"/>
      </w:tabs>
    </w:pPr>
  </w:style>
  <w:style w:type="character" w:customStyle="1" w:styleId="HeaderChar">
    <w:name w:val="Header Char"/>
    <w:basedOn w:val="DefaultParagraphFont"/>
    <w:link w:val="Header"/>
    <w:uiPriority w:val="99"/>
    <w:rsid w:val="008C05B5"/>
    <w:rPr>
      <w:color w:val="000000"/>
    </w:rPr>
  </w:style>
  <w:style w:type="paragraph" w:styleId="Footer">
    <w:name w:val="footer"/>
    <w:basedOn w:val="Normal"/>
    <w:link w:val="FooterChar"/>
    <w:uiPriority w:val="99"/>
    <w:unhideWhenUsed/>
    <w:rsid w:val="008C05B5"/>
    <w:pPr>
      <w:tabs>
        <w:tab w:val="center" w:pos="4513"/>
        <w:tab w:val="right" w:pos="9026"/>
      </w:tabs>
    </w:pPr>
  </w:style>
  <w:style w:type="character" w:customStyle="1" w:styleId="FooterChar">
    <w:name w:val="Footer Char"/>
    <w:basedOn w:val="DefaultParagraphFont"/>
    <w:link w:val="Footer"/>
    <w:uiPriority w:val="99"/>
    <w:rsid w:val="008C05B5"/>
    <w:rPr>
      <w:color w:val="000000"/>
    </w:rPr>
  </w:style>
  <w:style w:type="character" w:styleId="CommentReference">
    <w:name w:val="annotation reference"/>
    <w:basedOn w:val="DefaultParagraphFont"/>
    <w:uiPriority w:val="99"/>
    <w:semiHidden/>
    <w:unhideWhenUsed/>
    <w:rsid w:val="001C77FE"/>
    <w:rPr>
      <w:sz w:val="16"/>
      <w:szCs w:val="16"/>
    </w:rPr>
  </w:style>
  <w:style w:type="paragraph" w:styleId="CommentText">
    <w:name w:val="annotation text"/>
    <w:basedOn w:val="Normal"/>
    <w:link w:val="CommentTextChar"/>
    <w:uiPriority w:val="99"/>
    <w:semiHidden/>
    <w:unhideWhenUsed/>
    <w:rsid w:val="001C77FE"/>
    <w:rPr>
      <w:sz w:val="20"/>
      <w:szCs w:val="20"/>
    </w:rPr>
  </w:style>
  <w:style w:type="character" w:customStyle="1" w:styleId="CommentTextChar">
    <w:name w:val="Comment Text Char"/>
    <w:basedOn w:val="DefaultParagraphFont"/>
    <w:link w:val="CommentText"/>
    <w:uiPriority w:val="99"/>
    <w:semiHidden/>
    <w:rsid w:val="001C77FE"/>
    <w:rPr>
      <w:color w:val="000000"/>
      <w:sz w:val="20"/>
      <w:szCs w:val="20"/>
    </w:rPr>
  </w:style>
  <w:style w:type="paragraph" w:styleId="CommentSubject">
    <w:name w:val="annotation subject"/>
    <w:basedOn w:val="CommentText"/>
    <w:next w:val="CommentText"/>
    <w:link w:val="CommentSubjectChar"/>
    <w:uiPriority w:val="99"/>
    <w:semiHidden/>
    <w:unhideWhenUsed/>
    <w:rsid w:val="001C77FE"/>
    <w:rPr>
      <w:b/>
      <w:bCs/>
    </w:rPr>
  </w:style>
  <w:style w:type="character" w:customStyle="1" w:styleId="CommentSubjectChar">
    <w:name w:val="Comment Subject Char"/>
    <w:basedOn w:val="CommentTextChar"/>
    <w:link w:val="CommentSubject"/>
    <w:uiPriority w:val="99"/>
    <w:semiHidden/>
    <w:rsid w:val="001C77FE"/>
    <w:rPr>
      <w:b/>
      <w:bCs/>
      <w:color w:val="000000"/>
      <w:sz w:val="20"/>
      <w:szCs w:val="20"/>
    </w:rPr>
  </w:style>
  <w:style w:type="paragraph" w:styleId="BalloonText">
    <w:name w:val="Balloon Text"/>
    <w:basedOn w:val="Normal"/>
    <w:link w:val="BalloonTextChar"/>
    <w:uiPriority w:val="99"/>
    <w:semiHidden/>
    <w:unhideWhenUsed/>
    <w:rsid w:val="001C77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7FE"/>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2018-09-28T03:39:00Z</dcterms:created>
  <dcterms:modified xsi:type="dcterms:W3CDTF">2019-08-05T22:30:00Z</dcterms:modified>
</cp:coreProperties>
</file>