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00A60" w14:textId="0F6E5512" w:rsidR="00D13712" w:rsidRPr="00676788" w:rsidRDefault="00AE395D" w:rsidP="00BC19B5">
      <w:pPr>
        <w:jc w:val="center"/>
        <w:rPr>
          <w:rStyle w:val="Heading11"/>
          <w:rFonts w:ascii="Times New Roman" w:hAnsi="Times New Roman" w:cs="Times New Roman"/>
          <w:sz w:val="32"/>
          <w:szCs w:val="24"/>
        </w:rPr>
      </w:pPr>
      <w:bookmarkStart w:id="0" w:name="bookmark0"/>
      <w:r w:rsidRPr="00676788">
        <w:rPr>
          <w:rStyle w:val="Heading11"/>
          <w:rFonts w:ascii="Times New Roman" w:hAnsi="Times New Roman" w:cs="Times New Roman"/>
          <w:sz w:val="32"/>
          <w:szCs w:val="24"/>
        </w:rPr>
        <w:t>HANDICAPPED PERSONS ASSISTANCE AMENDMENT ACT 1976</w:t>
      </w:r>
      <w:bookmarkStart w:id="1" w:name="bookmark1"/>
      <w:bookmarkEnd w:id="0"/>
    </w:p>
    <w:p w14:paraId="4A9AA971" w14:textId="77777777" w:rsidR="00FA596C" w:rsidRPr="00CD23EC" w:rsidRDefault="00AE395D" w:rsidP="00CD23EC">
      <w:pPr>
        <w:spacing w:before="240" w:after="240"/>
        <w:jc w:val="center"/>
        <w:rPr>
          <w:rFonts w:ascii="Times New Roman" w:hAnsi="Times New Roman" w:cs="Times New Roman"/>
          <w:b/>
          <w:sz w:val="28"/>
        </w:rPr>
      </w:pPr>
      <w:r w:rsidRPr="00CD23EC">
        <w:rPr>
          <w:rFonts w:ascii="Times New Roman" w:hAnsi="Times New Roman" w:cs="Times New Roman"/>
          <w:b/>
          <w:sz w:val="28"/>
        </w:rPr>
        <w:t>No. 105 of 1976</w:t>
      </w:r>
      <w:bookmarkEnd w:id="1"/>
    </w:p>
    <w:p w14:paraId="2A63201B" w14:textId="77777777" w:rsidR="00FA596C" w:rsidRPr="00676788" w:rsidRDefault="00AE395D" w:rsidP="00CD23EC">
      <w:pPr>
        <w:pStyle w:val="BodyText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788">
        <w:rPr>
          <w:rStyle w:val="BodytextTimesNewRoman"/>
          <w:rFonts w:eastAsia="Palatino Linotype"/>
          <w:sz w:val="24"/>
          <w:szCs w:val="24"/>
        </w:rPr>
        <w:t xml:space="preserve">An Act to amend the </w:t>
      </w:r>
      <w:r w:rsidRPr="00676788">
        <w:rPr>
          <w:rStyle w:val="BodytextTimesNewRoman0"/>
          <w:rFonts w:eastAsia="Palatino Linotype"/>
          <w:sz w:val="24"/>
          <w:szCs w:val="24"/>
        </w:rPr>
        <w:t>Handicapped Persons Assistance Act</w:t>
      </w:r>
      <w:r w:rsidRPr="00676788">
        <w:rPr>
          <w:rStyle w:val="BodytextTimesNewRoman"/>
          <w:rFonts w:eastAsia="Palatino Linotype"/>
          <w:sz w:val="24"/>
          <w:szCs w:val="24"/>
        </w:rPr>
        <w:t xml:space="preserve"> 1974 to increase the Handicapped Children’s Benefit, and with respect to certain formal matters.</w:t>
      </w:r>
    </w:p>
    <w:p w14:paraId="37D36D4C" w14:textId="77777777" w:rsidR="00FA596C" w:rsidRPr="00676788" w:rsidRDefault="00AE395D" w:rsidP="00CD23EC">
      <w:pPr>
        <w:pStyle w:val="BodyText1"/>
        <w:spacing w:after="12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676788">
        <w:rPr>
          <w:rStyle w:val="BodytextTimesNewRoman"/>
          <w:rFonts w:eastAsia="Palatino Linotype"/>
          <w:sz w:val="24"/>
          <w:szCs w:val="24"/>
        </w:rPr>
        <w:t>BE IT ENACTED by the Queen, and the Senate and House of Representatives of the Commonwealth of Australia, as follows:—</w:t>
      </w:r>
    </w:p>
    <w:p w14:paraId="4514CD02" w14:textId="77777777" w:rsidR="00FA596C" w:rsidRPr="00676788" w:rsidRDefault="00AE395D" w:rsidP="00CD23EC">
      <w:pPr>
        <w:pStyle w:val="Bodytext41"/>
        <w:spacing w:before="120" w:after="60" w:line="240" w:lineRule="auto"/>
        <w:rPr>
          <w:b/>
          <w:sz w:val="20"/>
          <w:szCs w:val="24"/>
        </w:rPr>
      </w:pPr>
      <w:r w:rsidRPr="00676788">
        <w:rPr>
          <w:rStyle w:val="Bodytext4"/>
          <w:b/>
          <w:sz w:val="20"/>
          <w:szCs w:val="24"/>
        </w:rPr>
        <w:t>Short title,</w:t>
      </w:r>
      <w:r w:rsidR="00D13712" w:rsidRPr="00676788">
        <w:rPr>
          <w:b/>
          <w:sz w:val="20"/>
          <w:szCs w:val="24"/>
        </w:rPr>
        <w:t xml:space="preserve"> </w:t>
      </w:r>
      <w:r w:rsidRPr="00676788">
        <w:rPr>
          <w:rStyle w:val="Bodytext4"/>
          <w:b/>
          <w:sz w:val="20"/>
          <w:szCs w:val="24"/>
        </w:rPr>
        <w:t>&amp;c.</w:t>
      </w:r>
    </w:p>
    <w:p w14:paraId="4A099BBE" w14:textId="06333544" w:rsidR="00FA596C" w:rsidRPr="00676788" w:rsidRDefault="00D13712" w:rsidP="00CD23EC">
      <w:pPr>
        <w:pStyle w:val="Bodytext20"/>
        <w:tabs>
          <w:tab w:val="left" w:pos="650"/>
        </w:tabs>
        <w:spacing w:after="60" w:line="240" w:lineRule="auto"/>
        <w:ind w:firstLine="270"/>
        <w:rPr>
          <w:sz w:val="24"/>
          <w:szCs w:val="24"/>
        </w:rPr>
      </w:pPr>
      <w:r w:rsidRPr="00676788">
        <w:rPr>
          <w:rStyle w:val="Bodytext2115pt"/>
          <w:b/>
          <w:sz w:val="24"/>
          <w:szCs w:val="24"/>
        </w:rPr>
        <w:t>1.</w:t>
      </w:r>
      <w:r w:rsidR="00676788">
        <w:rPr>
          <w:rStyle w:val="Bodytext2115pt"/>
          <w:sz w:val="24"/>
          <w:szCs w:val="24"/>
        </w:rPr>
        <w:tab/>
      </w:r>
      <w:r w:rsidR="00AE395D" w:rsidRPr="00676788">
        <w:rPr>
          <w:rStyle w:val="Bodytext2115pt"/>
          <w:sz w:val="24"/>
          <w:szCs w:val="24"/>
        </w:rPr>
        <w:t xml:space="preserve">(1) This Act may be cited as the </w:t>
      </w:r>
      <w:r w:rsidR="00AE395D" w:rsidRPr="00676788">
        <w:rPr>
          <w:rStyle w:val="Bodytext2115pt0"/>
          <w:i/>
          <w:iCs/>
          <w:sz w:val="24"/>
          <w:szCs w:val="24"/>
        </w:rPr>
        <w:t>Handicapped Persons Assistance Amendment Act</w:t>
      </w:r>
      <w:r w:rsidR="00AE395D" w:rsidRPr="00676788">
        <w:rPr>
          <w:rStyle w:val="Bodytext2115pt"/>
          <w:sz w:val="24"/>
          <w:szCs w:val="24"/>
        </w:rPr>
        <w:t xml:space="preserve"> 1976.</w:t>
      </w:r>
    </w:p>
    <w:p w14:paraId="6DA8B5F1" w14:textId="364813FA" w:rsidR="00FA596C" w:rsidRPr="00676788" w:rsidRDefault="00AE395D" w:rsidP="00CD23EC">
      <w:pPr>
        <w:pStyle w:val="BodyText1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676788">
        <w:rPr>
          <w:rStyle w:val="BodytextTimesNewRoman"/>
          <w:rFonts w:eastAsia="Palatino Linotype"/>
          <w:sz w:val="24"/>
          <w:szCs w:val="24"/>
        </w:rPr>
        <w:t xml:space="preserve">(2) The </w:t>
      </w:r>
      <w:r w:rsidRPr="00676788">
        <w:rPr>
          <w:rStyle w:val="BodytextTimesNewRoman0"/>
          <w:rFonts w:eastAsia="Palatino Linotype"/>
          <w:sz w:val="24"/>
          <w:szCs w:val="24"/>
        </w:rPr>
        <w:t>Handicapped Persons Assistance Act</w:t>
      </w:r>
      <w:r w:rsidRPr="00676788">
        <w:rPr>
          <w:rStyle w:val="BodytextTimesNewRoman"/>
          <w:rFonts w:eastAsia="Palatino Linotype"/>
          <w:sz w:val="24"/>
          <w:szCs w:val="24"/>
        </w:rPr>
        <w:t xml:space="preserve"> 1974 is in this Act referred to as the Principal Act.</w:t>
      </w:r>
    </w:p>
    <w:p w14:paraId="7C58CA4B" w14:textId="77777777" w:rsidR="00D13712" w:rsidRPr="00676788" w:rsidRDefault="00D13712" w:rsidP="00CD23EC">
      <w:pPr>
        <w:pStyle w:val="Bodytext41"/>
        <w:spacing w:before="120" w:after="60" w:line="240" w:lineRule="auto"/>
        <w:rPr>
          <w:b/>
          <w:sz w:val="20"/>
          <w:szCs w:val="24"/>
        </w:rPr>
      </w:pPr>
      <w:r w:rsidRPr="00676788">
        <w:rPr>
          <w:b/>
          <w:sz w:val="20"/>
        </w:rPr>
        <w:t>Commencement.</w:t>
      </w:r>
    </w:p>
    <w:p w14:paraId="7555A73D" w14:textId="77777777" w:rsidR="00676788" w:rsidRDefault="00D13712" w:rsidP="00CD23EC">
      <w:pPr>
        <w:pStyle w:val="BodyText1"/>
        <w:tabs>
          <w:tab w:val="left" w:pos="630"/>
        </w:tabs>
        <w:spacing w:after="60" w:line="240" w:lineRule="auto"/>
        <w:ind w:firstLine="270"/>
        <w:rPr>
          <w:rStyle w:val="BodytextTimesNewRoman"/>
          <w:rFonts w:eastAsia="Palatino Linotype"/>
          <w:sz w:val="24"/>
          <w:szCs w:val="24"/>
        </w:rPr>
      </w:pPr>
      <w:r w:rsidRPr="00676788">
        <w:rPr>
          <w:rStyle w:val="BodytextTimesNewRoman"/>
          <w:rFonts w:eastAsia="Palatino Linotype"/>
          <w:b/>
          <w:sz w:val="24"/>
          <w:szCs w:val="24"/>
        </w:rPr>
        <w:t>2.</w:t>
      </w:r>
      <w:r w:rsidR="00676788">
        <w:rPr>
          <w:rStyle w:val="BodytextTimesNewRoman"/>
          <w:rFonts w:eastAsia="Palatino Linotype"/>
          <w:sz w:val="24"/>
          <w:szCs w:val="24"/>
        </w:rPr>
        <w:tab/>
      </w:r>
      <w:bookmarkStart w:id="2" w:name="_GoBack"/>
      <w:r w:rsidR="00AE395D" w:rsidRPr="00676788">
        <w:rPr>
          <w:rStyle w:val="BodytextTimesNewRoman"/>
          <w:rFonts w:eastAsia="Palatino Linotype"/>
          <w:sz w:val="24"/>
          <w:szCs w:val="24"/>
        </w:rPr>
        <w:t>This Act shall come into operation on 1 November 1976.</w:t>
      </w:r>
      <w:bookmarkEnd w:id="2"/>
    </w:p>
    <w:p w14:paraId="71FDC312" w14:textId="77777777" w:rsidR="00FA596C" w:rsidRPr="003641CC" w:rsidRDefault="003641CC" w:rsidP="00CD23EC">
      <w:pPr>
        <w:pStyle w:val="BodyText1"/>
        <w:tabs>
          <w:tab w:val="left" w:pos="650"/>
        </w:tabs>
        <w:spacing w:line="240" w:lineRule="auto"/>
        <w:rPr>
          <w:rStyle w:val="Bodytext4"/>
          <w:rFonts w:eastAsia="Palatino Linotype"/>
          <w:b/>
          <w:sz w:val="20"/>
          <w:szCs w:val="20"/>
        </w:rPr>
      </w:pPr>
      <w:r w:rsidRPr="003641CC">
        <w:rPr>
          <w:rStyle w:val="Bodytext4"/>
          <w:rFonts w:eastAsia="Palatino Linotype"/>
          <w:b/>
          <w:sz w:val="20"/>
          <w:szCs w:val="20"/>
        </w:rPr>
        <w:t>Handicapped children</w:t>
      </w:r>
      <w:r>
        <w:rPr>
          <w:rStyle w:val="Bodytext4"/>
          <w:rFonts w:eastAsia="Palatino Linotype"/>
          <w:b/>
          <w:sz w:val="20"/>
          <w:szCs w:val="20"/>
        </w:rPr>
        <w:t>’</w:t>
      </w:r>
      <w:r w:rsidR="00AE395D" w:rsidRPr="003641CC">
        <w:rPr>
          <w:rStyle w:val="Bodytext4"/>
          <w:rFonts w:eastAsia="Palatino Linotype"/>
          <w:b/>
          <w:sz w:val="20"/>
          <w:szCs w:val="20"/>
        </w:rPr>
        <w:t>s benefit.</w:t>
      </w:r>
    </w:p>
    <w:p w14:paraId="2F3189BE" w14:textId="77777777" w:rsidR="00FA596C" w:rsidRPr="00676788" w:rsidRDefault="00D13712" w:rsidP="002D6F81">
      <w:pPr>
        <w:pStyle w:val="BodyText1"/>
        <w:spacing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676788">
        <w:rPr>
          <w:rStyle w:val="BodytextTimesNewRoman"/>
          <w:rFonts w:eastAsia="Palatino Linotype"/>
          <w:b/>
          <w:sz w:val="24"/>
          <w:szCs w:val="24"/>
        </w:rPr>
        <w:t>3.</w:t>
      </w:r>
      <w:r w:rsidRPr="00676788">
        <w:rPr>
          <w:rStyle w:val="BodytextTimesNewRoman"/>
          <w:rFonts w:eastAsia="Palatino Linotype"/>
          <w:sz w:val="24"/>
          <w:szCs w:val="24"/>
        </w:rPr>
        <w:t xml:space="preserve"> </w:t>
      </w:r>
      <w:r w:rsidR="00AE395D" w:rsidRPr="00676788">
        <w:rPr>
          <w:rStyle w:val="BodytextTimesNewRoman"/>
          <w:rFonts w:eastAsia="Palatino Linotype"/>
          <w:sz w:val="24"/>
          <w:szCs w:val="24"/>
        </w:rPr>
        <w:t>(1) Section 23 of the Principal Act is amended by omitting from sub-section (1) the words “$3.50 for each day after the commencement of this Part” and substituting the words “$5.00 for each day”.</w:t>
      </w:r>
    </w:p>
    <w:p w14:paraId="1A7E0FC6" w14:textId="77777777" w:rsidR="00FA596C" w:rsidRPr="00676788" w:rsidRDefault="00AE395D" w:rsidP="00CD23EC">
      <w:pPr>
        <w:pStyle w:val="BodyText1"/>
        <w:spacing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676788">
        <w:rPr>
          <w:rStyle w:val="BodytextTimesNewRoman"/>
          <w:rFonts w:eastAsia="Palatino Linotype"/>
          <w:sz w:val="24"/>
          <w:szCs w:val="24"/>
        </w:rPr>
        <w:t xml:space="preserve">(2) Notwithstanding the amendment of the Principal Act made by sub-section (1), section 23 of that Act as in force </w:t>
      </w:r>
      <w:r w:rsidRPr="00676788">
        <w:rPr>
          <w:rStyle w:val="BodytextTimesNewRoman1"/>
          <w:rFonts w:eastAsia="Palatino Linotype"/>
          <w:b w:val="0"/>
          <w:sz w:val="24"/>
          <w:szCs w:val="24"/>
        </w:rPr>
        <w:t>immediately</w:t>
      </w:r>
      <w:r w:rsidRPr="00676788">
        <w:rPr>
          <w:rStyle w:val="BodytextTimesNewRoman"/>
          <w:rFonts w:eastAsia="Palatino Linotype"/>
          <w:sz w:val="24"/>
          <w:szCs w:val="24"/>
        </w:rPr>
        <w:t xml:space="preserve"> before the commencement of this Act continues to apply in respect of each day after the commencement of Part VII of that Act and before 1 November 1976.</w:t>
      </w:r>
    </w:p>
    <w:p w14:paraId="712FD8EC" w14:textId="77777777" w:rsidR="00FA596C" w:rsidRPr="00676788" w:rsidRDefault="00AE395D" w:rsidP="00CD23EC">
      <w:pPr>
        <w:pStyle w:val="Bodytext41"/>
        <w:spacing w:before="120" w:after="60" w:line="240" w:lineRule="auto"/>
        <w:rPr>
          <w:b/>
          <w:sz w:val="20"/>
          <w:szCs w:val="24"/>
        </w:rPr>
      </w:pPr>
      <w:r w:rsidRPr="00676788">
        <w:rPr>
          <w:b/>
          <w:sz w:val="20"/>
        </w:rPr>
        <w:t>Formal</w:t>
      </w:r>
      <w:r w:rsidR="00D13712" w:rsidRPr="00676788">
        <w:rPr>
          <w:b/>
          <w:sz w:val="20"/>
          <w:szCs w:val="24"/>
        </w:rPr>
        <w:t xml:space="preserve"> </w:t>
      </w:r>
      <w:r w:rsidRPr="00676788">
        <w:rPr>
          <w:b/>
          <w:sz w:val="20"/>
        </w:rPr>
        <w:t>amendments.</w:t>
      </w:r>
    </w:p>
    <w:p w14:paraId="53A1C633" w14:textId="77777777" w:rsidR="00FA596C" w:rsidRDefault="00D13712" w:rsidP="00CD23EC">
      <w:pPr>
        <w:pStyle w:val="BodyText1"/>
        <w:tabs>
          <w:tab w:val="left" w:pos="630"/>
        </w:tabs>
        <w:spacing w:line="240" w:lineRule="auto"/>
        <w:ind w:firstLine="270"/>
        <w:rPr>
          <w:rStyle w:val="BodytextTimesNewRoman"/>
          <w:rFonts w:eastAsia="Palatino Linotype"/>
          <w:sz w:val="24"/>
          <w:szCs w:val="24"/>
        </w:rPr>
      </w:pPr>
      <w:r w:rsidRPr="00676788">
        <w:rPr>
          <w:rStyle w:val="BodytextTimesNewRoman"/>
          <w:rFonts w:eastAsia="Palatino Linotype"/>
          <w:b/>
          <w:sz w:val="24"/>
          <w:szCs w:val="24"/>
        </w:rPr>
        <w:t>4.</w:t>
      </w:r>
      <w:r w:rsidR="00676788">
        <w:rPr>
          <w:rStyle w:val="BodytextTimesNewRoman"/>
          <w:rFonts w:eastAsia="Palatino Linotype"/>
          <w:sz w:val="24"/>
          <w:szCs w:val="24"/>
        </w:rPr>
        <w:tab/>
      </w:r>
      <w:r w:rsidR="00AE395D" w:rsidRPr="00676788">
        <w:rPr>
          <w:rStyle w:val="BodytextTimesNewRoman"/>
          <w:rFonts w:eastAsia="Palatino Linotype"/>
          <w:sz w:val="24"/>
          <w:szCs w:val="24"/>
        </w:rPr>
        <w:t>The Principal Act is amended as set out in the Schedule.</w:t>
      </w:r>
    </w:p>
    <w:p w14:paraId="003D8519" w14:textId="77777777" w:rsidR="00676788" w:rsidRPr="00676788" w:rsidRDefault="00676788" w:rsidP="002D6F81">
      <w:pPr>
        <w:pStyle w:val="BodyText1"/>
        <w:tabs>
          <w:tab w:val="left" w:pos="630"/>
        </w:tabs>
        <w:spacing w:after="120" w:line="240" w:lineRule="auto"/>
        <w:ind w:firstLine="6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BodytextTimesNewRoman"/>
          <w:rFonts w:eastAsia="Palatino Linotype"/>
          <w:sz w:val="24"/>
          <w:szCs w:val="24"/>
        </w:rPr>
        <w:t>________</w:t>
      </w:r>
    </w:p>
    <w:p w14:paraId="5327B924" w14:textId="758F2434" w:rsidR="00FA596C" w:rsidRPr="00BC19B5" w:rsidRDefault="00D13712" w:rsidP="00CD23EC">
      <w:pPr>
        <w:pStyle w:val="Bodytext41"/>
        <w:tabs>
          <w:tab w:val="right" w:pos="8190"/>
        </w:tabs>
        <w:spacing w:before="120" w:after="120" w:line="240" w:lineRule="auto"/>
        <w:ind w:firstLine="4500"/>
        <w:jc w:val="left"/>
        <w:rPr>
          <w:sz w:val="24"/>
          <w:szCs w:val="24"/>
        </w:rPr>
      </w:pPr>
      <w:r w:rsidRPr="00BC19B5">
        <w:rPr>
          <w:rStyle w:val="Bodytext4115pt"/>
          <w:sz w:val="24"/>
          <w:szCs w:val="24"/>
        </w:rPr>
        <w:t>SCHEDULE</w:t>
      </w:r>
      <w:r w:rsidR="00676788" w:rsidRPr="00BC19B5">
        <w:rPr>
          <w:rStyle w:val="Bodytext4115pt"/>
          <w:sz w:val="24"/>
          <w:szCs w:val="24"/>
        </w:rPr>
        <w:tab/>
      </w:r>
      <w:r w:rsidRPr="00BC19B5">
        <w:rPr>
          <w:sz w:val="24"/>
          <w:szCs w:val="24"/>
        </w:rPr>
        <w:t xml:space="preserve">Section </w:t>
      </w:r>
      <w:r w:rsidR="00AE395D" w:rsidRPr="00BC19B5">
        <w:rPr>
          <w:sz w:val="24"/>
          <w:szCs w:val="24"/>
        </w:rPr>
        <w:t>4</w:t>
      </w:r>
    </w:p>
    <w:p w14:paraId="35F6889A" w14:textId="77777777" w:rsidR="00FA596C" w:rsidRPr="00676788" w:rsidRDefault="00AE395D" w:rsidP="00CD23EC">
      <w:pPr>
        <w:pStyle w:val="Bodytext41"/>
        <w:spacing w:before="120" w:after="120" w:line="240" w:lineRule="auto"/>
        <w:jc w:val="center"/>
        <w:rPr>
          <w:sz w:val="24"/>
          <w:szCs w:val="24"/>
        </w:rPr>
      </w:pPr>
      <w:r w:rsidRPr="00676788">
        <w:rPr>
          <w:sz w:val="24"/>
          <w:szCs w:val="24"/>
        </w:rPr>
        <w:t>FORMAL AMENDMENTS</w:t>
      </w:r>
    </w:p>
    <w:p w14:paraId="4DE33ABC" w14:textId="5B6A537C" w:rsidR="00CD23EC" w:rsidRDefault="00AE395D" w:rsidP="00CD23EC">
      <w:pPr>
        <w:pStyle w:val="Bodytext41"/>
        <w:spacing w:line="240" w:lineRule="auto"/>
        <w:ind w:firstLine="270"/>
        <w:rPr>
          <w:sz w:val="24"/>
          <w:szCs w:val="24"/>
        </w:rPr>
      </w:pPr>
      <w:r w:rsidRPr="00676788">
        <w:rPr>
          <w:sz w:val="24"/>
          <w:szCs w:val="24"/>
        </w:rPr>
        <w:t xml:space="preserve">The title to, and the following provisions of, the Principal Act are amended </w:t>
      </w:r>
      <w:r w:rsidR="003641CC">
        <w:rPr>
          <w:sz w:val="24"/>
          <w:szCs w:val="24"/>
        </w:rPr>
        <w:t>by omitting the word “Australia</w:t>
      </w:r>
      <w:r w:rsidRPr="00676788">
        <w:rPr>
          <w:sz w:val="24"/>
          <w:szCs w:val="24"/>
        </w:rPr>
        <w:t>” (wherever occurring) and substituting</w:t>
      </w:r>
      <w:r w:rsidR="00BC19B5">
        <w:rPr>
          <w:sz w:val="24"/>
          <w:szCs w:val="24"/>
        </w:rPr>
        <w:t xml:space="preserve"> the words “the Commonwealth”:—</w:t>
      </w:r>
    </w:p>
    <w:p w14:paraId="21512061" w14:textId="14C50EB2" w:rsidR="00FA596C" w:rsidRDefault="00AE395D" w:rsidP="00CD23EC">
      <w:pPr>
        <w:pStyle w:val="Bodytext41"/>
        <w:spacing w:before="120" w:line="240" w:lineRule="auto"/>
        <w:ind w:firstLine="270"/>
        <w:rPr>
          <w:sz w:val="24"/>
          <w:szCs w:val="24"/>
        </w:rPr>
      </w:pPr>
      <w:r w:rsidRPr="00676788">
        <w:rPr>
          <w:sz w:val="24"/>
          <w:szCs w:val="24"/>
        </w:rPr>
        <w:t>Sections 3 (definitions of “eligible organization” and “government authority”), 10(1) and (3), 13(1), 15(1), 18(</w:t>
      </w:r>
      <w:r w:rsidR="00BC19B5">
        <w:rPr>
          <w:sz w:val="24"/>
          <w:szCs w:val="24"/>
        </w:rPr>
        <w:t>1</w:t>
      </w:r>
      <w:r w:rsidRPr="00676788">
        <w:rPr>
          <w:sz w:val="24"/>
          <w:szCs w:val="24"/>
        </w:rPr>
        <w:t>)</w:t>
      </w:r>
      <w:r w:rsidR="00447DA2">
        <w:rPr>
          <w:sz w:val="24"/>
          <w:szCs w:val="24"/>
        </w:rPr>
        <w:t xml:space="preserve"> </w:t>
      </w:r>
      <w:r w:rsidRPr="00676788">
        <w:rPr>
          <w:sz w:val="24"/>
          <w:szCs w:val="24"/>
        </w:rPr>
        <w:t>and</w:t>
      </w:r>
      <w:r w:rsidR="00447DA2">
        <w:rPr>
          <w:sz w:val="24"/>
          <w:szCs w:val="24"/>
        </w:rPr>
        <w:t xml:space="preserve"> </w:t>
      </w:r>
      <w:r w:rsidRPr="00676788">
        <w:rPr>
          <w:sz w:val="24"/>
          <w:szCs w:val="24"/>
        </w:rPr>
        <w:t>(4)</w:t>
      </w:r>
      <w:r w:rsidR="003641CC">
        <w:rPr>
          <w:sz w:val="24"/>
          <w:szCs w:val="24"/>
        </w:rPr>
        <w:t xml:space="preserve"> </w:t>
      </w:r>
      <w:r w:rsidRPr="00676788">
        <w:rPr>
          <w:sz w:val="24"/>
          <w:szCs w:val="24"/>
        </w:rPr>
        <w:t>and</w:t>
      </w:r>
      <w:r w:rsidR="003641CC">
        <w:rPr>
          <w:sz w:val="24"/>
          <w:szCs w:val="24"/>
        </w:rPr>
        <w:t xml:space="preserve"> </w:t>
      </w:r>
      <w:r w:rsidRPr="00676788">
        <w:rPr>
          <w:sz w:val="24"/>
          <w:szCs w:val="24"/>
        </w:rPr>
        <w:t>31(3).</w:t>
      </w:r>
    </w:p>
    <w:p w14:paraId="4053FA29" w14:textId="77777777" w:rsidR="00676788" w:rsidRPr="00676788" w:rsidRDefault="00676788" w:rsidP="00CD23EC">
      <w:pPr>
        <w:pStyle w:val="Bodytext41"/>
        <w:pBdr>
          <w:bottom w:val="single" w:sz="12" w:space="1" w:color="auto"/>
        </w:pBdr>
        <w:spacing w:after="120" w:line="240" w:lineRule="auto"/>
        <w:ind w:firstLine="270"/>
        <w:rPr>
          <w:sz w:val="24"/>
          <w:szCs w:val="24"/>
        </w:rPr>
      </w:pPr>
    </w:p>
    <w:sectPr w:rsidR="00676788" w:rsidRPr="00676788" w:rsidSect="00676788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EB63B0" w15:done="0"/>
  <w15:commentEx w15:paraId="649BD021" w15:done="0"/>
  <w15:commentEx w15:paraId="04469FBC" w15:done="0"/>
  <w15:commentEx w15:paraId="3E03EB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EB63B0" w16cid:durableId="1F5C430A"/>
  <w16cid:commentId w16cid:paraId="649BD021" w16cid:durableId="1F5C4310"/>
  <w16cid:commentId w16cid:paraId="04469FBC" w16cid:durableId="1F5C4316"/>
  <w16cid:commentId w16cid:paraId="3E03EBE1" w16cid:durableId="1F5C43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BE85" w14:textId="77777777" w:rsidR="001D6ECC" w:rsidRDefault="001D6ECC">
      <w:r>
        <w:separator/>
      </w:r>
    </w:p>
  </w:endnote>
  <w:endnote w:type="continuationSeparator" w:id="0">
    <w:p w14:paraId="479EB92E" w14:textId="77777777" w:rsidR="001D6ECC" w:rsidRDefault="001D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9D984" w14:textId="77777777" w:rsidR="001D6ECC" w:rsidRDefault="001D6ECC">
      <w:r>
        <w:separator/>
      </w:r>
    </w:p>
  </w:footnote>
  <w:footnote w:type="continuationSeparator" w:id="0">
    <w:p w14:paraId="036CE285" w14:textId="77777777" w:rsidR="001D6ECC" w:rsidRDefault="001D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91C"/>
    <w:multiLevelType w:val="multilevel"/>
    <w:tmpl w:val="F772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661A3"/>
    <w:multiLevelType w:val="multilevel"/>
    <w:tmpl w:val="C5447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596C"/>
    <w:rsid w:val="001D6ECC"/>
    <w:rsid w:val="002A6B60"/>
    <w:rsid w:val="002D6F81"/>
    <w:rsid w:val="003641CC"/>
    <w:rsid w:val="00447DA2"/>
    <w:rsid w:val="00676788"/>
    <w:rsid w:val="00867F07"/>
    <w:rsid w:val="00926699"/>
    <w:rsid w:val="00AE395D"/>
    <w:rsid w:val="00B477CA"/>
    <w:rsid w:val="00BC19B5"/>
    <w:rsid w:val="00C878E5"/>
    <w:rsid w:val="00CD23EC"/>
    <w:rsid w:val="00D13712"/>
    <w:rsid w:val="00D67A2E"/>
    <w:rsid w:val="00E72308"/>
    <w:rsid w:val="00F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4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TimesNewRoman">
    <w:name w:val="Body text + Times New Roman"/>
    <w:aliases w:val="11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TimesNewRoman0">
    <w:name w:val="Body text + Times New Roman"/>
    <w:aliases w:val="11.5 pt,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2115pt0">
    <w:name w:val="Body text (2) + 11.5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TimesNewRoman1">
    <w:name w:val="Body text + Times New Roman"/>
    <w:aliases w:val="11.5 pt,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">
    <w:name w:val="Body text + Arial"/>
    <w:aliases w:val="16.5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15pt">
    <w:name w:val="Body text (4) + 11.5 pt"/>
    <w:basedOn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41">
    <w:name w:val="Body text (4)"/>
    <w:basedOn w:val="Normal"/>
    <w:link w:val="Bodytext40"/>
    <w:pPr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341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235" w:lineRule="exact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Bodytext20">
    <w:name w:val="Body text (2)"/>
    <w:basedOn w:val="Normal"/>
    <w:link w:val="Bodytext2"/>
    <w:pPr>
      <w:spacing w:line="23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E72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30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308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08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C19B5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2018-09-30T20:54:00Z</dcterms:created>
  <dcterms:modified xsi:type="dcterms:W3CDTF">2019-08-12T02:15:00Z</dcterms:modified>
</cp:coreProperties>
</file>