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06835" w14:textId="294316FC" w:rsidR="00482F85" w:rsidRDefault="008D4C0A" w:rsidP="00EB58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EB5863">
        <w:rPr>
          <w:rFonts w:ascii="Times New Roman" w:hAnsi="Times New Roman" w:cs="Times New Roman"/>
          <w:b/>
          <w:sz w:val="36"/>
          <w:szCs w:val="36"/>
        </w:rPr>
        <w:t>AUSTRALIAN FILM AND TELEVISION</w:t>
      </w:r>
      <w:r w:rsidR="000C36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5863">
        <w:rPr>
          <w:rFonts w:ascii="Times New Roman" w:hAnsi="Times New Roman" w:cs="Times New Roman"/>
          <w:b/>
          <w:sz w:val="36"/>
          <w:szCs w:val="36"/>
        </w:rPr>
        <w:t>SCHOOL AMENDMENT ACT 1976</w:t>
      </w:r>
      <w:bookmarkEnd w:id="0"/>
    </w:p>
    <w:p w14:paraId="695AB868" w14:textId="77777777" w:rsidR="00EB5863" w:rsidRPr="00EB5863" w:rsidRDefault="00EB5863" w:rsidP="00EB58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61510F" w14:textId="77777777" w:rsidR="00482F85" w:rsidRDefault="008D4C0A" w:rsidP="00EB5863">
      <w:pPr>
        <w:jc w:val="center"/>
        <w:rPr>
          <w:rStyle w:val="Heading21"/>
          <w:rFonts w:ascii="Times New Roman" w:hAnsi="Times New Roman" w:cs="Times New Roman"/>
          <w:sz w:val="28"/>
          <w:szCs w:val="28"/>
        </w:rPr>
      </w:pPr>
      <w:bookmarkStart w:id="1" w:name="bookmark1"/>
      <w:r w:rsidRPr="00EB5863">
        <w:rPr>
          <w:rStyle w:val="Heading21"/>
          <w:rFonts w:ascii="Times New Roman" w:hAnsi="Times New Roman" w:cs="Times New Roman"/>
          <w:sz w:val="28"/>
          <w:szCs w:val="28"/>
        </w:rPr>
        <w:t>No. 110</w:t>
      </w:r>
      <w:r w:rsidR="00634CBF">
        <w:rPr>
          <w:rStyle w:val="Heading21"/>
          <w:rFonts w:ascii="Times New Roman" w:hAnsi="Times New Roman" w:cs="Times New Roman"/>
          <w:sz w:val="28"/>
          <w:szCs w:val="28"/>
        </w:rPr>
        <w:t xml:space="preserve"> </w:t>
      </w:r>
      <w:r w:rsidRPr="00EB5863">
        <w:rPr>
          <w:rStyle w:val="Heading21"/>
          <w:rFonts w:ascii="Times New Roman" w:hAnsi="Times New Roman" w:cs="Times New Roman"/>
          <w:sz w:val="28"/>
          <w:szCs w:val="28"/>
        </w:rPr>
        <w:t>of 1976</w:t>
      </w:r>
      <w:bookmarkEnd w:id="1"/>
    </w:p>
    <w:p w14:paraId="5D5F49F0" w14:textId="77777777" w:rsidR="00EB5863" w:rsidRPr="00EB5863" w:rsidRDefault="00EB5863" w:rsidP="00EB58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45341" w14:textId="77777777" w:rsidR="00482F85" w:rsidRDefault="008D4C0A" w:rsidP="00EB5863">
      <w:pPr>
        <w:pStyle w:val="Bodytext20"/>
        <w:spacing w:line="240" w:lineRule="auto"/>
        <w:jc w:val="center"/>
        <w:rPr>
          <w:rStyle w:val="Bodytext2NotItalic"/>
          <w:sz w:val="24"/>
          <w:szCs w:val="24"/>
        </w:rPr>
      </w:pPr>
      <w:r w:rsidRPr="00EB5863">
        <w:rPr>
          <w:rStyle w:val="Bodytext2NotItalic"/>
          <w:sz w:val="24"/>
          <w:szCs w:val="24"/>
        </w:rPr>
        <w:t xml:space="preserve">An Act to amend the </w:t>
      </w:r>
      <w:r w:rsidRPr="00EB5863">
        <w:rPr>
          <w:rStyle w:val="Bodytext21"/>
          <w:i/>
          <w:iCs/>
          <w:sz w:val="24"/>
          <w:szCs w:val="24"/>
        </w:rPr>
        <w:t>Film and Television School Act</w:t>
      </w:r>
      <w:r w:rsidRPr="00EB5863">
        <w:rPr>
          <w:rStyle w:val="Bodytext2NotItalic"/>
          <w:sz w:val="24"/>
          <w:szCs w:val="24"/>
        </w:rPr>
        <w:t xml:space="preserve"> 1973.</w:t>
      </w:r>
    </w:p>
    <w:p w14:paraId="4F6AF56A" w14:textId="77777777" w:rsidR="00EB5863" w:rsidRPr="00EB5863" w:rsidRDefault="00EB5863" w:rsidP="00EB5863">
      <w:pPr>
        <w:pStyle w:val="Bodytext20"/>
        <w:spacing w:line="240" w:lineRule="auto"/>
        <w:jc w:val="center"/>
        <w:rPr>
          <w:sz w:val="24"/>
          <w:szCs w:val="24"/>
        </w:rPr>
      </w:pPr>
    </w:p>
    <w:p w14:paraId="5555CA3C" w14:textId="77777777" w:rsidR="00482F85" w:rsidRPr="00EB5863" w:rsidRDefault="008D4C0A" w:rsidP="00EB5863">
      <w:pPr>
        <w:pStyle w:val="BodyText33"/>
        <w:spacing w:line="240" w:lineRule="auto"/>
        <w:ind w:firstLine="274"/>
        <w:jc w:val="both"/>
        <w:rPr>
          <w:sz w:val="24"/>
          <w:szCs w:val="24"/>
        </w:rPr>
      </w:pPr>
      <w:r w:rsidRPr="00EB5863">
        <w:rPr>
          <w:sz w:val="24"/>
          <w:szCs w:val="24"/>
        </w:rPr>
        <w:t>BE IT ENACTED by the Queen, and the Senate and House of Representatives of the Commonwealth of Australia, as follows:—</w:t>
      </w:r>
    </w:p>
    <w:p w14:paraId="573C3AC2" w14:textId="77777777" w:rsidR="00482F85" w:rsidRPr="00EB5863" w:rsidRDefault="008D4C0A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1"/>
          <w:b/>
          <w:sz w:val="20"/>
          <w:szCs w:val="20"/>
        </w:rPr>
        <w:t>Short title,</w:t>
      </w:r>
      <w:r w:rsidR="008F1974" w:rsidRPr="00EB5863">
        <w:rPr>
          <w:rStyle w:val="Bodytext31"/>
          <w:b/>
          <w:sz w:val="20"/>
          <w:szCs w:val="20"/>
        </w:rPr>
        <w:t xml:space="preserve"> </w:t>
      </w:r>
      <w:r w:rsidRPr="00EB5863">
        <w:rPr>
          <w:rStyle w:val="Bodytext31"/>
          <w:b/>
          <w:sz w:val="20"/>
          <w:szCs w:val="20"/>
        </w:rPr>
        <w:t>&amp;c.</w:t>
      </w:r>
    </w:p>
    <w:p w14:paraId="3CA711F3" w14:textId="6526C0E6" w:rsidR="00482F85" w:rsidRPr="00EB5863" w:rsidRDefault="00EB5863" w:rsidP="00EB5863">
      <w:pPr>
        <w:pStyle w:val="Bodytext20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2NotItalic"/>
          <w:b/>
          <w:sz w:val="24"/>
          <w:szCs w:val="24"/>
        </w:rPr>
        <w:t>1</w:t>
      </w:r>
      <w:r w:rsidR="000C368E">
        <w:rPr>
          <w:rStyle w:val="Bodytext2NotItalic"/>
          <w:b/>
          <w:sz w:val="24"/>
          <w:szCs w:val="24"/>
        </w:rPr>
        <w:t>.</w:t>
      </w:r>
      <w:r w:rsidRPr="00EB5863">
        <w:rPr>
          <w:rStyle w:val="Bodytext2NotItalic"/>
          <w:b/>
          <w:sz w:val="24"/>
          <w:szCs w:val="24"/>
        </w:rPr>
        <w:t xml:space="preserve"> </w:t>
      </w:r>
      <w:r w:rsidR="008D4C0A" w:rsidRPr="000C368E">
        <w:rPr>
          <w:rStyle w:val="Bodytext2NotItalic"/>
          <w:sz w:val="24"/>
          <w:szCs w:val="24"/>
        </w:rPr>
        <w:t>(</w:t>
      </w:r>
      <w:r w:rsidR="008D4C0A" w:rsidRPr="00EB5863">
        <w:rPr>
          <w:rStyle w:val="Bodytext2NotItalic"/>
          <w:sz w:val="24"/>
          <w:szCs w:val="24"/>
        </w:rPr>
        <w:t xml:space="preserve">1) This Act may be cited as the </w:t>
      </w:r>
      <w:r w:rsidR="008D4C0A" w:rsidRPr="00EB5863">
        <w:rPr>
          <w:rStyle w:val="Bodytext21"/>
          <w:i/>
          <w:iCs/>
          <w:sz w:val="24"/>
          <w:szCs w:val="24"/>
        </w:rPr>
        <w:t>Australian Film and Television School Amendment Act</w:t>
      </w:r>
      <w:r w:rsidR="008D4C0A" w:rsidRPr="00EB5863">
        <w:rPr>
          <w:rStyle w:val="Bodytext2NotItalic"/>
          <w:sz w:val="24"/>
          <w:szCs w:val="24"/>
        </w:rPr>
        <w:t xml:space="preserve"> 1976.</w:t>
      </w:r>
    </w:p>
    <w:p w14:paraId="70685936" w14:textId="17885B64" w:rsidR="00482F85" w:rsidRPr="00EB5863" w:rsidRDefault="008D4C0A" w:rsidP="00EB5863">
      <w:pPr>
        <w:pStyle w:val="BodyText33"/>
        <w:spacing w:line="240" w:lineRule="auto"/>
        <w:ind w:firstLine="270"/>
        <w:jc w:val="both"/>
        <w:rPr>
          <w:sz w:val="24"/>
          <w:szCs w:val="24"/>
        </w:rPr>
      </w:pPr>
      <w:r w:rsidRPr="00EB5863">
        <w:rPr>
          <w:sz w:val="24"/>
          <w:szCs w:val="24"/>
        </w:rPr>
        <w:t xml:space="preserve">(2) The </w:t>
      </w:r>
      <w:r w:rsidRPr="00EB5863">
        <w:rPr>
          <w:rStyle w:val="BodytextItalic"/>
          <w:sz w:val="24"/>
          <w:szCs w:val="24"/>
        </w:rPr>
        <w:t>Film and Television School Act</w:t>
      </w:r>
      <w:r w:rsidRPr="00EB5863">
        <w:rPr>
          <w:sz w:val="24"/>
          <w:szCs w:val="24"/>
        </w:rPr>
        <w:t xml:space="preserve"> 1973 is in this Act referred to as the Principal Act.</w:t>
      </w:r>
    </w:p>
    <w:p w14:paraId="6E3366D3" w14:textId="77777777" w:rsidR="008F1974" w:rsidRPr="00EB5863" w:rsidRDefault="008F1974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1"/>
          <w:b/>
          <w:sz w:val="20"/>
          <w:szCs w:val="20"/>
        </w:rPr>
        <w:t>Commencement.</w:t>
      </w:r>
    </w:p>
    <w:p w14:paraId="44FC9062" w14:textId="5286C6E0" w:rsidR="00482F85" w:rsidRPr="00EB5863" w:rsidRDefault="008F1974" w:rsidP="00EB5863">
      <w:pPr>
        <w:pStyle w:val="BodyText33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EB5863">
        <w:rPr>
          <w:b/>
          <w:sz w:val="24"/>
          <w:szCs w:val="24"/>
        </w:rPr>
        <w:t>2.</w:t>
      </w:r>
      <w:r w:rsidR="00EB5863">
        <w:rPr>
          <w:sz w:val="24"/>
          <w:szCs w:val="24"/>
        </w:rPr>
        <w:tab/>
      </w:r>
      <w:r w:rsidR="008D4C0A" w:rsidRPr="00EB5863">
        <w:rPr>
          <w:sz w:val="24"/>
          <w:szCs w:val="24"/>
        </w:rPr>
        <w:t>This Act shall come into operation on the day on which it receives the Royal Assent.</w:t>
      </w:r>
    </w:p>
    <w:p w14:paraId="283BD073" w14:textId="77777777" w:rsidR="008F1974" w:rsidRPr="00EB5863" w:rsidRDefault="008F1974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1"/>
          <w:b/>
          <w:sz w:val="20"/>
          <w:szCs w:val="20"/>
        </w:rPr>
        <w:t>Definitions.</w:t>
      </w:r>
    </w:p>
    <w:p w14:paraId="19B8A53F" w14:textId="77777777" w:rsidR="00482F85" w:rsidRPr="00EB5863" w:rsidRDefault="008F1974" w:rsidP="00EB5863">
      <w:pPr>
        <w:pStyle w:val="BodyText33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b/>
          <w:sz w:val="24"/>
          <w:szCs w:val="24"/>
        </w:rPr>
        <w:t>3.</w:t>
      </w:r>
      <w:r w:rsidR="00EB5863">
        <w:rPr>
          <w:sz w:val="24"/>
          <w:szCs w:val="24"/>
        </w:rPr>
        <w:tab/>
      </w:r>
      <w:r w:rsidR="008D4C0A" w:rsidRPr="00EB5863">
        <w:rPr>
          <w:sz w:val="24"/>
          <w:szCs w:val="24"/>
        </w:rPr>
        <w:t>Section 3 of the Principal Act is amended—</w:t>
      </w:r>
    </w:p>
    <w:p w14:paraId="5BA810B7" w14:textId="1AC332E4" w:rsidR="00482F85" w:rsidRPr="00EB5863" w:rsidRDefault="008F1974" w:rsidP="00EB5863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sz w:val="24"/>
          <w:szCs w:val="24"/>
        </w:rPr>
        <w:t>(a)</w:t>
      </w:r>
      <w:r w:rsidR="000C368E">
        <w:rPr>
          <w:sz w:val="24"/>
          <w:szCs w:val="24"/>
        </w:rPr>
        <w:t xml:space="preserve"> </w:t>
      </w:r>
      <w:r w:rsidR="008D4C0A" w:rsidRPr="00EB5863">
        <w:rPr>
          <w:sz w:val="24"/>
          <w:szCs w:val="24"/>
        </w:rPr>
        <w:t>by inserting after the definition of “appointed” the following definition:—</w:t>
      </w:r>
    </w:p>
    <w:p w14:paraId="59962A79" w14:textId="4D84078E" w:rsidR="00482F85" w:rsidRPr="00EB5863" w:rsidRDefault="008D4C0A" w:rsidP="00EB5863">
      <w:pPr>
        <w:pStyle w:val="BodyText33"/>
        <w:spacing w:after="120" w:line="240" w:lineRule="auto"/>
        <w:ind w:left="1267" w:hanging="547"/>
        <w:jc w:val="both"/>
        <w:rPr>
          <w:sz w:val="24"/>
          <w:szCs w:val="24"/>
        </w:rPr>
      </w:pPr>
      <w:r w:rsidRPr="00EB5863">
        <w:rPr>
          <w:sz w:val="24"/>
          <w:szCs w:val="24"/>
        </w:rPr>
        <w:t>“‘broadcast’ means to transmit by way of television or radio, and ‘broadcasting’ has a corresponding meaning;</w:t>
      </w:r>
    </w:p>
    <w:p w14:paraId="70E856AB" w14:textId="77777777" w:rsidR="00482F85" w:rsidRPr="00EB5863" w:rsidRDefault="008F1974" w:rsidP="00EB5863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sz w:val="24"/>
          <w:szCs w:val="24"/>
        </w:rPr>
        <w:t xml:space="preserve">(b) </w:t>
      </w:r>
      <w:r w:rsidR="008D4C0A" w:rsidRPr="00EB5863">
        <w:rPr>
          <w:sz w:val="24"/>
          <w:szCs w:val="24"/>
        </w:rPr>
        <w:t>by omitting the definition of</w:t>
      </w:r>
      <w:r w:rsidRPr="00EB5863">
        <w:rPr>
          <w:sz w:val="24"/>
          <w:szCs w:val="24"/>
        </w:rPr>
        <w:t xml:space="preserve"> </w:t>
      </w:r>
      <w:r w:rsidR="008D4C0A" w:rsidRPr="00EB5863">
        <w:rPr>
          <w:sz w:val="24"/>
          <w:szCs w:val="24"/>
        </w:rPr>
        <w:t>“film”; and</w:t>
      </w:r>
    </w:p>
    <w:p w14:paraId="1C51E1D9" w14:textId="77777777" w:rsidR="00482F85" w:rsidRPr="00EB5863" w:rsidRDefault="008F1974" w:rsidP="003E530A">
      <w:pPr>
        <w:pStyle w:val="BodyText33"/>
        <w:spacing w:after="120" w:line="240" w:lineRule="auto"/>
        <w:ind w:left="634" w:hanging="360"/>
        <w:jc w:val="both"/>
        <w:rPr>
          <w:sz w:val="24"/>
          <w:szCs w:val="24"/>
        </w:rPr>
      </w:pPr>
      <w:r w:rsidRPr="00EB5863">
        <w:rPr>
          <w:sz w:val="24"/>
          <w:szCs w:val="24"/>
        </w:rPr>
        <w:t xml:space="preserve">(c) </w:t>
      </w:r>
      <w:r w:rsidR="008D4C0A" w:rsidRPr="00EB5863">
        <w:rPr>
          <w:sz w:val="24"/>
          <w:szCs w:val="24"/>
        </w:rPr>
        <w:t>by omitting the definition of “member of the staff of the School” and substituting the following definitions:—</w:t>
      </w:r>
    </w:p>
    <w:p w14:paraId="0C5201E6" w14:textId="5D22AB4D" w:rsidR="00482F85" w:rsidRPr="00EB5863" w:rsidRDefault="008D4C0A" w:rsidP="003E530A">
      <w:pPr>
        <w:pStyle w:val="BodyText33"/>
        <w:spacing w:after="120" w:line="240" w:lineRule="auto"/>
        <w:ind w:left="1252" w:hanging="446"/>
        <w:jc w:val="both"/>
        <w:rPr>
          <w:sz w:val="24"/>
          <w:szCs w:val="24"/>
        </w:rPr>
      </w:pPr>
      <w:r w:rsidRPr="00EB5863">
        <w:rPr>
          <w:sz w:val="24"/>
          <w:szCs w:val="24"/>
        </w:rPr>
        <w:t>“‘member of the staff of the School’ means, except in section 21, a person who is employed on a full-time basis under section 34, being a person who has been so employed, or whose term of employment is for a period of 12 months or more;</w:t>
      </w:r>
    </w:p>
    <w:p w14:paraId="411F93A5" w14:textId="77777777" w:rsidR="00482F85" w:rsidRPr="00EB5863" w:rsidRDefault="008D4C0A" w:rsidP="00EB5863">
      <w:pPr>
        <w:pStyle w:val="BodyText33"/>
        <w:spacing w:after="120" w:line="240" w:lineRule="auto"/>
        <w:ind w:firstLine="806"/>
        <w:jc w:val="both"/>
        <w:rPr>
          <w:sz w:val="24"/>
          <w:szCs w:val="24"/>
        </w:rPr>
      </w:pPr>
      <w:r w:rsidRPr="00EB5863">
        <w:rPr>
          <w:sz w:val="24"/>
          <w:szCs w:val="24"/>
        </w:rPr>
        <w:t>‘program’ means—</w:t>
      </w:r>
    </w:p>
    <w:p w14:paraId="736FF888" w14:textId="77777777" w:rsidR="00482F85" w:rsidRPr="00EB5863" w:rsidRDefault="008F1974" w:rsidP="00EB5863">
      <w:pPr>
        <w:pStyle w:val="BodyText33"/>
        <w:spacing w:after="120" w:line="240" w:lineRule="auto"/>
        <w:ind w:left="1886" w:hanging="360"/>
        <w:jc w:val="both"/>
        <w:rPr>
          <w:sz w:val="24"/>
          <w:szCs w:val="24"/>
        </w:rPr>
      </w:pPr>
      <w:r w:rsidRPr="00EB5863">
        <w:rPr>
          <w:sz w:val="24"/>
          <w:szCs w:val="24"/>
        </w:rPr>
        <w:t xml:space="preserve">(a) </w:t>
      </w:r>
      <w:r w:rsidR="008D4C0A" w:rsidRPr="00EB5863">
        <w:rPr>
          <w:sz w:val="24"/>
          <w:szCs w:val="24"/>
        </w:rPr>
        <w:t>an aggregate of images or sounds, or of images and sounds, embodied in any material; or</w:t>
      </w:r>
    </w:p>
    <w:p w14:paraId="299E6036" w14:textId="77777777" w:rsidR="00482F85" w:rsidRPr="00EB5863" w:rsidRDefault="008F1974" w:rsidP="00EB5863">
      <w:pPr>
        <w:pStyle w:val="BodyText33"/>
        <w:spacing w:line="240" w:lineRule="auto"/>
        <w:ind w:left="1890" w:hanging="360"/>
        <w:jc w:val="both"/>
        <w:rPr>
          <w:sz w:val="24"/>
          <w:szCs w:val="24"/>
        </w:rPr>
      </w:pPr>
      <w:r w:rsidRPr="00EB5863">
        <w:rPr>
          <w:sz w:val="24"/>
          <w:szCs w:val="24"/>
        </w:rPr>
        <w:t xml:space="preserve">(b) </w:t>
      </w:r>
      <w:r w:rsidR="008D4C0A" w:rsidRPr="00EB5863">
        <w:rPr>
          <w:sz w:val="24"/>
          <w:szCs w:val="24"/>
        </w:rPr>
        <w:t>an aggregate of images or sounds, or of images and sounds, that is, or is intended to be, broadcast without first having been embodied in any material;”.</w:t>
      </w:r>
    </w:p>
    <w:p w14:paraId="3BDDB330" w14:textId="77777777" w:rsidR="00482F85" w:rsidRPr="00EB5863" w:rsidRDefault="00190FA6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1"/>
          <w:b/>
          <w:sz w:val="20"/>
          <w:szCs w:val="20"/>
        </w:rPr>
        <w:t>Establish</w:t>
      </w:r>
      <w:r w:rsidR="008D4C0A" w:rsidRPr="00EB5863">
        <w:rPr>
          <w:rStyle w:val="Bodytext31"/>
          <w:b/>
          <w:sz w:val="20"/>
          <w:szCs w:val="20"/>
        </w:rPr>
        <w:t>ment of School.</w:t>
      </w:r>
    </w:p>
    <w:p w14:paraId="22CD46E9" w14:textId="66F4C748" w:rsidR="008F1974" w:rsidRPr="000C368E" w:rsidRDefault="008F1974" w:rsidP="000C368E">
      <w:pPr>
        <w:pStyle w:val="BodyText33"/>
        <w:tabs>
          <w:tab w:val="left" w:pos="630"/>
        </w:tabs>
        <w:spacing w:line="240" w:lineRule="auto"/>
        <w:ind w:firstLine="270"/>
        <w:jc w:val="both"/>
        <w:rPr>
          <w:rStyle w:val="Bodytext5NotItalic"/>
          <w:i w:val="0"/>
          <w:iCs w:val="0"/>
          <w:sz w:val="24"/>
          <w:szCs w:val="24"/>
        </w:rPr>
      </w:pPr>
      <w:r w:rsidRPr="00EB5863">
        <w:rPr>
          <w:b/>
          <w:sz w:val="24"/>
          <w:szCs w:val="24"/>
        </w:rPr>
        <w:t>4.</w:t>
      </w:r>
      <w:r w:rsidR="00EB5863">
        <w:rPr>
          <w:sz w:val="24"/>
          <w:szCs w:val="24"/>
        </w:rPr>
        <w:tab/>
      </w:r>
      <w:r w:rsidR="008D4C0A" w:rsidRPr="00EB5863">
        <w:rPr>
          <w:sz w:val="24"/>
          <w:szCs w:val="24"/>
        </w:rPr>
        <w:t>Section 4 of the Principal Act is amended by inserting in sub</w:t>
      </w:r>
      <w:r w:rsidR="000C368E">
        <w:rPr>
          <w:sz w:val="24"/>
          <w:szCs w:val="24"/>
        </w:rPr>
        <w:t>-</w:t>
      </w:r>
      <w:r w:rsidR="008D4C0A" w:rsidRPr="00EB5863">
        <w:rPr>
          <w:sz w:val="24"/>
          <w:szCs w:val="24"/>
        </w:rPr>
        <w:t>section (1), before the word “Film</w:t>
      </w:r>
      <w:r w:rsidR="000C368E">
        <w:rPr>
          <w:sz w:val="24"/>
          <w:szCs w:val="24"/>
        </w:rPr>
        <w:t>”, the word “Australian”.</w:t>
      </w:r>
    </w:p>
    <w:p w14:paraId="382628F8" w14:textId="77777777" w:rsidR="00482F85" w:rsidRPr="00EB5863" w:rsidRDefault="008D4C0A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2"/>
          <w:b/>
          <w:sz w:val="20"/>
          <w:szCs w:val="20"/>
        </w:rPr>
        <w:t>Functions of School.</w:t>
      </w:r>
    </w:p>
    <w:p w14:paraId="2AFE8125" w14:textId="77777777" w:rsidR="00482F85" w:rsidRPr="00EB5863" w:rsidRDefault="008F1974" w:rsidP="00EB5863">
      <w:pPr>
        <w:pStyle w:val="BodyText33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b/>
          <w:sz w:val="24"/>
          <w:szCs w:val="24"/>
        </w:rPr>
        <w:t>5.</w:t>
      </w:r>
      <w:r w:rsidR="00EB5863">
        <w:rPr>
          <w:rStyle w:val="BodyText1"/>
          <w:sz w:val="24"/>
          <w:szCs w:val="24"/>
        </w:rPr>
        <w:tab/>
      </w:r>
      <w:r w:rsidR="008D4C0A" w:rsidRPr="00EB5863">
        <w:rPr>
          <w:rStyle w:val="BodyText1"/>
          <w:sz w:val="24"/>
          <w:szCs w:val="24"/>
        </w:rPr>
        <w:t>Section 5 of the Principal Act is amended—</w:t>
      </w:r>
    </w:p>
    <w:p w14:paraId="00AD3420" w14:textId="578DF211" w:rsidR="00482F85" w:rsidRPr="00EB5863" w:rsidRDefault="008F1974" w:rsidP="00EB5863">
      <w:pPr>
        <w:pStyle w:val="BodyText33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(a) </w:t>
      </w:r>
      <w:r w:rsidR="008D4C0A" w:rsidRPr="00EB5863">
        <w:rPr>
          <w:rStyle w:val="BodyText1"/>
          <w:sz w:val="24"/>
          <w:szCs w:val="24"/>
        </w:rPr>
        <w:t>by omitting the words “films and television” (wherever occurring); and</w:t>
      </w:r>
    </w:p>
    <w:p w14:paraId="0FB54E46" w14:textId="31582B2C" w:rsidR="00482F85" w:rsidRPr="00EB5863" w:rsidRDefault="008F1974" w:rsidP="00EB5863">
      <w:pPr>
        <w:pStyle w:val="BodyText33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(b) </w:t>
      </w:r>
      <w:r w:rsidR="008D4C0A" w:rsidRPr="00EB5863">
        <w:rPr>
          <w:rStyle w:val="BodyText1"/>
          <w:sz w:val="24"/>
          <w:szCs w:val="24"/>
        </w:rPr>
        <w:t xml:space="preserve">by omitting from paragraph (c) of sub-section (1) </w:t>
      </w:r>
      <w:r w:rsidR="009C53A9">
        <w:rPr>
          <w:rStyle w:val="BodyText1"/>
          <w:sz w:val="24"/>
          <w:szCs w:val="24"/>
        </w:rPr>
        <w:t>the words “films or television</w:t>
      </w:r>
      <w:r w:rsidR="000C368E">
        <w:rPr>
          <w:rStyle w:val="BodyText1"/>
          <w:sz w:val="24"/>
          <w:szCs w:val="24"/>
        </w:rPr>
        <w:t>”.</w:t>
      </w:r>
    </w:p>
    <w:p w14:paraId="39889212" w14:textId="523F6B9B" w:rsidR="00482F85" w:rsidRPr="00EB5863" w:rsidRDefault="00EB5863" w:rsidP="00EB5863">
      <w:pPr>
        <w:pStyle w:val="BodyText33"/>
        <w:tabs>
          <w:tab w:val="left" w:pos="630"/>
        </w:tabs>
        <w:spacing w:line="240" w:lineRule="auto"/>
        <w:ind w:firstLine="270"/>
        <w:jc w:val="both"/>
        <w:rPr>
          <w:sz w:val="24"/>
          <w:szCs w:val="24"/>
        </w:rPr>
      </w:pPr>
      <w:r w:rsidRPr="00EB5863">
        <w:rPr>
          <w:rStyle w:val="BodyText1"/>
          <w:b/>
          <w:sz w:val="24"/>
          <w:szCs w:val="24"/>
        </w:rPr>
        <w:t>6.</w:t>
      </w:r>
      <w:r>
        <w:rPr>
          <w:rStyle w:val="BodyText1"/>
          <w:sz w:val="24"/>
          <w:szCs w:val="24"/>
        </w:rPr>
        <w:tab/>
      </w:r>
      <w:r w:rsidR="008D4C0A" w:rsidRPr="00EB5863">
        <w:rPr>
          <w:rStyle w:val="BodyText1"/>
          <w:sz w:val="24"/>
          <w:szCs w:val="24"/>
        </w:rPr>
        <w:t>Section 12 of the Principal Act is repealed and the following section substituted:—</w:t>
      </w:r>
    </w:p>
    <w:p w14:paraId="47589C2F" w14:textId="77777777" w:rsidR="00482F85" w:rsidRPr="00EB5863" w:rsidRDefault="008D4C0A" w:rsidP="00EB5863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EB5863">
        <w:rPr>
          <w:rStyle w:val="Bodytext32"/>
          <w:b/>
          <w:sz w:val="20"/>
          <w:szCs w:val="20"/>
        </w:rPr>
        <w:t>Delegation by Council.</w:t>
      </w:r>
    </w:p>
    <w:p w14:paraId="2D6C9EED" w14:textId="77777777" w:rsidR="00482F85" w:rsidRPr="00EB5863" w:rsidRDefault="008D4C0A" w:rsidP="00EB5863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>“12. (1) Subject to any direction of the Minister, the Council may, by resolution, either generally or as o</w:t>
      </w:r>
      <w:r w:rsidR="00190FA6" w:rsidRPr="00EB5863">
        <w:rPr>
          <w:rStyle w:val="BodyText1"/>
          <w:sz w:val="24"/>
          <w:szCs w:val="24"/>
        </w:rPr>
        <w:t>therwise provided by the resolu</w:t>
      </w:r>
      <w:r w:rsidRPr="00EB5863">
        <w:rPr>
          <w:rStyle w:val="BodyText1"/>
          <w:sz w:val="24"/>
          <w:szCs w:val="24"/>
        </w:rPr>
        <w:t>tion, delegate to a member of the Council, a committee of the Council or a member of the staff of the School any of its powers under this Act, other than this power of delegation.</w:t>
      </w:r>
    </w:p>
    <w:p w14:paraId="3B19BA7F" w14:textId="77777777" w:rsidR="00482F85" w:rsidRPr="00EB5863" w:rsidRDefault="008D4C0A" w:rsidP="00EB5863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>“(2) A power so delegated, when exercised by the delegate, shall, for the purposes of this Act, be deemed to have been exercised by the Council.</w:t>
      </w:r>
    </w:p>
    <w:p w14:paraId="3DBC2EAE" w14:textId="77777777" w:rsidR="000C368E" w:rsidRDefault="000C368E">
      <w:pPr>
        <w:rPr>
          <w:rStyle w:val="BodyText1"/>
          <w:rFonts w:eastAsia="Courier New"/>
          <w:sz w:val="24"/>
          <w:szCs w:val="24"/>
        </w:rPr>
      </w:pPr>
      <w:r>
        <w:rPr>
          <w:rStyle w:val="BodyText1"/>
          <w:rFonts w:eastAsia="Courier New"/>
          <w:sz w:val="24"/>
          <w:szCs w:val="24"/>
        </w:rPr>
        <w:br w:type="page"/>
      </w:r>
    </w:p>
    <w:p w14:paraId="65147027" w14:textId="1E7D0882" w:rsidR="00482F85" w:rsidRPr="00EB5863" w:rsidRDefault="00EB332D" w:rsidP="00EB5863">
      <w:pPr>
        <w:pStyle w:val="BodyText33"/>
        <w:spacing w:line="240" w:lineRule="auto"/>
        <w:ind w:firstLine="270"/>
        <w:jc w:val="both"/>
        <w:rPr>
          <w:sz w:val="24"/>
          <w:szCs w:val="24"/>
        </w:rPr>
      </w:pPr>
      <w:r>
        <w:rPr>
          <w:rStyle w:val="BodyText1"/>
          <w:sz w:val="24"/>
          <w:szCs w:val="24"/>
        </w:rPr>
        <w:lastRenderedPageBreak/>
        <w:t>“</w:t>
      </w:r>
      <w:r w:rsidR="008D4C0A" w:rsidRPr="00EB5863">
        <w:rPr>
          <w:rStyle w:val="BodyText1"/>
          <w:sz w:val="24"/>
          <w:szCs w:val="24"/>
        </w:rPr>
        <w:t>(3) A delegation of a power under this section—</w:t>
      </w:r>
    </w:p>
    <w:p w14:paraId="5C1F7616" w14:textId="77777777" w:rsidR="00482F85" w:rsidRPr="00EB5863" w:rsidRDefault="008F1974" w:rsidP="0017779B">
      <w:pPr>
        <w:pStyle w:val="BodyText33"/>
        <w:spacing w:after="120" w:line="240" w:lineRule="auto"/>
        <w:ind w:left="630" w:hanging="356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(a) </w:t>
      </w:r>
      <w:r w:rsidR="008D4C0A" w:rsidRPr="00EB5863">
        <w:rPr>
          <w:rStyle w:val="BodyText1"/>
          <w:sz w:val="24"/>
          <w:szCs w:val="24"/>
        </w:rPr>
        <w:t>may be revoked by resolution of the Council (whether or not constituted by the persons constituting the Council at the time the power was delegated);</w:t>
      </w:r>
    </w:p>
    <w:p w14:paraId="3E0215BD" w14:textId="77777777" w:rsidR="00482F85" w:rsidRPr="00EB5863" w:rsidRDefault="008F1974" w:rsidP="0017779B">
      <w:pPr>
        <w:pStyle w:val="BodyText33"/>
        <w:spacing w:after="120" w:line="240" w:lineRule="auto"/>
        <w:ind w:left="630" w:hanging="356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>(b</w:t>
      </w:r>
      <w:r w:rsidR="008D4C0A" w:rsidRPr="00EB5863">
        <w:rPr>
          <w:rStyle w:val="BodyText1"/>
          <w:sz w:val="24"/>
          <w:szCs w:val="24"/>
        </w:rPr>
        <w:t>) does not prevent the exercise of the power by the Council; and</w:t>
      </w:r>
    </w:p>
    <w:p w14:paraId="7108D524" w14:textId="77777777" w:rsidR="00482F85" w:rsidRPr="00EB5863" w:rsidRDefault="008F1974" w:rsidP="0017779B">
      <w:pPr>
        <w:pStyle w:val="BodyText33"/>
        <w:spacing w:after="120" w:line="240" w:lineRule="auto"/>
        <w:ind w:left="630" w:hanging="356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(c) </w:t>
      </w:r>
      <w:r w:rsidR="008D4C0A" w:rsidRPr="00EB5863">
        <w:rPr>
          <w:rStyle w:val="BodyText1"/>
          <w:sz w:val="24"/>
          <w:szCs w:val="24"/>
        </w:rPr>
        <w:t>continues in force notwithstanding a change in the membership of the Council.</w:t>
      </w:r>
    </w:p>
    <w:p w14:paraId="7AE5ABFA" w14:textId="0D9559AE" w:rsidR="00482F85" w:rsidRPr="00EB5863" w:rsidRDefault="008D4C0A" w:rsidP="0017779B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>“(4) Section 34</w:t>
      </w:r>
      <w:r w:rsidRPr="000C368E">
        <w:rPr>
          <w:rStyle w:val="BodyText1"/>
          <w:smallCaps/>
          <w:sz w:val="24"/>
          <w:szCs w:val="24"/>
        </w:rPr>
        <w:t>a</w:t>
      </w:r>
      <w:r w:rsidRPr="00EB5863">
        <w:rPr>
          <w:rStyle w:val="BodyText1"/>
          <w:sz w:val="24"/>
          <w:szCs w:val="24"/>
        </w:rPr>
        <w:t xml:space="preserve"> of the </w:t>
      </w:r>
      <w:r w:rsidRPr="00EB5863">
        <w:rPr>
          <w:rStyle w:val="BodytextItalic0"/>
          <w:sz w:val="24"/>
          <w:szCs w:val="24"/>
        </w:rPr>
        <w:t>Acts Interpretation Act</w:t>
      </w:r>
      <w:r w:rsidR="006B5F5C" w:rsidRPr="00EB5863">
        <w:rPr>
          <w:rStyle w:val="BodyText1"/>
          <w:sz w:val="24"/>
          <w:szCs w:val="24"/>
        </w:rPr>
        <w:t xml:space="preserve"> 1901 applies in rela</w:t>
      </w:r>
      <w:r w:rsidRPr="00EB5863">
        <w:rPr>
          <w:rStyle w:val="BodyText1"/>
          <w:sz w:val="24"/>
          <w:szCs w:val="24"/>
        </w:rPr>
        <w:t>tion to a delegation under this section as if the Council were a person.</w:t>
      </w:r>
    </w:p>
    <w:p w14:paraId="58039738" w14:textId="77777777" w:rsidR="00482F85" w:rsidRPr="00EB5863" w:rsidRDefault="008D4C0A" w:rsidP="0017779B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“(5) A certificate signed by the Chairman of the Council stating any matter with respect to a delegation of a power under this section is </w:t>
      </w:r>
      <w:r w:rsidRPr="00EB5863">
        <w:rPr>
          <w:rStyle w:val="BodytextItalic0"/>
          <w:sz w:val="24"/>
          <w:szCs w:val="24"/>
        </w:rPr>
        <w:t>prima facie</w:t>
      </w:r>
      <w:r w:rsidRPr="00EB5863">
        <w:rPr>
          <w:rStyle w:val="BodyText1"/>
          <w:sz w:val="24"/>
          <w:szCs w:val="24"/>
        </w:rPr>
        <w:t xml:space="preserve"> evidence of that matter.</w:t>
      </w:r>
    </w:p>
    <w:p w14:paraId="1CCD33DC" w14:textId="00E4E524" w:rsidR="00482F85" w:rsidRPr="00EB5863" w:rsidRDefault="008D4C0A" w:rsidP="0017779B">
      <w:pPr>
        <w:pStyle w:val="BodyText33"/>
        <w:spacing w:line="240" w:lineRule="auto"/>
        <w:ind w:firstLine="270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>“(6) A document purporting to be a certificate mentioned in sub</w:t>
      </w:r>
      <w:r w:rsidR="000C368E">
        <w:rPr>
          <w:rStyle w:val="BodyText1"/>
          <w:sz w:val="24"/>
          <w:szCs w:val="24"/>
        </w:rPr>
        <w:t>-</w:t>
      </w:r>
      <w:r w:rsidRPr="00EB5863">
        <w:rPr>
          <w:rStyle w:val="BodyText1"/>
          <w:sz w:val="24"/>
          <w:szCs w:val="24"/>
        </w:rPr>
        <w:t>section (5) shall, unless the contrary is established, be deemed to be such a certificate and to have been duly given. ”.</w:t>
      </w:r>
    </w:p>
    <w:p w14:paraId="074B43B6" w14:textId="77777777" w:rsidR="00482F85" w:rsidRPr="00EB5863" w:rsidRDefault="008D4C0A" w:rsidP="00EB5863">
      <w:pPr>
        <w:pStyle w:val="Bodytext30"/>
        <w:spacing w:before="120" w:after="60" w:line="240" w:lineRule="auto"/>
        <w:rPr>
          <w:sz w:val="24"/>
          <w:szCs w:val="24"/>
        </w:rPr>
      </w:pPr>
      <w:r w:rsidRPr="00EB5863">
        <w:rPr>
          <w:rStyle w:val="Bodytext32"/>
          <w:b/>
          <w:sz w:val="20"/>
          <w:szCs w:val="20"/>
        </w:rPr>
        <w:t>Constitution of Convocation</w:t>
      </w:r>
      <w:r w:rsidRPr="00EB5863">
        <w:rPr>
          <w:rStyle w:val="Bodytext32"/>
          <w:sz w:val="24"/>
          <w:szCs w:val="24"/>
        </w:rPr>
        <w:t>.</w:t>
      </w:r>
    </w:p>
    <w:p w14:paraId="6D7146DA" w14:textId="77777777" w:rsidR="00482F85" w:rsidRPr="00EB5863" w:rsidRDefault="008F1974" w:rsidP="0017779B">
      <w:pPr>
        <w:pStyle w:val="BodyText33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17779B">
        <w:rPr>
          <w:rStyle w:val="BodyText1"/>
          <w:b/>
          <w:sz w:val="24"/>
          <w:szCs w:val="24"/>
        </w:rPr>
        <w:t>7.</w:t>
      </w:r>
      <w:r w:rsidR="0017779B">
        <w:rPr>
          <w:rStyle w:val="BodyText1"/>
          <w:sz w:val="24"/>
          <w:szCs w:val="24"/>
        </w:rPr>
        <w:tab/>
      </w:r>
      <w:r w:rsidR="008D4C0A" w:rsidRPr="00EB5863">
        <w:rPr>
          <w:rStyle w:val="BodyText1"/>
          <w:sz w:val="24"/>
          <w:szCs w:val="24"/>
        </w:rPr>
        <w:t>Section 21 of the Principal Act is amended—</w:t>
      </w:r>
    </w:p>
    <w:p w14:paraId="2DB7F9B4" w14:textId="77777777" w:rsidR="00482F85" w:rsidRPr="00EB5863" w:rsidRDefault="008F1974" w:rsidP="0017779B">
      <w:pPr>
        <w:pStyle w:val="BodyText33"/>
        <w:spacing w:after="120" w:line="240" w:lineRule="auto"/>
        <w:ind w:left="634" w:hanging="360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(a) </w:t>
      </w:r>
      <w:r w:rsidR="008D4C0A" w:rsidRPr="00EB5863">
        <w:rPr>
          <w:rStyle w:val="BodyText1"/>
          <w:sz w:val="24"/>
          <w:szCs w:val="24"/>
        </w:rPr>
        <w:t>by omitting from paragraph (d) of sub-section (1) the words “diplomas or certificates” and substituting the words “or diplomas”; and</w:t>
      </w:r>
    </w:p>
    <w:p w14:paraId="05F3466F" w14:textId="77777777" w:rsidR="00482F85" w:rsidRPr="00EB5863" w:rsidRDefault="008F1974" w:rsidP="0017779B">
      <w:pPr>
        <w:pStyle w:val="BodyText33"/>
        <w:spacing w:after="120" w:line="240" w:lineRule="auto"/>
        <w:ind w:firstLine="274"/>
        <w:jc w:val="both"/>
        <w:rPr>
          <w:sz w:val="24"/>
          <w:szCs w:val="24"/>
        </w:rPr>
      </w:pPr>
      <w:r w:rsidRPr="00EB5863">
        <w:rPr>
          <w:rStyle w:val="BodyText1"/>
          <w:sz w:val="24"/>
          <w:szCs w:val="24"/>
        </w:rPr>
        <w:t xml:space="preserve">(b) </w:t>
      </w:r>
      <w:r w:rsidR="008D4C0A" w:rsidRPr="00EB5863">
        <w:rPr>
          <w:rStyle w:val="BodyText1"/>
          <w:sz w:val="24"/>
          <w:szCs w:val="24"/>
        </w:rPr>
        <w:t>by inserting after sub-section (1) the following sub-section:—</w:t>
      </w:r>
    </w:p>
    <w:p w14:paraId="60E1D435" w14:textId="42568E13" w:rsidR="0017779B" w:rsidRDefault="008D4C0A" w:rsidP="0017779B">
      <w:pPr>
        <w:pStyle w:val="BodyText33"/>
        <w:spacing w:line="240" w:lineRule="auto"/>
        <w:ind w:left="630" w:firstLine="180"/>
        <w:jc w:val="both"/>
        <w:rPr>
          <w:rStyle w:val="BodyText1"/>
          <w:sz w:val="24"/>
          <w:szCs w:val="24"/>
        </w:rPr>
      </w:pPr>
      <w:r w:rsidRPr="00EB5863">
        <w:rPr>
          <w:rStyle w:val="BodyText1"/>
          <w:sz w:val="24"/>
          <w:szCs w:val="24"/>
        </w:rPr>
        <w:t>“(1</w:t>
      </w:r>
      <w:r w:rsidR="000C368E">
        <w:rPr>
          <w:rStyle w:val="BodyText1"/>
          <w:smallCaps/>
          <w:sz w:val="24"/>
          <w:szCs w:val="24"/>
        </w:rPr>
        <w:t>a</w:t>
      </w:r>
      <w:r w:rsidRPr="00EB5863">
        <w:rPr>
          <w:rStyle w:val="BodyText1"/>
          <w:sz w:val="24"/>
          <w:szCs w:val="24"/>
        </w:rPr>
        <w:t>) A reference in sub-section (1) to a member of the staff of the school is a reference to a member of the academic or</w:t>
      </w:r>
      <w:r w:rsidR="0017779B">
        <w:rPr>
          <w:rStyle w:val="BodyText1"/>
          <w:sz w:val="24"/>
          <w:szCs w:val="24"/>
        </w:rPr>
        <w:t xml:space="preserve"> tech</w:t>
      </w:r>
      <w:r w:rsidRPr="00EB5863">
        <w:rPr>
          <w:rStyle w:val="BodyText1"/>
          <w:sz w:val="24"/>
          <w:szCs w:val="24"/>
        </w:rPr>
        <w:t>nical staff of the School engaged in, or directly or indirectly associate</w:t>
      </w:r>
      <w:r w:rsidR="00EB332D">
        <w:rPr>
          <w:rStyle w:val="BodyText1"/>
          <w:sz w:val="24"/>
          <w:szCs w:val="24"/>
        </w:rPr>
        <w:t>d with, teaching at the School.</w:t>
      </w:r>
      <w:r w:rsidRPr="00EB5863">
        <w:rPr>
          <w:rStyle w:val="BodyText1"/>
          <w:sz w:val="24"/>
          <w:szCs w:val="24"/>
        </w:rPr>
        <w:t>”.</w:t>
      </w:r>
      <w:bookmarkStart w:id="2" w:name="bookmark2"/>
    </w:p>
    <w:bookmarkEnd w:id="2"/>
    <w:p w14:paraId="01D537E4" w14:textId="77777777" w:rsidR="008F1974" w:rsidRPr="0017779B" w:rsidRDefault="008D4C0A" w:rsidP="009C53A9">
      <w:pPr>
        <w:pStyle w:val="Bodytext30"/>
        <w:tabs>
          <w:tab w:val="left" w:pos="630"/>
        </w:tabs>
        <w:spacing w:before="120" w:after="60" w:line="240" w:lineRule="auto"/>
        <w:rPr>
          <w:rStyle w:val="Bodytext31"/>
          <w:b/>
          <w:sz w:val="20"/>
          <w:szCs w:val="20"/>
        </w:rPr>
      </w:pPr>
      <w:r w:rsidRPr="0017779B">
        <w:rPr>
          <w:rStyle w:val="Bodytext31"/>
          <w:b/>
          <w:sz w:val="20"/>
          <w:szCs w:val="20"/>
        </w:rPr>
        <w:t>Minor amendments.</w:t>
      </w:r>
    </w:p>
    <w:p w14:paraId="6BCDD302" w14:textId="77777777" w:rsidR="00482F85" w:rsidRDefault="008F1974" w:rsidP="0017779B">
      <w:pPr>
        <w:pStyle w:val="Bodytext30"/>
        <w:tabs>
          <w:tab w:val="left" w:pos="630"/>
        </w:tabs>
        <w:spacing w:line="240" w:lineRule="auto"/>
        <w:ind w:firstLine="270"/>
        <w:rPr>
          <w:rStyle w:val="BodyText22"/>
          <w:sz w:val="24"/>
          <w:szCs w:val="24"/>
        </w:rPr>
      </w:pPr>
      <w:r w:rsidRPr="0017779B">
        <w:rPr>
          <w:rStyle w:val="BodyText22"/>
          <w:b/>
          <w:sz w:val="24"/>
          <w:szCs w:val="24"/>
        </w:rPr>
        <w:t>8.</w:t>
      </w:r>
      <w:r w:rsidR="0017779B">
        <w:rPr>
          <w:rStyle w:val="BodyText22"/>
          <w:sz w:val="24"/>
          <w:szCs w:val="24"/>
        </w:rPr>
        <w:tab/>
      </w:r>
      <w:r w:rsidR="008D4C0A" w:rsidRPr="00EB5863">
        <w:rPr>
          <w:rStyle w:val="BodyText22"/>
          <w:sz w:val="24"/>
          <w:szCs w:val="24"/>
        </w:rPr>
        <w:t>The Principal Act is amended as set out in the Schedule.</w:t>
      </w:r>
    </w:p>
    <w:p w14:paraId="5224E1DF" w14:textId="77777777" w:rsidR="0017779B" w:rsidRPr="0017779B" w:rsidRDefault="0017779B" w:rsidP="0017779B">
      <w:pPr>
        <w:pStyle w:val="Bodytext30"/>
        <w:spacing w:before="120" w:after="60" w:line="240" w:lineRule="auto"/>
        <w:rPr>
          <w:b/>
          <w:sz w:val="20"/>
          <w:szCs w:val="20"/>
        </w:rPr>
      </w:pPr>
      <w:r w:rsidRPr="0017779B">
        <w:rPr>
          <w:rStyle w:val="Bodytext9pt"/>
          <w:b/>
          <w:sz w:val="20"/>
          <w:szCs w:val="20"/>
        </w:rPr>
        <w:t>Transitional</w:t>
      </w:r>
    </w:p>
    <w:p w14:paraId="6BFA1960" w14:textId="77777777" w:rsidR="00482F85" w:rsidRDefault="008F1974" w:rsidP="0017779B">
      <w:pPr>
        <w:pStyle w:val="BodyText33"/>
        <w:tabs>
          <w:tab w:val="left" w:pos="630"/>
        </w:tabs>
        <w:spacing w:line="240" w:lineRule="auto"/>
        <w:ind w:firstLine="270"/>
        <w:jc w:val="both"/>
        <w:rPr>
          <w:rStyle w:val="BodyText22"/>
          <w:sz w:val="24"/>
          <w:szCs w:val="24"/>
        </w:rPr>
      </w:pPr>
      <w:r w:rsidRPr="0017779B">
        <w:rPr>
          <w:rStyle w:val="BodyText22"/>
          <w:b/>
          <w:sz w:val="24"/>
          <w:szCs w:val="24"/>
        </w:rPr>
        <w:t>9.</w:t>
      </w:r>
      <w:r w:rsidR="0017779B">
        <w:rPr>
          <w:rStyle w:val="BodyText22"/>
          <w:sz w:val="24"/>
          <w:szCs w:val="24"/>
        </w:rPr>
        <w:tab/>
      </w:r>
      <w:r w:rsidR="008D4C0A" w:rsidRPr="00EB5863">
        <w:rPr>
          <w:rStyle w:val="BodyText22"/>
          <w:sz w:val="24"/>
          <w:szCs w:val="24"/>
        </w:rPr>
        <w:t>The alteration of names effected by sections 4 and 8 does not</w:t>
      </w:r>
      <w:r w:rsidR="008D4C0A" w:rsidRPr="00EB5863">
        <w:rPr>
          <w:rStyle w:val="Bodytext9pt"/>
          <w:sz w:val="24"/>
          <w:szCs w:val="24"/>
        </w:rPr>
        <w:t xml:space="preserve">, </w:t>
      </w:r>
      <w:r w:rsidR="008D4C0A" w:rsidRPr="00EB5863">
        <w:rPr>
          <w:rStyle w:val="BodyText22"/>
          <w:sz w:val="24"/>
          <w:szCs w:val="24"/>
        </w:rPr>
        <w:t>affect the identity of the corporation estab</w:t>
      </w:r>
      <w:r w:rsidR="006B5F5C" w:rsidRPr="00EB5863">
        <w:rPr>
          <w:rStyle w:val="BodyText22"/>
          <w:sz w:val="24"/>
          <w:szCs w:val="24"/>
        </w:rPr>
        <w:t>lished by section 4 of the Prin</w:t>
      </w:r>
      <w:r w:rsidR="008D4C0A" w:rsidRPr="00EB5863">
        <w:rPr>
          <w:rStyle w:val="BodyText22"/>
          <w:sz w:val="24"/>
          <w:szCs w:val="24"/>
        </w:rPr>
        <w:t>cipal Act or of the council referred to in section 7 of that Act.</w:t>
      </w:r>
    </w:p>
    <w:p w14:paraId="1681D4B5" w14:textId="77777777" w:rsidR="0017779B" w:rsidRPr="00EB5863" w:rsidRDefault="0017779B" w:rsidP="0017779B">
      <w:pPr>
        <w:pStyle w:val="BodyText33"/>
        <w:tabs>
          <w:tab w:val="left" w:pos="630"/>
        </w:tabs>
        <w:spacing w:line="240" w:lineRule="auto"/>
        <w:ind w:firstLine="270"/>
        <w:jc w:val="center"/>
        <w:rPr>
          <w:sz w:val="24"/>
          <w:szCs w:val="24"/>
        </w:rPr>
      </w:pPr>
      <w:r>
        <w:rPr>
          <w:rStyle w:val="BodyText22"/>
          <w:sz w:val="24"/>
          <w:szCs w:val="24"/>
        </w:rPr>
        <w:t>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3510"/>
        <w:gridCol w:w="1080"/>
      </w:tblGrid>
      <w:tr w:rsidR="00482F85" w:rsidRPr="00EB5863" w14:paraId="4ADF8B83" w14:textId="77777777" w:rsidTr="0017779B">
        <w:trPr>
          <w:trHeight w:val="283"/>
        </w:trPr>
        <w:tc>
          <w:tcPr>
            <w:tcW w:w="8290" w:type="dxa"/>
            <w:gridSpan w:val="2"/>
          </w:tcPr>
          <w:p w14:paraId="0DC9F49B" w14:textId="77777777" w:rsidR="0017779B" w:rsidRDefault="0017779B" w:rsidP="0017779B">
            <w:pPr>
              <w:pStyle w:val="BodyText33"/>
              <w:spacing w:line="240" w:lineRule="auto"/>
              <w:ind w:firstLine="4320"/>
              <w:rPr>
                <w:rStyle w:val="BodyText22"/>
                <w:sz w:val="24"/>
                <w:szCs w:val="24"/>
              </w:rPr>
            </w:pPr>
          </w:p>
          <w:p w14:paraId="17B9916A" w14:textId="77777777" w:rsidR="00482F85" w:rsidRPr="009C53A9" w:rsidRDefault="008D4C0A" w:rsidP="009C53A9">
            <w:pPr>
              <w:pStyle w:val="BodyText33"/>
              <w:spacing w:after="160" w:line="240" w:lineRule="auto"/>
              <w:ind w:firstLine="4320"/>
              <w:rPr>
                <w:sz w:val="26"/>
                <w:szCs w:val="26"/>
              </w:rPr>
            </w:pPr>
            <w:r w:rsidRPr="009C53A9">
              <w:rPr>
                <w:rStyle w:val="BodyText22"/>
                <w:sz w:val="26"/>
                <w:szCs w:val="26"/>
              </w:rPr>
              <w:t>SCHEDULE</w:t>
            </w:r>
          </w:p>
        </w:tc>
        <w:tc>
          <w:tcPr>
            <w:tcW w:w="1080" w:type="dxa"/>
          </w:tcPr>
          <w:p w14:paraId="450C3E57" w14:textId="77777777" w:rsidR="0017779B" w:rsidRDefault="0017779B" w:rsidP="0017779B">
            <w:pPr>
              <w:pStyle w:val="BodyText33"/>
              <w:spacing w:line="240" w:lineRule="auto"/>
              <w:ind w:firstLine="0"/>
              <w:rPr>
                <w:rStyle w:val="Bodytext9pt"/>
                <w:sz w:val="24"/>
                <w:szCs w:val="24"/>
              </w:rPr>
            </w:pPr>
          </w:p>
          <w:p w14:paraId="01C0573E" w14:textId="77777777" w:rsidR="00482F85" w:rsidRPr="00EB5863" w:rsidRDefault="008D4C0A" w:rsidP="0017779B">
            <w:pPr>
              <w:pStyle w:val="BodyText33"/>
              <w:spacing w:line="240" w:lineRule="auto"/>
              <w:ind w:firstLine="0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>Section 8</w:t>
            </w:r>
          </w:p>
        </w:tc>
      </w:tr>
      <w:tr w:rsidR="0017779B" w:rsidRPr="00EB5863" w14:paraId="50D6508F" w14:textId="77777777" w:rsidTr="0017779B">
        <w:trPr>
          <w:trHeight w:val="379"/>
        </w:trPr>
        <w:tc>
          <w:tcPr>
            <w:tcW w:w="9370" w:type="dxa"/>
            <w:gridSpan w:val="3"/>
            <w:vAlign w:val="bottom"/>
          </w:tcPr>
          <w:p w14:paraId="7CF7FDF3" w14:textId="77777777" w:rsidR="0017779B" w:rsidRPr="00EB5863" w:rsidRDefault="0017779B" w:rsidP="009C53A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MINOR AND CONSEQUENTIAL AMENDMENTS</w:t>
            </w:r>
          </w:p>
        </w:tc>
      </w:tr>
      <w:tr w:rsidR="0017779B" w:rsidRPr="00EB5863" w14:paraId="6D55BD18" w14:textId="77777777" w:rsidTr="0017779B">
        <w:trPr>
          <w:trHeight w:val="365"/>
        </w:trPr>
        <w:tc>
          <w:tcPr>
            <w:tcW w:w="4780" w:type="dxa"/>
            <w:tcBorders>
              <w:top w:val="single" w:sz="4" w:space="0" w:color="auto"/>
            </w:tcBorders>
          </w:tcPr>
          <w:p w14:paraId="48DD4C66" w14:textId="77777777" w:rsidR="0017779B" w:rsidRPr="00EB5863" w:rsidRDefault="0017779B" w:rsidP="00EB5863">
            <w:pPr>
              <w:pStyle w:val="BodyText33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>Provision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</w:tcBorders>
          </w:tcPr>
          <w:p w14:paraId="6CC8C5B6" w14:textId="77777777" w:rsidR="0017779B" w:rsidRPr="00EB5863" w:rsidRDefault="0017779B" w:rsidP="00EB5863">
            <w:pPr>
              <w:jc w:val="both"/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Amendment</w:t>
            </w:r>
          </w:p>
        </w:tc>
      </w:tr>
      <w:tr w:rsidR="0017779B" w:rsidRPr="00EB5863" w14:paraId="459C22FF" w14:textId="77777777" w:rsidTr="009C53A9">
        <w:trPr>
          <w:trHeight w:val="269"/>
        </w:trPr>
        <w:tc>
          <w:tcPr>
            <w:tcW w:w="4780" w:type="dxa"/>
            <w:tcBorders>
              <w:top w:val="single" w:sz="4" w:space="0" w:color="auto"/>
            </w:tcBorders>
            <w:vAlign w:val="bottom"/>
          </w:tcPr>
          <w:p w14:paraId="0D4423CE" w14:textId="77777777" w:rsidR="0017779B" w:rsidRPr="00EB5863" w:rsidRDefault="0017779B" w:rsidP="009C53A9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>Section 1</w:t>
            </w:r>
            <w:r w:rsidR="009C53A9"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</w:tcBorders>
            <w:vAlign w:val="bottom"/>
          </w:tcPr>
          <w:p w14:paraId="0A1E4079" w14:textId="6D989E16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Before “</w:t>
            </w:r>
            <w:r w:rsidRPr="00EB5863">
              <w:rPr>
                <w:rStyle w:val="Bodytext9pt0"/>
                <w:rFonts w:eastAsia="Courier New"/>
                <w:sz w:val="24"/>
                <w:szCs w:val="24"/>
              </w:rPr>
              <w:t>Film</w:t>
            </w:r>
            <w:r w:rsidRPr="00EB5863">
              <w:rPr>
                <w:rStyle w:val="Bodytext9pt"/>
                <w:rFonts w:eastAsia="Courier New"/>
                <w:sz w:val="24"/>
                <w:szCs w:val="24"/>
              </w:rPr>
              <w:t xml:space="preserve">”, insert </w:t>
            </w:r>
            <w:r w:rsidRPr="000C368E">
              <w:rPr>
                <w:rStyle w:val="Bodytext9pt0"/>
                <w:rFonts w:eastAsia="Courier New"/>
                <w:i w:val="0"/>
                <w:sz w:val="24"/>
                <w:szCs w:val="24"/>
              </w:rPr>
              <w:t>“</w:t>
            </w:r>
            <w:r w:rsidRPr="00EB5863">
              <w:rPr>
                <w:rStyle w:val="Bodytext9pt0"/>
                <w:rFonts w:eastAsia="Courier New"/>
                <w:sz w:val="24"/>
                <w:szCs w:val="24"/>
              </w:rPr>
              <w:t>Australian</w:t>
            </w:r>
            <w:r w:rsidR="000C368E">
              <w:rPr>
                <w:rStyle w:val="Bodytext9pt0"/>
                <w:rFonts w:eastAsia="Courier New"/>
                <w:i w:val="0"/>
                <w:sz w:val="24"/>
                <w:szCs w:val="24"/>
              </w:rPr>
              <w:t>”</w:t>
            </w:r>
            <w:r w:rsidRPr="00EB5863">
              <w:rPr>
                <w:rStyle w:val="Bodytext9pt0"/>
                <w:rFonts w:eastAsia="Courier New"/>
                <w:sz w:val="24"/>
                <w:szCs w:val="24"/>
              </w:rPr>
              <w:t>.</w:t>
            </w:r>
          </w:p>
        </w:tc>
      </w:tr>
      <w:tr w:rsidR="0017779B" w:rsidRPr="00EB5863" w14:paraId="566A1378" w14:textId="77777777" w:rsidTr="00634CBF">
        <w:trPr>
          <w:trHeight w:val="211"/>
        </w:trPr>
        <w:tc>
          <w:tcPr>
            <w:tcW w:w="4780" w:type="dxa"/>
            <w:vAlign w:val="bottom"/>
          </w:tcPr>
          <w:p w14:paraId="11F75D97" w14:textId="77777777" w:rsidR="0017779B" w:rsidRPr="00EB5863" w:rsidRDefault="0017779B" w:rsidP="009C53A9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>Section 3 (definitions</w:t>
            </w:r>
            <w:r w:rsidR="00EB332D">
              <w:rPr>
                <w:rStyle w:val="Bodytext9pt"/>
                <w:sz w:val="24"/>
                <w:szCs w:val="24"/>
              </w:rPr>
              <w:t xml:space="preserve"> of “Council”</w:t>
            </w:r>
            <w:r w:rsidR="00634CBF">
              <w:rPr>
                <w:rStyle w:val="Bodytext9pt"/>
                <w:sz w:val="24"/>
                <w:szCs w:val="24"/>
              </w:rPr>
              <w:t xml:space="preserve"> and “School”</w:t>
            </w:r>
            <w:r w:rsidR="009C53A9">
              <w:rPr>
                <w:rStyle w:val="Bodytext9pt"/>
                <w:sz w:val="24"/>
                <w:szCs w:val="24"/>
              </w:rPr>
              <w:t>)</w:t>
            </w:r>
            <w:r w:rsidR="009C53A9"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</w:tcPr>
          <w:p w14:paraId="59CE323C" w14:textId="398C21D3" w:rsidR="0017779B" w:rsidRPr="00EB5863" w:rsidRDefault="0017779B" w:rsidP="000C368E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Before “Film”, insert “Australian”.</w:t>
            </w:r>
          </w:p>
        </w:tc>
      </w:tr>
      <w:tr w:rsidR="0017779B" w:rsidRPr="00EB5863" w14:paraId="687B45EC" w14:textId="77777777" w:rsidTr="009C53A9">
        <w:trPr>
          <w:trHeight w:val="192"/>
        </w:trPr>
        <w:tc>
          <w:tcPr>
            <w:tcW w:w="4780" w:type="dxa"/>
            <w:vAlign w:val="bottom"/>
          </w:tcPr>
          <w:p w14:paraId="4AF07398" w14:textId="77777777" w:rsidR="0017779B" w:rsidRPr="00EB5863" w:rsidRDefault="009C53A9" w:rsidP="009C53A9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9pt"/>
                <w:sz w:val="24"/>
                <w:szCs w:val="24"/>
              </w:rPr>
              <w:t>Heading to Part II</w:t>
            </w:r>
            <w:r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058F60A5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Before “FILM”, insert “AUSTRALIAN”.</w:t>
            </w:r>
          </w:p>
        </w:tc>
      </w:tr>
      <w:tr w:rsidR="0017779B" w:rsidRPr="00EB5863" w14:paraId="3E73026A" w14:textId="77777777" w:rsidTr="009C53A9">
        <w:trPr>
          <w:trHeight w:val="168"/>
        </w:trPr>
        <w:tc>
          <w:tcPr>
            <w:tcW w:w="4780" w:type="dxa"/>
            <w:vAlign w:val="bottom"/>
          </w:tcPr>
          <w:p w14:paraId="5C366079" w14:textId="4FFA6ADA" w:rsidR="0017779B" w:rsidRPr="00EB5863" w:rsidRDefault="0017779B" w:rsidP="000C368E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 xml:space="preserve">Sub-section </w:t>
            </w:r>
            <w:r w:rsidR="009C53A9">
              <w:rPr>
                <w:rStyle w:val="Bodytext9pt1"/>
                <w:spacing w:val="0"/>
                <w:sz w:val="24"/>
                <w:szCs w:val="24"/>
              </w:rPr>
              <w:t>7(1)</w:t>
            </w:r>
            <w:r w:rsidR="009C53A9">
              <w:rPr>
                <w:rStyle w:val="Bodytext9pt1"/>
                <w:spacing w:val="0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2D1FF7D2" w14:textId="0E88CBA5" w:rsidR="0017779B" w:rsidRPr="00EB5863" w:rsidRDefault="0017779B" w:rsidP="000C368E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Before “Film</w:t>
            </w:r>
            <w:r w:rsidR="000C368E">
              <w:rPr>
                <w:rStyle w:val="Bodytext9pt"/>
                <w:rFonts w:eastAsia="Courier New"/>
                <w:sz w:val="24"/>
                <w:szCs w:val="24"/>
              </w:rPr>
              <w:t>”,</w:t>
            </w:r>
            <w:r w:rsidRPr="00EB5863">
              <w:rPr>
                <w:rStyle w:val="Bodytext9pt"/>
                <w:rFonts w:eastAsia="Courier New"/>
                <w:sz w:val="24"/>
                <w:szCs w:val="24"/>
              </w:rPr>
              <w:t xml:space="preserve"> insert “Australian”.</w:t>
            </w:r>
          </w:p>
        </w:tc>
      </w:tr>
      <w:tr w:rsidR="0017779B" w:rsidRPr="00EB5863" w14:paraId="7740783F" w14:textId="77777777" w:rsidTr="009C53A9">
        <w:trPr>
          <w:trHeight w:val="192"/>
        </w:trPr>
        <w:tc>
          <w:tcPr>
            <w:tcW w:w="4780" w:type="dxa"/>
            <w:vAlign w:val="bottom"/>
          </w:tcPr>
          <w:p w14:paraId="5D306F27" w14:textId="5B16B231" w:rsidR="0017779B" w:rsidRPr="00EB5863" w:rsidRDefault="009C53A9" w:rsidP="000C368E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9pt"/>
                <w:sz w:val="24"/>
                <w:szCs w:val="24"/>
              </w:rPr>
              <w:t>Sub-section 29(3)</w:t>
            </w:r>
            <w:r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2625126C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Omit the sub-section.</w:t>
            </w:r>
          </w:p>
        </w:tc>
      </w:tr>
      <w:tr w:rsidR="0017779B" w:rsidRPr="00EB5863" w14:paraId="1D47CA75" w14:textId="77777777" w:rsidTr="009C53A9">
        <w:trPr>
          <w:trHeight w:val="168"/>
        </w:trPr>
        <w:tc>
          <w:tcPr>
            <w:tcW w:w="4780" w:type="dxa"/>
            <w:vAlign w:val="bottom"/>
          </w:tcPr>
          <w:p w14:paraId="7F51FFDF" w14:textId="10BEEF93" w:rsidR="0017779B" w:rsidRPr="00EB5863" w:rsidRDefault="009C53A9" w:rsidP="000C368E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9pt"/>
                <w:sz w:val="24"/>
                <w:szCs w:val="24"/>
              </w:rPr>
              <w:t>Sub-section 31(6)</w:t>
            </w:r>
            <w:r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07D1F8F0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Omit the sub-section.</w:t>
            </w:r>
          </w:p>
        </w:tc>
      </w:tr>
      <w:tr w:rsidR="0017779B" w:rsidRPr="00EB5863" w14:paraId="39C76E02" w14:textId="77777777" w:rsidTr="009C53A9">
        <w:trPr>
          <w:trHeight w:val="192"/>
        </w:trPr>
        <w:tc>
          <w:tcPr>
            <w:tcW w:w="4780" w:type="dxa"/>
            <w:vAlign w:val="bottom"/>
          </w:tcPr>
          <w:p w14:paraId="662EB7FA" w14:textId="77777777" w:rsidR="0017779B" w:rsidRPr="00EB5863" w:rsidRDefault="009C53A9" w:rsidP="009C53A9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9pt"/>
                <w:sz w:val="24"/>
                <w:szCs w:val="24"/>
              </w:rPr>
              <w:t>Section 33</w:t>
            </w:r>
            <w:r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2954EAFB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Repeal the section.</w:t>
            </w:r>
          </w:p>
        </w:tc>
      </w:tr>
      <w:tr w:rsidR="0017779B" w:rsidRPr="00EB5863" w14:paraId="70BF3AE8" w14:textId="77777777" w:rsidTr="009C53A9">
        <w:trPr>
          <w:trHeight w:val="168"/>
        </w:trPr>
        <w:tc>
          <w:tcPr>
            <w:tcW w:w="4780" w:type="dxa"/>
            <w:vAlign w:val="bottom"/>
          </w:tcPr>
          <w:p w14:paraId="32D41FDD" w14:textId="6AF6FBBD" w:rsidR="0017779B" w:rsidRPr="00EB5863" w:rsidRDefault="009C53A9" w:rsidP="000C368E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Bodytext9pt"/>
                <w:sz w:val="24"/>
                <w:szCs w:val="24"/>
              </w:rPr>
              <w:t>Paragraph 46(1)(a)</w:t>
            </w:r>
            <w:r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vAlign w:val="bottom"/>
          </w:tcPr>
          <w:p w14:paraId="0ED732A9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Omit the paragraph.</w:t>
            </w:r>
          </w:p>
        </w:tc>
      </w:tr>
      <w:tr w:rsidR="0017779B" w:rsidRPr="00EB5863" w14:paraId="5DD66333" w14:textId="77777777" w:rsidTr="009C53A9">
        <w:trPr>
          <w:trHeight w:val="211"/>
        </w:trPr>
        <w:tc>
          <w:tcPr>
            <w:tcW w:w="4780" w:type="dxa"/>
            <w:tcBorders>
              <w:bottom w:val="single" w:sz="4" w:space="0" w:color="auto"/>
            </w:tcBorders>
            <w:vAlign w:val="bottom"/>
          </w:tcPr>
          <w:p w14:paraId="7343DB5A" w14:textId="0C5D1B8F" w:rsidR="0017779B" w:rsidRPr="00EB5863" w:rsidRDefault="0017779B" w:rsidP="000C368E">
            <w:pPr>
              <w:pStyle w:val="BodyText33"/>
              <w:tabs>
                <w:tab w:val="left" w:leader="dot" w:pos="45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B5863">
              <w:rPr>
                <w:rStyle w:val="Bodytext9pt"/>
                <w:sz w:val="24"/>
                <w:szCs w:val="24"/>
              </w:rPr>
              <w:t>Sub-section</w:t>
            </w:r>
            <w:r w:rsidR="009C53A9">
              <w:rPr>
                <w:rStyle w:val="Bodytext9pt"/>
                <w:sz w:val="24"/>
                <w:szCs w:val="24"/>
              </w:rPr>
              <w:t xml:space="preserve"> 46(2)</w:t>
            </w:r>
            <w:r w:rsidR="009C53A9">
              <w:rPr>
                <w:rStyle w:val="Bodytext9pt"/>
                <w:sz w:val="24"/>
                <w:szCs w:val="24"/>
              </w:rPr>
              <w:tab/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14:paraId="0D42FC51" w14:textId="77777777" w:rsidR="0017779B" w:rsidRPr="00EB5863" w:rsidRDefault="0017779B" w:rsidP="009C53A9">
            <w:pPr>
              <w:rPr>
                <w:rFonts w:ascii="Times New Roman" w:hAnsi="Times New Roman" w:cs="Times New Roman"/>
              </w:rPr>
            </w:pPr>
            <w:r w:rsidRPr="00EB5863">
              <w:rPr>
                <w:rStyle w:val="Bodytext9pt"/>
                <w:rFonts w:eastAsia="Courier New"/>
                <w:sz w:val="24"/>
                <w:szCs w:val="24"/>
              </w:rPr>
              <w:t>Omit the sub-section.</w:t>
            </w:r>
          </w:p>
        </w:tc>
      </w:tr>
    </w:tbl>
    <w:p w14:paraId="509F66CF" w14:textId="77777777" w:rsidR="009C53A9" w:rsidRDefault="009C53A9" w:rsidP="009C53A9">
      <w:pPr>
        <w:pBdr>
          <w:bottom w:val="single" w:sz="18" w:space="1" w:color="auto"/>
        </w:pBdr>
        <w:spacing w:after="160"/>
        <w:jc w:val="both"/>
        <w:rPr>
          <w:rFonts w:ascii="Times New Roman" w:hAnsi="Times New Roman" w:cs="Times New Roman"/>
        </w:rPr>
      </w:pPr>
      <w:bookmarkStart w:id="3" w:name="bookmark3"/>
      <w:bookmarkStart w:id="4" w:name="_GoBack"/>
      <w:bookmarkEnd w:id="4"/>
    </w:p>
    <w:bookmarkEnd w:id="3"/>
    <w:sectPr w:rsidR="009C53A9" w:rsidSect="00036018">
      <w:headerReference w:type="even" r:id="rId8"/>
      <w:headerReference w:type="default" r:id="rId9"/>
      <w:type w:val="continuous"/>
      <w:pgSz w:w="11909" w:h="18000" w:code="9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8197E3" w15:done="0"/>
  <w15:commentEx w15:paraId="3D4DBEB7" w15:done="0"/>
  <w15:commentEx w15:paraId="71FDF9A0" w15:done="0"/>
  <w15:commentEx w15:paraId="4E168DCB" w15:done="0"/>
  <w15:commentEx w15:paraId="437582A0" w15:done="0"/>
  <w15:commentEx w15:paraId="035779BD" w15:done="0"/>
  <w15:commentEx w15:paraId="167548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8197E3" w16cid:durableId="1F5C48A8"/>
  <w16cid:commentId w16cid:paraId="3D4DBEB7" w16cid:durableId="1F5C48C2"/>
  <w16cid:commentId w16cid:paraId="71FDF9A0" w16cid:durableId="1F5C48CD"/>
  <w16cid:commentId w16cid:paraId="4E168DCB" w16cid:durableId="1F5C48DA"/>
  <w16cid:commentId w16cid:paraId="437582A0" w16cid:durableId="1F5C4909"/>
  <w16cid:commentId w16cid:paraId="035779BD" w16cid:durableId="1F5C48F0"/>
  <w16cid:commentId w16cid:paraId="16754817" w16cid:durableId="1F5C4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3F5EC" w14:textId="77777777" w:rsidR="000333C8" w:rsidRDefault="000333C8">
      <w:r>
        <w:separator/>
      </w:r>
    </w:p>
  </w:endnote>
  <w:endnote w:type="continuationSeparator" w:id="0">
    <w:p w14:paraId="597AD80F" w14:textId="77777777" w:rsidR="000333C8" w:rsidRDefault="0003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2FF83" w14:textId="77777777" w:rsidR="000333C8" w:rsidRDefault="000333C8"/>
  </w:footnote>
  <w:footnote w:type="continuationSeparator" w:id="0">
    <w:p w14:paraId="25AF90DD" w14:textId="77777777" w:rsidR="000333C8" w:rsidRDefault="00033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91F8" w14:textId="77777777" w:rsidR="00036018" w:rsidRPr="00036018" w:rsidRDefault="00036018" w:rsidP="00036018">
    <w:pPr>
      <w:pStyle w:val="Header"/>
      <w:tabs>
        <w:tab w:val="clear" w:pos="9026"/>
        <w:tab w:val="right" w:pos="9720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No. 110</w:t>
    </w:r>
    <w:r w:rsidRPr="00036018">
      <w:rPr>
        <w:rFonts w:ascii="Times New Roman" w:hAnsi="Times New Roman" w:cs="Times New Roman"/>
        <w:sz w:val="22"/>
        <w:szCs w:val="22"/>
      </w:rPr>
      <w:tab/>
    </w:r>
    <w:r w:rsidRPr="0003601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Australian Film and Television School Amendment</w:t>
    </w:r>
    <w:r w:rsidRPr="0003601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>
      <w:rPr>
        <w:rFonts w:ascii="Times New Roman" w:hAnsi="Times New Roman" w:cs="Times New Roman"/>
        <w:iCs/>
        <w:color w:val="auto"/>
        <w:sz w:val="22"/>
        <w:szCs w:val="22"/>
        <w:lang w:val="en-IN"/>
      </w:rPr>
      <w:t>1976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B1601" w14:textId="77777777" w:rsidR="00036018" w:rsidRPr="00036018" w:rsidRDefault="00036018" w:rsidP="00036018">
    <w:pPr>
      <w:pStyle w:val="Header"/>
      <w:tabs>
        <w:tab w:val="clear" w:pos="9026"/>
        <w:tab w:val="right" w:pos="9720"/>
      </w:tabs>
      <w:rPr>
        <w:rFonts w:ascii="Times New Roman" w:hAnsi="Times New Roman" w:cs="Times New Roman"/>
        <w:sz w:val="22"/>
        <w:szCs w:val="22"/>
      </w:rPr>
    </w:pPr>
    <w:r w:rsidRPr="00036018">
      <w:rPr>
        <w:rFonts w:ascii="Times New Roman" w:hAnsi="Times New Roman" w:cs="Times New Roman"/>
        <w:sz w:val="22"/>
        <w:szCs w:val="22"/>
      </w:rPr>
      <w:t>1976</w:t>
    </w:r>
    <w:r w:rsidRPr="00036018">
      <w:rPr>
        <w:rFonts w:ascii="Times New Roman" w:hAnsi="Times New Roman" w:cs="Times New Roman"/>
        <w:sz w:val="22"/>
        <w:szCs w:val="22"/>
      </w:rPr>
      <w:tab/>
    </w:r>
    <w:r w:rsidRPr="0003601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Australian Film and Television School Amendment</w:t>
    </w:r>
    <w:r w:rsidRPr="00036018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036018">
      <w:rPr>
        <w:rFonts w:ascii="Times New Roman" w:hAnsi="Times New Roman" w:cs="Times New Roman"/>
        <w:iCs/>
        <w:color w:val="auto"/>
        <w:sz w:val="22"/>
        <w:szCs w:val="22"/>
        <w:lang w:val="en-IN"/>
      </w:rPr>
      <w:t>No.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4019"/>
    <w:multiLevelType w:val="multilevel"/>
    <w:tmpl w:val="9EB0500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7708A"/>
    <w:multiLevelType w:val="multilevel"/>
    <w:tmpl w:val="54CEF7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E754D"/>
    <w:multiLevelType w:val="multilevel"/>
    <w:tmpl w:val="96720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B5327"/>
    <w:multiLevelType w:val="multilevel"/>
    <w:tmpl w:val="9CCA6D8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04286"/>
    <w:multiLevelType w:val="multilevel"/>
    <w:tmpl w:val="AC8E79D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641BF"/>
    <w:multiLevelType w:val="multilevel"/>
    <w:tmpl w:val="09B6E17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746A4"/>
    <w:multiLevelType w:val="multilevel"/>
    <w:tmpl w:val="8A7297B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8730E"/>
    <w:multiLevelType w:val="multilevel"/>
    <w:tmpl w:val="63D8D04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6371AA"/>
    <w:multiLevelType w:val="multilevel"/>
    <w:tmpl w:val="99606E7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2F85"/>
    <w:rsid w:val="000333C8"/>
    <w:rsid w:val="00036018"/>
    <w:rsid w:val="000C368E"/>
    <w:rsid w:val="0017779B"/>
    <w:rsid w:val="00190FA6"/>
    <w:rsid w:val="003E530A"/>
    <w:rsid w:val="00482F85"/>
    <w:rsid w:val="004D6021"/>
    <w:rsid w:val="005547BD"/>
    <w:rsid w:val="00634CBF"/>
    <w:rsid w:val="00675F6E"/>
    <w:rsid w:val="006B5F5C"/>
    <w:rsid w:val="008D4C0A"/>
    <w:rsid w:val="008F1974"/>
    <w:rsid w:val="009C53A9"/>
    <w:rsid w:val="00A821E0"/>
    <w:rsid w:val="00C102CB"/>
    <w:rsid w:val="00C56DF5"/>
    <w:rsid w:val="00EB332D"/>
    <w:rsid w:val="00E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D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Arial">
    <w:name w:val="Body text + Arial"/>
    <w:aliases w:val="12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3NotItalic">
    <w:name w:val="Heading #3 + Not Italic"/>
    <w:basedOn w:val="Headi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pt0">
    <w:name w:val="Body text + 9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9pt1">
    <w:name w:val="Body text + 9 pt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Italic">
    <w:name w:val="Body text (4) + Italic"/>
    <w:aliases w:val="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paragraph" w:customStyle="1" w:styleId="Bodytext30">
    <w:name w:val="Body text (3)"/>
    <w:basedOn w:val="Normal"/>
    <w:link w:val="Bodytext3"/>
    <w:pPr>
      <w:spacing w:line="17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341" w:lineRule="exact"/>
      <w:jc w:val="righ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al"/>
    <w:link w:val="Heading2"/>
    <w:pPr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3">
    <w:name w:val="Body Text3"/>
    <w:basedOn w:val="Normal"/>
    <w:link w:val="Bodytext"/>
    <w:pPr>
      <w:spacing w:line="240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30">
    <w:name w:val="Heading #3"/>
    <w:basedOn w:val="Normal"/>
    <w:link w:val="Heading3"/>
    <w:pPr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ing320">
    <w:name w:val="Heading #3 (2)"/>
    <w:basedOn w:val="Normal"/>
    <w:link w:val="Heading32"/>
    <w:pPr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line="0" w:lineRule="atLeas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6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01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6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1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75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F6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F6E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6E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C368E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2018-09-30T21:20:00Z</dcterms:created>
  <dcterms:modified xsi:type="dcterms:W3CDTF">2019-08-12T02:15:00Z</dcterms:modified>
</cp:coreProperties>
</file>