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F56BD" w14:textId="4B4A0E41" w:rsidR="002320D5" w:rsidRPr="009A1CD6" w:rsidRDefault="00574773" w:rsidP="00B7611E">
      <w:pPr>
        <w:shd w:val="clear" w:color="auto" w:fill="FFFFFF"/>
        <w:jc w:val="center"/>
        <w:rPr>
          <w:sz w:val="32"/>
          <w:szCs w:val="32"/>
        </w:rPr>
      </w:pPr>
      <w:bookmarkStart w:id="0" w:name="_GoBack"/>
      <w:bookmarkEnd w:id="0"/>
      <w:r w:rsidRPr="009A1CD6">
        <w:rPr>
          <w:b/>
          <w:bCs/>
          <w:sz w:val="32"/>
          <w:szCs w:val="32"/>
          <w:lang w:val="en-US"/>
        </w:rPr>
        <w:t>FEDERAL COURT OF AUSTRALIA</w:t>
      </w:r>
      <w:r w:rsidR="009A1CD6" w:rsidRPr="009A1CD6">
        <w:rPr>
          <w:b/>
          <w:bCs/>
          <w:sz w:val="32"/>
          <w:szCs w:val="32"/>
          <w:lang w:val="en-US"/>
        </w:rPr>
        <w:t xml:space="preserve"> </w:t>
      </w:r>
      <w:r w:rsidRPr="009A1CD6">
        <w:rPr>
          <w:b/>
          <w:bCs/>
          <w:sz w:val="32"/>
          <w:szCs w:val="32"/>
          <w:lang w:val="en-US"/>
        </w:rPr>
        <w:t>(CONSEQUENTIAL PROVISIONS) ACT 1976</w:t>
      </w:r>
    </w:p>
    <w:p w14:paraId="765F440F" w14:textId="77777777" w:rsidR="002320D5" w:rsidRPr="00B7611E" w:rsidRDefault="00574773" w:rsidP="003D6146">
      <w:pPr>
        <w:shd w:val="clear" w:color="auto" w:fill="FFFFFF"/>
        <w:spacing w:before="240" w:after="360"/>
        <w:jc w:val="center"/>
        <w:rPr>
          <w:sz w:val="28"/>
          <w:szCs w:val="22"/>
        </w:rPr>
      </w:pPr>
      <w:r w:rsidRPr="00B7611E">
        <w:rPr>
          <w:b/>
          <w:bCs/>
          <w:sz w:val="28"/>
          <w:szCs w:val="22"/>
          <w:lang w:val="en-US"/>
        </w:rPr>
        <w:t>No. 157 of 1976</w:t>
      </w:r>
    </w:p>
    <w:p w14:paraId="3FC2E484" w14:textId="77777777" w:rsidR="002320D5" w:rsidRPr="00F24F6A" w:rsidRDefault="00574773" w:rsidP="00F24F6A">
      <w:pPr>
        <w:shd w:val="clear" w:color="auto" w:fill="FFFFFF"/>
        <w:jc w:val="both"/>
        <w:rPr>
          <w:sz w:val="24"/>
          <w:szCs w:val="22"/>
        </w:rPr>
      </w:pPr>
      <w:r w:rsidRPr="00F24F6A">
        <w:rPr>
          <w:sz w:val="24"/>
          <w:szCs w:val="22"/>
          <w:lang w:val="en-US"/>
        </w:rPr>
        <w:t>An Act to amend certain Acts so as to make Provision for the Transfer of Jurisdiction of the Australian Industrial Court to the Federal Court of Australia.</w:t>
      </w:r>
    </w:p>
    <w:p w14:paraId="32C5798A" w14:textId="77777777" w:rsidR="002320D5" w:rsidRPr="00F24F6A" w:rsidRDefault="00574773" w:rsidP="00651088">
      <w:pPr>
        <w:shd w:val="clear" w:color="auto" w:fill="FFFFFF"/>
        <w:spacing w:before="360" w:after="240"/>
        <w:ind w:firstLine="432"/>
        <w:jc w:val="both"/>
        <w:rPr>
          <w:sz w:val="24"/>
          <w:szCs w:val="22"/>
        </w:rPr>
      </w:pPr>
      <w:r w:rsidRPr="00F24F6A">
        <w:rPr>
          <w:sz w:val="24"/>
          <w:szCs w:val="22"/>
          <w:lang w:val="en-US"/>
        </w:rPr>
        <w:t>BE IT ENACTED by the Queen, and the Senate and House of Representatives of the Commonwealth of Australia, as follows:</w:t>
      </w:r>
      <w:r w:rsidRPr="00F24F6A">
        <w:rPr>
          <w:rFonts w:eastAsia="Times New Roman"/>
          <w:sz w:val="24"/>
          <w:szCs w:val="22"/>
          <w:lang w:val="en-US"/>
        </w:rPr>
        <w:t>—</w:t>
      </w:r>
    </w:p>
    <w:p w14:paraId="5CD477F3" w14:textId="77777777" w:rsidR="002320D5" w:rsidRPr="006B7C35" w:rsidRDefault="00574773" w:rsidP="006B7C35">
      <w:pPr>
        <w:shd w:val="clear" w:color="auto" w:fill="FFFFFF"/>
        <w:spacing w:before="120" w:after="60"/>
        <w:rPr>
          <w:b/>
          <w:szCs w:val="22"/>
        </w:rPr>
      </w:pPr>
      <w:r w:rsidRPr="006B7C35">
        <w:rPr>
          <w:b/>
          <w:szCs w:val="22"/>
          <w:lang w:val="en-US"/>
        </w:rPr>
        <w:t>Short title.</w:t>
      </w:r>
    </w:p>
    <w:p w14:paraId="5E0A96CB" w14:textId="7311AF66" w:rsidR="002320D5" w:rsidRPr="00F24F6A" w:rsidRDefault="00574773" w:rsidP="006B7C35">
      <w:pPr>
        <w:shd w:val="clear" w:color="auto" w:fill="FFFFFF"/>
        <w:spacing w:before="60" w:after="60"/>
        <w:ind w:firstLine="432"/>
        <w:jc w:val="both"/>
        <w:rPr>
          <w:sz w:val="24"/>
          <w:szCs w:val="22"/>
        </w:rPr>
      </w:pPr>
      <w:r w:rsidRPr="006B7C35">
        <w:rPr>
          <w:b/>
          <w:sz w:val="24"/>
          <w:szCs w:val="22"/>
          <w:lang w:val="en-US"/>
        </w:rPr>
        <w:t>1.</w:t>
      </w:r>
      <w:r w:rsidRPr="00F24F6A">
        <w:rPr>
          <w:sz w:val="24"/>
          <w:szCs w:val="22"/>
          <w:lang w:val="en-US"/>
        </w:rPr>
        <w:t xml:space="preserve"> This Act may be cited as the </w:t>
      </w:r>
      <w:r w:rsidRPr="00F24F6A">
        <w:rPr>
          <w:i/>
          <w:iCs/>
          <w:sz w:val="24"/>
          <w:szCs w:val="22"/>
          <w:lang w:val="en-US"/>
        </w:rPr>
        <w:t xml:space="preserve">Federal Court of Australia </w:t>
      </w:r>
      <w:r w:rsidR="009D5D54" w:rsidRPr="00F24F6A">
        <w:rPr>
          <w:iCs/>
          <w:sz w:val="24"/>
          <w:szCs w:val="22"/>
          <w:lang w:val="en-US"/>
        </w:rPr>
        <w:t>(</w:t>
      </w:r>
      <w:r w:rsidRPr="00F24F6A">
        <w:rPr>
          <w:i/>
          <w:iCs/>
          <w:sz w:val="24"/>
          <w:szCs w:val="22"/>
          <w:lang w:val="en-US"/>
        </w:rPr>
        <w:t>Consequential Provisions</w:t>
      </w:r>
      <w:r w:rsidR="009D5D54" w:rsidRPr="00F24F6A">
        <w:rPr>
          <w:iCs/>
          <w:sz w:val="24"/>
          <w:szCs w:val="22"/>
          <w:lang w:val="en-US"/>
        </w:rPr>
        <w:t>)</w:t>
      </w:r>
      <w:r w:rsidRPr="00F24F6A">
        <w:rPr>
          <w:i/>
          <w:iCs/>
          <w:sz w:val="24"/>
          <w:szCs w:val="22"/>
          <w:lang w:val="en-US"/>
        </w:rPr>
        <w:t xml:space="preserve"> Act </w:t>
      </w:r>
      <w:r w:rsidRPr="00F24F6A">
        <w:rPr>
          <w:sz w:val="24"/>
          <w:szCs w:val="22"/>
          <w:lang w:val="en-US"/>
        </w:rPr>
        <w:t>1976.</w:t>
      </w:r>
    </w:p>
    <w:p w14:paraId="5747CAB4" w14:textId="77777777" w:rsidR="002320D5" w:rsidRPr="006B7C35" w:rsidRDefault="00574773" w:rsidP="006B7C35">
      <w:pPr>
        <w:shd w:val="clear" w:color="auto" w:fill="FFFFFF"/>
        <w:spacing w:before="120" w:after="60"/>
        <w:rPr>
          <w:b/>
          <w:szCs w:val="22"/>
        </w:rPr>
      </w:pPr>
      <w:r w:rsidRPr="006B7C35">
        <w:rPr>
          <w:b/>
          <w:szCs w:val="22"/>
          <w:lang w:val="en-US"/>
        </w:rPr>
        <w:t>Commencement.</w:t>
      </w:r>
    </w:p>
    <w:p w14:paraId="783836E0" w14:textId="77777777" w:rsidR="002320D5" w:rsidRPr="00F24F6A" w:rsidRDefault="00574773" w:rsidP="006B7C35">
      <w:pPr>
        <w:shd w:val="clear" w:color="auto" w:fill="FFFFFF"/>
        <w:spacing w:before="60" w:after="60"/>
        <w:ind w:firstLine="432"/>
        <w:jc w:val="both"/>
        <w:rPr>
          <w:sz w:val="24"/>
          <w:szCs w:val="22"/>
        </w:rPr>
      </w:pPr>
      <w:r w:rsidRPr="006B7C35">
        <w:rPr>
          <w:b/>
          <w:sz w:val="24"/>
          <w:szCs w:val="22"/>
          <w:lang w:val="en-US"/>
        </w:rPr>
        <w:t>2.</w:t>
      </w:r>
      <w:r w:rsidRPr="00F24F6A">
        <w:rPr>
          <w:sz w:val="24"/>
          <w:szCs w:val="22"/>
          <w:lang w:val="en-US"/>
        </w:rPr>
        <w:t xml:space="preserve"> This Act shall come into operation on a date to be fixed by Proclamation, not being earlier than the day that is the commencing day for the purposes of the </w:t>
      </w:r>
      <w:r w:rsidRPr="00F24F6A">
        <w:rPr>
          <w:i/>
          <w:iCs/>
          <w:sz w:val="24"/>
          <w:szCs w:val="22"/>
          <w:lang w:val="en-US"/>
        </w:rPr>
        <w:t xml:space="preserve">Federal Court of Australia Act </w:t>
      </w:r>
      <w:r w:rsidRPr="00F24F6A">
        <w:rPr>
          <w:sz w:val="24"/>
          <w:szCs w:val="22"/>
          <w:lang w:val="en-US"/>
        </w:rPr>
        <w:t>1976.</w:t>
      </w:r>
    </w:p>
    <w:p w14:paraId="1F9E2743" w14:textId="77777777" w:rsidR="002320D5" w:rsidRPr="0055247E" w:rsidRDefault="00574773" w:rsidP="0055247E">
      <w:pPr>
        <w:shd w:val="clear" w:color="auto" w:fill="FFFFFF"/>
        <w:spacing w:before="120" w:after="60"/>
        <w:rPr>
          <w:b/>
          <w:szCs w:val="22"/>
        </w:rPr>
      </w:pPr>
      <w:r w:rsidRPr="0055247E">
        <w:rPr>
          <w:b/>
          <w:szCs w:val="22"/>
          <w:lang w:val="en-US"/>
        </w:rPr>
        <w:t>Amendment of Acts.</w:t>
      </w:r>
    </w:p>
    <w:p w14:paraId="115500CC" w14:textId="77777777" w:rsidR="002320D5" w:rsidRPr="00F24F6A" w:rsidRDefault="00574773" w:rsidP="0055247E">
      <w:pPr>
        <w:shd w:val="clear" w:color="auto" w:fill="FFFFFF"/>
        <w:spacing w:before="60" w:after="60"/>
        <w:ind w:firstLine="432"/>
        <w:jc w:val="both"/>
        <w:rPr>
          <w:sz w:val="24"/>
          <w:szCs w:val="22"/>
        </w:rPr>
      </w:pPr>
      <w:r w:rsidRPr="0055247E">
        <w:rPr>
          <w:b/>
          <w:sz w:val="24"/>
          <w:szCs w:val="22"/>
          <w:lang w:val="en-US"/>
        </w:rPr>
        <w:t>3.</w:t>
      </w:r>
      <w:r w:rsidRPr="00F24F6A">
        <w:rPr>
          <w:sz w:val="24"/>
          <w:szCs w:val="22"/>
          <w:lang w:val="en-US"/>
        </w:rPr>
        <w:t xml:space="preserve"> The Acts specified in the Schedule are amended as set out in the Schedule.</w:t>
      </w:r>
    </w:p>
    <w:p w14:paraId="050C4238" w14:textId="77777777" w:rsidR="002320D5" w:rsidRPr="000B0F52" w:rsidRDefault="00574773" w:rsidP="000B0F52">
      <w:pPr>
        <w:shd w:val="clear" w:color="auto" w:fill="FFFFFF"/>
        <w:spacing w:before="120" w:after="60"/>
        <w:rPr>
          <w:b/>
          <w:szCs w:val="22"/>
        </w:rPr>
      </w:pPr>
      <w:r w:rsidRPr="000B0F52">
        <w:rPr>
          <w:b/>
          <w:szCs w:val="22"/>
          <w:lang w:val="en-US"/>
        </w:rPr>
        <w:t>Transfer of certain proceedings.</w:t>
      </w:r>
    </w:p>
    <w:p w14:paraId="425502FC" w14:textId="77777777" w:rsidR="002320D5" w:rsidRPr="00F24F6A" w:rsidRDefault="00574773" w:rsidP="000B0F52">
      <w:pPr>
        <w:shd w:val="clear" w:color="auto" w:fill="FFFFFF"/>
        <w:spacing w:before="60" w:after="60"/>
        <w:ind w:firstLine="432"/>
        <w:jc w:val="both"/>
        <w:rPr>
          <w:sz w:val="24"/>
          <w:szCs w:val="22"/>
        </w:rPr>
      </w:pPr>
      <w:r w:rsidRPr="000B0F52">
        <w:rPr>
          <w:b/>
          <w:sz w:val="24"/>
          <w:szCs w:val="22"/>
          <w:lang w:val="en-US"/>
        </w:rPr>
        <w:t>4.</w:t>
      </w:r>
      <w:r w:rsidRPr="00F24F6A">
        <w:rPr>
          <w:sz w:val="24"/>
          <w:szCs w:val="22"/>
          <w:lang w:val="en-US"/>
        </w:rPr>
        <w:t xml:space="preserve"> (1) The amendments made by this Act do not affect the jurisdiction of the Australian Industrial Court in any proceedings the hearing of which had commenced before the date of commencement of this Act.</w:t>
      </w:r>
    </w:p>
    <w:p w14:paraId="52605091" w14:textId="77777777" w:rsidR="002320D5" w:rsidRPr="00F24F6A" w:rsidRDefault="00574773" w:rsidP="00C422E5">
      <w:pPr>
        <w:shd w:val="clear" w:color="auto" w:fill="FFFFFF"/>
        <w:spacing w:before="60" w:after="60"/>
        <w:ind w:firstLine="432"/>
        <w:jc w:val="both"/>
        <w:rPr>
          <w:sz w:val="24"/>
          <w:szCs w:val="22"/>
        </w:rPr>
      </w:pPr>
      <w:r w:rsidRPr="00F24F6A">
        <w:rPr>
          <w:sz w:val="24"/>
          <w:szCs w:val="22"/>
          <w:lang w:val="en-US"/>
        </w:rPr>
        <w:t>(2) Where, immediately before the date of commencement of this Act, proceedings in a matter arising under an Act specified in the Schedule were pending in the Australian Industrial Court but the hearing of the proceedings had not commenced</w:t>
      </w:r>
      <w:r w:rsidRPr="00F24F6A">
        <w:rPr>
          <w:rFonts w:eastAsia="Times New Roman"/>
          <w:sz w:val="24"/>
          <w:szCs w:val="22"/>
          <w:lang w:val="en-US"/>
        </w:rPr>
        <w:t>—</w:t>
      </w:r>
    </w:p>
    <w:p w14:paraId="53FFAE68" w14:textId="77777777" w:rsidR="002320D5" w:rsidRPr="00F24F6A" w:rsidRDefault="00574773" w:rsidP="009B7D5F">
      <w:pPr>
        <w:shd w:val="clear" w:color="auto" w:fill="FFFFFF"/>
        <w:spacing w:before="60" w:after="60"/>
        <w:ind w:left="792" w:hanging="360"/>
        <w:jc w:val="both"/>
        <w:rPr>
          <w:sz w:val="24"/>
          <w:szCs w:val="22"/>
        </w:rPr>
      </w:pPr>
      <w:r w:rsidRPr="00F24F6A">
        <w:rPr>
          <w:sz w:val="24"/>
          <w:szCs w:val="22"/>
          <w:lang w:val="en-US"/>
        </w:rPr>
        <w:t>(a)</w:t>
      </w:r>
      <w:r w:rsidR="009D5D54" w:rsidRPr="00F24F6A">
        <w:rPr>
          <w:sz w:val="24"/>
          <w:szCs w:val="22"/>
          <w:lang w:val="en-US"/>
        </w:rPr>
        <w:t xml:space="preserve"> </w:t>
      </w:r>
      <w:r w:rsidRPr="00F24F6A">
        <w:rPr>
          <w:sz w:val="24"/>
          <w:szCs w:val="22"/>
          <w:lang w:val="en-US"/>
        </w:rPr>
        <w:t>the proceedings are, by force of this Act, transferred to the Federal Court of Australia on the date of commencement of this</w:t>
      </w:r>
      <w:r w:rsidR="009B7D5F">
        <w:rPr>
          <w:sz w:val="24"/>
          <w:szCs w:val="22"/>
          <w:lang w:val="en-US"/>
        </w:rPr>
        <w:t xml:space="preserve"> </w:t>
      </w:r>
      <w:r w:rsidRPr="00F24F6A">
        <w:rPr>
          <w:sz w:val="24"/>
          <w:szCs w:val="22"/>
          <w:lang w:val="en-US"/>
        </w:rPr>
        <w:t>Act;</w:t>
      </w:r>
    </w:p>
    <w:p w14:paraId="12D29C8F" w14:textId="77777777" w:rsidR="002320D5" w:rsidRPr="00F24F6A" w:rsidRDefault="00574773" w:rsidP="00405353">
      <w:pPr>
        <w:shd w:val="clear" w:color="auto" w:fill="FFFFFF"/>
        <w:spacing w:before="60" w:after="60"/>
        <w:ind w:left="792" w:hanging="360"/>
        <w:jc w:val="both"/>
        <w:rPr>
          <w:sz w:val="24"/>
          <w:szCs w:val="22"/>
        </w:rPr>
      </w:pPr>
      <w:r w:rsidRPr="00F24F6A">
        <w:rPr>
          <w:sz w:val="24"/>
          <w:szCs w:val="22"/>
          <w:lang w:val="en-US"/>
        </w:rPr>
        <w:t>(b)</w:t>
      </w:r>
      <w:r w:rsidR="009D5D54" w:rsidRPr="00F24F6A">
        <w:rPr>
          <w:sz w:val="24"/>
          <w:szCs w:val="22"/>
          <w:lang w:val="en-US"/>
        </w:rPr>
        <w:t xml:space="preserve"> </w:t>
      </w:r>
      <w:r w:rsidRPr="00F24F6A">
        <w:rPr>
          <w:sz w:val="24"/>
          <w:szCs w:val="22"/>
          <w:lang w:val="en-US"/>
        </w:rPr>
        <w:t>the Federal Court of Australia may hear and determine the proceedings;</w:t>
      </w:r>
    </w:p>
    <w:p w14:paraId="34CCC615" w14:textId="77777777" w:rsidR="002320D5" w:rsidRPr="00F24F6A" w:rsidRDefault="00574773" w:rsidP="00405353">
      <w:pPr>
        <w:shd w:val="clear" w:color="auto" w:fill="FFFFFF"/>
        <w:spacing w:before="60" w:after="60"/>
        <w:ind w:left="792" w:hanging="360"/>
        <w:jc w:val="both"/>
        <w:rPr>
          <w:sz w:val="24"/>
          <w:szCs w:val="22"/>
        </w:rPr>
      </w:pPr>
      <w:r w:rsidRPr="00F24F6A">
        <w:rPr>
          <w:sz w:val="24"/>
          <w:szCs w:val="22"/>
          <w:lang w:val="en-US"/>
        </w:rPr>
        <w:t>(c)</w:t>
      </w:r>
      <w:r w:rsidR="009D5D54" w:rsidRPr="00F24F6A">
        <w:rPr>
          <w:sz w:val="24"/>
          <w:szCs w:val="22"/>
          <w:lang w:val="en-US"/>
        </w:rPr>
        <w:t xml:space="preserve"> </w:t>
      </w:r>
      <w:r w:rsidRPr="00F24F6A">
        <w:rPr>
          <w:sz w:val="24"/>
          <w:szCs w:val="22"/>
          <w:lang w:val="en-US"/>
        </w:rPr>
        <w:t>all documents filed of record in the Australian Industrial Court in the proceedings shall be transmitted to the Registrar of the Federal Court of Australia; and</w:t>
      </w:r>
    </w:p>
    <w:p w14:paraId="2ED7ECF2" w14:textId="77777777" w:rsidR="002320D5" w:rsidRPr="00F24F6A" w:rsidRDefault="00574773" w:rsidP="00405353">
      <w:pPr>
        <w:shd w:val="clear" w:color="auto" w:fill="FFFFFF"/>
        <w:spacing w:before="60" w:after="60"/>
        <w:ind w:left="792" w:hanging="360"/>
        <w:jc w:val="both"/>
        <w:rPr>
          <w:sz w:val="24"/>
          <w:szCs w:val="22"/>
        </w:rPr>
      </w:pPr>
      <w:r w:rsidRPr="00F24F6A">
        <w:rPr>
          <w:sz w:val="24"/>
          <w:szCs w:val="22"/>
          <w:lang w:val="en-US"/>
        </w:rPr>
        <w:t>(d)</w:t>
      </w:r>
      <w:r w:rsidR="009D5D54" w:rsidRPr="00F24F6A">
        <w:rPr>
          <w:sz w:val="24"/>
          <w:szCs w:val="22"/>
          <w:lang w:val="en-US"/>
        </w:rPr>
        <w:t xml:space="preserve"> </w:t>
      </w:r>
      <w:r w:rsidRPr="00F24F6A">
        <w:rPr>
          <w:sz w:val="24"/>
          <w:szCs w:val="22"/>
          <w:lang w:val="en-US"/>
        </w:rPr>
        <w:t>any moneys lodged with the Australian Industrial Court in relation to the proceedings shall be transferred to the Federal Court of Australia and dealt with as if they had been lodged with that Court;</w:t>
      </w:r>
    </w:p>
    <w:p w14:paraId="084AB2DD" w14:textId="21646424" w:rsidR="002320D5" w:rsidRPr="00F24F6A" w:rsidRDefault="00574773" w:rsidP="009A1CD6">
      <w:pPr>
        <w:shd w:val="clear" w:color="auto" w:fill="FFFFFF"/>
        <w:spacing w:before="60" w:after="60"/>
        <w:ind w:left="792" w:hanging="360"/>
        <w:jc w:val="both"/>
        <w:rPr>
          <w:sz w:val="24"/>
          <w:szCs w:val="22"/>
        </w:rPr>
      </w:pPr>
      <w:r w:rsidRPr="00F24F6A">
        <w:rPr>
          <w:sz w:val="24"/>
          <w:szCs w:val="22"/>
          <w:lang w:val="en-US"/>
        </w:rPr>
        <w:t>(e)</w:t>
      </w:r>
      <w:r w:rsidR="009D5D54" w:rsidRPr="00F24F6A">
        <w:rPr>
          <w:sz w:val="24"/>
          <w:szCs w:val="22"/>
          <w:lang w:val="en-US"/>
        </w:rPr>
        <w:t xml:space="preserve"> </w:t>
      </w:r>
      <w:r w:rsidRPr="00F24F6A">
        <w:rPr>
          <w:sz w:val="24"/>
          <w:szCs w:val="22"/>
          <w:lang w:val="en-US"/>
        </w:rPr>
        <w:t>all things done in and in relation to the proceedings in the Australian Industrial Court shall be deemed to have been done in</w:t>
      </w:r>
      <w:r w:rsidR="009A1CD6">
        <w:rPr>
          <w:sz w:val="24"/>
          <w:szCs w:val="22"/>
        </w:rPr>
        <w:t xml:space="preserve"> </w:t>
      </w:r>
      <w:r w:rsidRPr="00F24F6A">
        <w:rPr>
          <w:sz w:val="24"/>
          <w:szCs w:val="22"/>
          <w:lang w:val="en-US"/>
        </w:rPr>
        <w:t>and in relation to the proceedings in the Federal Court of Australia.</w:t>
      </w:r>
    </w:p>
    <w:p w14:paraId="34BC6D87" w14:textId="77777777" w:rsidR="002320D5" w:rsidRPr="00F24F6A" w:rsidRDefault="00574773" w:rsidP="00D26811">
      <w:pPr>
        <w:shd w:val="clear" w:color="auto" w:fill="FFFFFF"/>
        <w:spacing w:before="60" w:after="60"/>
        <w:ind w:firstLine="432"/>
        <w:jc w:val="both"/>
        <w:rPr>
          <w:sz w:val="24"/>
          <w:szCs w:val="22"/>
        </w:rPr>
      </w:pPr>
      <w:r w:rsidRPr="00F24F6A">
        <w:rPr>
          <w:sz w:val="24"/>
          <w:szCs w:val="22"/>
          <w:lang w:val="en-US"/>
        </w:rPr>
        <w:t>(3) The Federal Court of Australia has the same powers (including powers in respect of contempt of court and enforcing of orders) in respect of an order of the Australian Industrial Court made, whether before or after the commencement of this Act, under an Act referred to in the Schedule as if it were an order of the Federal Court of Australia.</w:t>
      </w:r>
    </w:p>
    <w:p w14:paraId="3BC29216" w14:textId="77777777" w:rsidR="002320D5" w:rsidRPr="00F24F6A" w:rsidRDefault="00426AB2" w:rsidP="00E60FAC">
      <w:pPr>
        <w:shd w:val="clear" w:color="auto" w:fill="FFFFFF"/>
        <w:tabs>
          <w:tab w:val="left" w:pos="8820"/>
        </w:tabs>
        <w:spacing w:before="720" w:after="120"/>
        <w:ind w:left="4032"/>
        <w:jc w:val="both"/>
        <w:rPr>
          <w:sz w:val="24"/>
          <w:szCs w:val="22"/>
        </w:rPr>
      </w:pPr>
      <w:r>
        <w:rPr>
          <w:noProof/>
          <w:sz w:val="28"/>
          <w:szCs w:val="22"/>
          <w:lang w:val="en-AU" w:eastAsia="en-AU"/>
        </w:rPr>
        <mc:AlternateContent>
          <mc:Choice Requires="wps">
            <w:drawing>
              <wp:anchor distT="0" distB="0" distL="114300" distR="114300" simplePos="0" relativeHeight="251659264" behindDoc="0" locked="0" layoutInCell="1" allowOverlap="1" wp14:anchorId="317DF13D" wp14:editId="479C8A79">
                <wp:simplePos x="0" y="0"/>
                <wp:positionH relativeFrom="column">
                  <wp:posOffset>2649855</wp:posOffset>
                </wp:positionH>
                <wp:positionV relativeFrom="paragraph">
                  <wp:posOffset>231987</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65pt,18.25pt" to="262.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" strokecolor="black [3040]" strokeweight="1.5pt"/>
            </w:pict>
          </mc:Fallback>
        </mc:AlternateContent>
      </w:r>
      <w:r w:rsidR="00574773" w:rsidRPr="0051144B">
        <w:rPr>
          <w:sz w:val="28"/>
          <w:szCs w:val="22"/>
          <w:lang w:val="en-US"/>
        </w:rPr>
        <w:t>SCHEDULE</w:t>
      </w:r>
      <w:r w:rsidR="0051144B">
        <w:rPr>
          <w:sz w:val="24"/>
          <w:szCs w:val="22"/>
          <w:lang w:val="en-US"/>
        </w:rPr>
        <w:tab/>
      </w:r>
      <w:r w:rsidR="00574773" w:rsidRPr="00F24F6A">
        <w:rPr>
          <w:sz w:val="24"/>
          <w:szCs w:val="22"/>
          <w:lang w:val="en-US"/>
        </w:rPr>
        <w:t>Section 3</w:t>
      </w:r>
    </w:p>
    <w:tbl>
      <w:tblPr>
        <w:tblW w:w="5000" w:type="pct"/>
        <w:jc w:val="center"/>
        <w:tblLayout w:type="fixed"/>
        <w:tblCellMar>
          <w:left w:w="40" w:type="dxa"/>
          <w:right w:w="40" w:type="dxa"/>
        </w:tblCellMar>
        <w:tblLook w:val="0000" w:firstRow="0" w:lastRow="0" w:firstColumn="0" w:lastColumn="0" w:noHBand="0" w:noVBand="0"/>
      </w:tblPr>
      <w:tblGrid>
        <w:gridCol w:w="3235"/>
        <w:gridCol w:w="2583"/>
        <w:gridCol w:w="4011"/>
      </w:tblGrid>
      <w:tr w:rsidR="002320D5" w:rsidRPr="0048048C" w14:paraId="00621450" w14:textId="77777777" w:rsidTr="00AA58DB">
        <w:trPr>
          <w:trHeight w:val="570"/>
          <w:jc w:val="center"/>
        </w:trPr>
        <w:tc>
          <w:tcPr>
            <w:tcW w:w="3235" w:type="dxa"/>
            <w:tcBorders>
              <w:top w:val="single" w:sz="6" w:space="0" w:color="auto"/>
              <w:left w:val="nil"/>
              <w:bottom w:val="single" w:sz="6" w:space="0" w:color="auto"/>
              <w:right w:val="nil"/>
            </w:tcBorders>
            <w:shd w:val="clear" w:color="auto" w:fill="FFFFFF"/>
            <w:vAlign w:val="center"/>
          </w:tcPr>
          <w:p w14:paraId="326B18C1" w14:textId="77777777" w:rsidR="002320D5" w:rsidRPr="0048048C" w:rsidRDefault="00574773" w:rsidP="00AA58DB">
            <w:pPr>
              <w:shd w:val="clear" w:color="auto" w:fill="FFFFFF"/>
              <w:rPr>
                <w:sz w:val="22"/>
                <w:szCs w:val="22"/>
              </w:rPr>
            </w:pPr>
            <w:r w:rsidRPr="0048048C">
              <w:rPr>
                <w:sz w:val="22"/>
                <w:szCs w:val="22"/>
                <w:lang w:val="en-US"/>
              </w:rPr>
              <w:t>Act</w:t>
            </w:r>
          </w:p>
        </w:tc>
        <w:tc>
          <w:tcPr>
            <w:tcW w:w="2583" w:type="dxa"/>
            <w:tcBorders>
              <w:top w:val="single" w:sz="6" w:space="0" w:color="auto"/>
              <w:left w:val="nil"/>
              <w:bottom w:val="single" w:sz="6" w:space="0" w:color="auto"/>
              <w:right w:val="nil"/>
            </w:tcBorders>
            <w:shd w:val="clear" w:color="auto" w:fill="FFFFFF"/>
            <w:vAlign w:val="center"/>
          </w:tcPr>
          <w:p w14:paraId="51A177E2" w14:textId="77777777" w:rsidR="002320D5" w:rsidRPr="0048048C" w:rsidRDefault="00574773" w:rsidP="00AA58DB">
            <w:pPr>
              <w:shd w:val="clear" w:color="auto" w:fill="FFFFFF"/>
              <w:tabs>
                <w:tab w:val="left" w:leader="dot" w:pos="2304"/>
              </w:tabs>
              <w:rPr>
                <w:sz w:val="22"/>
                <w:szCs w:val="22"/>
              </w:rPr>
            </w:pPr>
            <w:r w:rsidRPr="0048048C">
              <w:rPr>
                <w:sz w:val="22"/>
                <w:szCs w:val="22"/>
                <w:lang w:val="en-US"/>
              </w:rPr>
              <w:t>Provision</w:t>
            </w:r>
          </w:p>
        </w:tc>
        <w:tc>
          <w:tcPr>
            <w:tcW w:w="4011" w:type="dxa"/>
            <w:tcBorders>
              <w:top w:val="single" w:sz="6" w:space="0" w:color="auto"/>
              <w:left w:val="nil"/>
              <w:bottom w:val="single" w:sz="6" w:space="0" w:color="auto"/>
              <w:right w:val="nil"/>
            </w:tcBorders>
            <w:shd w:val="clear" w:color="auto" w:fill="FFFFFF"/>
            <w:vAlign w:val="center"/>
          </w:tcPr>
          <w:p w14:paraId="3A80F5CA" w14:textId="77777777" w:rsidR="002320D5" w:rsidRPr="0048048C" w:rsidRDefault="00574773" w:rsidP="00AA58DB">
            <w:pPr>
              <w:shd w:val="clear" w:color="auto" w:fill="FFFFFF"/>
              <w:rPr>
                <w:sz w:val="22"/>
                <w:szCs w:val="22"/>
              </w:rPr>
            </w:pPr>
            <w:r w:rsidRPr="0048048C">
              <w:rPr>
                <w:sz w:val="22"/>
                <w:szCs w:val="22"/>
                <w:lang w:val="en-US"/>
              </w:rPr>
              <w:t>Amendment</w:t>
            </w:r>
          </w:p>
        </w:tc>
      </w:tr>
      <w:tr w:rsidR="002320D5" w:rsidRPr="0048048C" w14:paraId="4B49AFBB" w14:textId="77777777" w:rsidTr="002A73F2">
        <w:trPr>
          <w:trHeight w:val="624"/>
          <w:jc w:val="center"/>
        </w:trPr>
        <w:tc>
          <w:tcPr>
            <w:tcW w:w="3235" w:type="dxa"/>
            <w:tcBorders>
              <w:top w:val="single" w:sz="6" w:space="0" w:color="auto"/>
              <w:left w:val="nil"/>
              <w:bottom w:val="nil"/>
              <w:right w:val="nil"/>
            </w:tcBorders>
            <w:shd w:val="clear" w:color="auto" w:fill="FFFFFF"/>
          </w:tcPr>
          <w:p w14:paraId="37BD7F3E" w14:textId="77777777" w:rsidR="009A1CD6" w:rsidRDefault="00574773" w:rsidP="0028535A">
            <w:pPr>
              <w:shd w:val="clear" w:color="auto" w:fill="FFFFFF"/>
              <w:ind w:left="288" w:hanging="288"/>
              <w:jc w:val="both"/>
              <w:rPr>
                <w:i/>
                <w:iCs/>
                <w:sz w:val="22"/>
                <w:szCs w:val="22"/>
                <w:lang w:val="en-US"/>
              </w:rPr>
            </w:pPr>
            <w:r w:rsidRPr="0048048C">
              <w:rPr>
                <w:i/>
                <w:iCs/>
                <w:sz w:val="22"/>
                <w:szCs w:val="22"/>
                <w:lang w:val="fr-FR"/>
              </w:rPr>
              <w:t xml:space="preserve">Administrative </w:t>
            </w:r>
            <w:r w:rsidRPr="0048048C">
              <w:rPr>
                <w:i/>
                <w:iCs/>
                <w:sz w:val="22"/>
                <w:szCs w:val="22"/>
                <w:lang w:val="en-US"/>
              </w:rPr>
              <w:t xml:space="preserve">Appeals </w:t>
            </w:r>
          </w:p>
          <w:p w14:paraId="4DB1F0F1" w14:textId="7BC72E7C" w:rsidR="002320D5" w:rsidRPr="0048048C" w:rsidRDefault="00574773" w:rsidP="009A1CD6">
            <w:pPr>
              <w:shd w:val="clear" w:color="auto" w:fill="FFFFFF"/>
              <w:ind w:left="576" w:hanging="288"/>
              <w:jc w:val="both"/>
              <w:rPr>
                <w:sz w:val="22"/>
                <w:szCs w:val="22"/>
              </w:rPr>
            </w:pPr>
            <w:r w:rsidRPr="0048048C">
              <w:rPr>
                <w:i/>
                <w:iCs/>
                <w:sz w:val="22"/>
                <w:szCs w:val="22"/>
                <w:lang w:val="en-US"/>
              </w:rPr>
              <w:t xml:space="preserve">Tribunal Act </w:t>
            </w:r>
            <w:r w:rsidRPr="0048048C">
              <w:rPr>
                <w:sz w:val="22"/>
                <w:szCs w:val="22"/>
                <w:lang w:val="en-US"/>
              </w:rPr>
              <w:t>1975</w:t>
            </w:r>
          </w:p>
        </w:tc>
        <w:tc>
          <w:tcPr>
            <w:tcW w:w="2583" w:type="dxa"/>
            <w:tcBorders>
              <w:top w:val="single" w:sz="6" w:space="0" w:color="auto"/>
              <w:left w:val="nil"/>
              <w:bottom w:val="nil"/>
              <w:right w:val="nil"/>
            </w:tcBorders>
            <w:shd w:val="clear" w:color="auto" w:fill="FFFFFF"/>
          </w:tcPr>
          <w:p w14:paraId="3E752A04" w14:textId="234F3765" w:rsidR="002320D5" w:rsidRPr="0048048C" w:rsidRDefault="00574773" w:rsidP="009A1CD6">
            <w:pPr>
              <w:shd w:val="clear" w:color="auto" w:fill="FFFFFF"/>
              <w:tabs>
                <w:tab w:val="left" w:leader="dot" w:pos="2435"/>
              </w:tabs>
              <w:ind w:left="288" w:hanging="288"/>
              <w:jc w:val="both"/>
              <w:rPr>
                <w:sz w:val="22"/>
                <w:szCs w:val="22"/>
              </w:rPr>
            </w:pPr>
            <w:r w:rsidRPr="0048048C">
              <w:rPr>
                <w:sz w:val="22"/>
                <w:szCs w:val="22"/>
                <w:lang w:val="en-US"/>
              </w:rPr>
              <w:t>Section 43(6)</w:t>
            </w:r>
            <w:r w:rsidR="005913D3">
              <w:rPr>
                <w:sz w:val="22"/>
                <w:szCs w:val="22"/>
                <w:lang w:val="en-US"/>
              </w:rPr>
              <w:tab/>
            </w:r>
          </w:p>
        </w:tc>
        <w:tc>
          <w:tcPr>
            <w:tcW w:w="4011" w:type="dxa"/>
            <w:tcBorders>
              <w:top w:val="single" w:sz="6" w:space="0" w:color="auto"/>
              <w:left w:val="nil"/>
              <w:bottom w:val="nil"/>
              <w:right w:val="nil"/>
            </w:tcBorders>
            <w:shd w:val="clear" w:color="auto" w:fill="FFFFFF"/>
          </w:tcPr>
          <w:p w14:paraId="2FD9A2DC" w14:textId="3015AC07"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to the Australian Indust</w:t>
            </w:r>
            <w:r w:rsidR="00AB0F67" w:rsidRPr="0048048C">
              <w:rPr>
                <w:sz w:val="22"/>
                <w:szCs w:val="22"/>
                <w:lang w:val="en-US"/>
              </w:rPr>
              <w:t>ri</w:t>
            </w:r>
            <w:r w:rsidRPr="0048048C">
              <w:rPr>
                <w:sz w:val="22"/>
                <w:szCs w:val="22"/>
                <w:lang w:val="en-US"/>
              </w:rPr>
              <w:t>al Court</w:t>
            </w:r>
            <w:r w:rsidR="00F24F6A" w:rsidRPr="0048048C">
              <w:rPr>
                <w:sz w:val="22"/>
                <w:szCs w:val="22"/>
                <w:lang w:val="en-US"/>
              </w:rPr>
              <w:t>”</w:t>
            </w:r>
            <w:r w:rsidRPr="0048048C">
              <w:rPr>
                <w:sz w:val="22"/>
                <w:szCs w:val="22"/>
                <w:lang w:val="en-US"/>
              </w:rPr>
              <w:t xml:space="preserve">, substitute </w:t>
            </w:r>
            <w:r w:rsidR="00F24F6A" w:rsidRPr="0048048C">
              <w:rPr>
                <w:sz w:val="22"/>
                <w:szCs w:val="22"/>
                <w:lang w:val="en-US"/>
              </w:rPr>
              <w:t>“</w:t>
            </w:r>
            <w:r w:rsidRPr="0048048C">
              <w:rPr>
                <w:sz w:val="22"/>
                <w:szCs w:val="22"/>
                <w:lang w:val="en-US"/>
              </w:rPr>
              <w:t>in accordance with section 44</w:t>
            </w:r>
            <w:r w:rsidR="00F24F6A" w:rsidRPr="0048048C">
              <w:rPr>
                <w:sz w:val="22"/>
                <w:szCs w:val="22"/>
                <w:lang w:val="en-US"/>
              </w:rPr>
              <w:t>”</w:t>
            </w:r>
            <w:r w:rsidR="009A1CD6">
              <w:rPr>
                <w:sz w:val="22"/>
                <w:szCs w:val="22"/>
                <w:lang w:val="en-US"/>
              </w:rPr>
              <w:t>.</w:t>
            </w:r>
          </w:p>
        </w:tc>
      </w:tr>
      <w:tr w:rsidR="002320D5" w:rsidRPr="0048048C" w14:paraId="3CC19474" w14:textId="77777777" w:rsidTr="002A73F2">
        <w:trPr>
          <w:trHeight w:val="20"/>
          <w:jc w:val="center"/>
        </w:trPr>
        <w:tc>
          <w:tcPr>
            <w:tcW w:w="3235" w:type="dxa"/>
            <w:tcBorders>
              <w:top w:val="nil"/>
              <w:left w:val="nil"/>
              <w:bottom w:val="nil"/>
              <w:right w:val="nil"/>
            </w:tcBorders>
            <w:shd w:val="clear" w:color="auto" w:fill="FFFFFF"/>
          </w:tcPr>
          <w:p w14:paraId="64E782A8" w14:textId="77777777" w:rsidR="002320D5" w:rsidRPr="0048048C" w:rsidRDefault="002320D5" w:rsidP="0028535A">
            <w:pPr>
              <w:shd w:val="clear" w:color="auto" w:fill="FFFFFF"/>
              <w:ind w:left="288" w:hanging="288"/>
              <w:jc w:val="both"/>
              <w:rPr>
                <w:sz w:val="22"/>
                <w:szCs w:val="22"/>
              </w:rPr>
            </w:pPr>
          </w:p>
        </w:tc>
        <w:tc>
          <w:tcPr>
            <w:tcW w:w="2583" w:type="dxa"/>
            <w:tcBorders>
              <w:top w:val="nil"/>
              <w:left w:val="nil"/>
              <w:bottom w:val="nil"/>
              <w:right w:val="nil"/>
            </w:tcBorders>
            <w:shd w:val="clear" w:color="auto" w:fill="FFFFFF"/>
          </w:tcPr>
          <w:p w14:paraId="208C4C30"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Sections 44, 45 and 46</w:t>
            </w:r>
          </w:p>
        </w:tc>
        <w:tc>
          <w:tcPr>
            <w:tcW w:w="4011" w:type="dxa"/>
            <w:tcBorders>
              <w:top w:val="nil"/>
              <w:left w:val="nil"/>
              <w:bottom w:val="nil"/>
              <w:right w:val="nil"/>
            </w:tcBorders>
            <w:shd w:val="clear" w:color="auto" w:fill="FFFFFF"/>
          </w:tcPr>
          <w:p w14:paraId="41538928" w14:textId="7ABE6F34"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Australian Indust</w:t>
            </w:r>
            <w:r w:rsidR="00AB0F67" w:rsidRPr="0048048C">
              <w:rPr>
                <w:sz w:val="22"/>
                <w:szCs w:val="22"/>
                <w:lang w:val="en-US"/>
              </w:rPr>
              <w:t>ri</w:t>
            </w:r>
            <w:r w:rsidRPr="0048048C">
              <w:rPr>
                <w:sz w:val="22"/>
                <w:szCs w:val="22"/>
                <w:lang w:val="en-US"/>
              </w:rPr>
              <w:t>al Court</w:t>
            </w:r>
            <w:r w:rsidR="00F24F6A" w:rsidRPr="0048048C">
              <w:rPr>
                <w:sz w:val="22"/>
                <w:szCs w:val="22"/>
                <w:lang w:val="en-US"/>
              </w:rPr>
              <w:t>”</w:t>
            </w:r>
            <w:r w:rsidRPr="0048048C">
              <w:rPr>
                <w:sz w:val="22"/>
                <w:szCs w:val="22"/>
                <w:lang w:val="en-US"/>
              </w:rPr>
              <w:t xml:space="preserve"> (wherever occurring), substitute </w:t>
            </w:r>
            <w:r w:rsidR="00F24F6A" w:rsidRPr="0048048C">
              <w:rPr>
                <w:sz w:val="22"/>
                <w:szCs w:val="22"/>
                <w:lang w:val="en-US"/>
              </w:rPr>
              <w:t>“</w:t>
            </w:r>
            <w:r w:rsidRPr="0048048C">
              <w:rPr>
                <w:sz w:val="22"/>
                <w:szCs w:val="22"/>
                <w:lang w:val="en-US"/>
              </w:rPr>
              <w:t>Federal Court of Australia</w:t>
            </w:r>
            <w:r w:rsidR="00F24F6A" w:rsidRPr="0048048C">
              <w:rPr>
                <w:sz w:val="22"/>
                <w:szCs w:val="22"/>
                <w:lang w:val="en-US"/>
              </w:rPr>
              <w:t>”</w:t>
            </w:r>
            <w:r w:rsidR="009A1CD6">
              <w:rPr>
                <w:sz w:val="22"/>
                <w:szCs w:val="22"/>
                <w:lang w:val="en-US"/>
              </w:rPr>
              <w:t>.</w:t>
            </w:r>
          </w:p>
        </w:tc>
      </w:tr>
    </w:tbl>
    <w:p w14:paraId="25D45023" w14:textId="77777777" w:rsidR="009A1CD6" w:rsidRDefault="009A1CD6">
      <w:r>
        <w:br w:type="page"/>
      </w:r>
    </w:p>
    <w:tbl>
      <w:tblPr>
        <w:tblW w:w="5000" w:type="pct"/>
        <w:jc w:val="center"/>
        <w:tblLayout w:type="fixed"/>
        <w:tblCellMar>
          <w:left w:w="40" w:type="dxa"/>
          <w:right w:w="40" w:type="dxa"/>
        </w:tblCellMar>
        <w:tblLook w:val="0000" w:firstRow="0" w:lastRow="0" w:firstColumn="0" w:lastColumn="0" w:noHBand="0" w:noVBand="0"/>
      </w:tblPr>
      <w:tblGrid>
        <w:gridCol w:w="3190"/>
        <w:gridCol w:w="45"/>
        <w:gridCol w:w="2565"/>
        <w:gridCol w:w="18"/>
        <w:gridCol w:w="4011"/>
      </w:tblGrid>
      <w:tr w:rsidR="002320D5" w:rsidRPr="0048048C" w14:paraId="4F52E56C" w14:textId="77777777" w:rsidTr="002A73F2">
        <w:trPr>
          <w:trHeight w:val="20"/>
          <w:jc w:val="center"/>
        </w:trPr>
        <w:tc>
          <w:tcPr>
            <w:tcW w:w="3235" w:type="dxa"/>
            <w:gridSpan w:val="2"/>
            <w:tcBorders>
              <w:top w:val="nil"/>
              <w:left w:val="nil"/>
              <w:bottom w:val="nil"/>
              <w:right w:val="nil"/>
            </w:tcBorders>
            <w:shd w:val="clear" w:color="auto" w:fill="FFFFFF"/>
          </w:tcPr>
          <w:p w14:paraId="40DCDA38" w14:textId="77777777" w:rsidR="009A1CD6" w:rsidRDefault="00574773" w:rsidP="0028535A">
            <w:pPr>
              <w:shd w:val="clear" w:color="auto" w:fill="FFFFFF"/>
              <w:ind w:left="288" w:hanging="288"/>
              <w:jc w:val="both"/>
              <w:rPr>
                <w:i/>
                <w:iCs/>
                <w:sz w:val="22"/>
                <w:szCs w:val="22"/>
                <w:lang w:val="en-US"/>
              </w:rPr>
            </w:pPr>
            <w:r w:rsidRPr="0048048C">
              <w:rPr>
                <w:i/>
                <w:iCs/>
                <w:sz w:val="22"/>
                <w:szCs w:val="22"/>
                <w:lang w:val="en-US"/>
              </w:rPr>
              <w:lastRenderedPageBreak/>
              <w:t xml:space="preserve">Broadcasting and Television </w:t>
            </w:r>
          </w:p>
          <w:p w14:paraId="69690692" w14:textId="73AC6577" w:rsidR="002320D5" w:rsidRPr="0048048C" w:rsidRDefault="00574773" w:rsidP="009A1CD6">
            <w:pPr>
              <w:shd w:val="clear" w:color="auto" w:fill="FFFFFF"/>
              <w:ind w:left="576" w:hanging="288"/>
              <w:jc w:val="both"/>
              <w:rPr>
                <w:sz w:val="22"/>
                <w:szCs w:val="22"/>
              </w:rPr>
            </w:pPr>
            <w:r w:rsidRPr="0048048C">
              <w:rPr>
                <w:i/>
                <w:iCs/>
                <w:sz w:val="22"/>
                <w:szCs w:val="22"/>
                <w:lang w:val="en-US"/>
              </w:rPr>
              <w:t xml:space="preserve">Act </w:t>
            </w:r>
            <w:r w:rsidRPr="0048048C">
              <w:rPr>
                <w:sz w:val="22"/>
                <w:szCs w:val="22"/>
                <w:lang w:val="en-US"/>
              </w:rPr>
              <w:t>1942</w:t>
            </w:r>
          </w:p>
        </w:tc>
        <w:tc>
          <w:tcPr>
            <w:tcW w:w="2583" w:type="dxa"/>
            <w:gridSpan w:val="2"/>
            <w:tcBorders>
              <w:top w:val="nil"/>
              <w:left w:val="nil"/>
              <w:bottom w:val="nil"/>
              <w:right w:val="nil"/>
            </w:tcBorders>
            <w:shd w:val="clear" w:color="auto" w:fill="FFFFFF"/>
          </w:tcPr>
          <w:p w14:paraId="7D2E0679"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 xml:space="preserve">Sections </w:t>
            </w:r>
            <w:r w:rsidRPr="0048048C">
              <w:rPr>
                <w:smallCaps/>
                <w:sz w:val="22"/>
                <w:szCs w:val="22"/>
                <w:lang w:val="en-US"/>
              </w:rPr>
              <w:t xml:space="preserve">90r </w:t>
            </w:r>
            <w:r w:rsidRPr="0048048C">
              <w:rPr>
                <w:sz w:val="22"/>
                <w:szCs w:val="22"/>
                <w:lang w:val="en-US"/>
              </w:rPr>
              <w:t xml:space="preserve">and </w:t>
            </w:r>
            <w:r w:rsidRPr="0048048C">
              <w:rPr>
                <w:smallCaps/>
                <w:sz w:val="22"/>
                <w:szCs w:val="22"/>
                <w:lang w:val="en-US"/>
              </w:rPr>
              <w:t>92ka</w:t>
            </w:r>
          </w:p>
        </w:tc>
        <w:tc>
          <w:tcPr>
            <w:tcW w:w="4011" w:type="dxa"/>
            <w:tcBorders>
              <w:top w:val="nil"/>
              <w:left w:val="nil"/>
              <w:bottom w:val="nil"/>
              <w:right w:val="nil"/>
            </w:tcBorders>
            <w:shd w:val="clear" w:color="auto" w:fill="FFFFFF"/>
          </w:tcPr>
          <w:p w14:paraId="69BB3E53" w14:textId="13C11B3E"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Australian Indust</w:t>
            </w:r>
            <w:r w:rsidR="00AB0F67" w:rsidRPr="0048048C">
              <w:rPr>
                <w:sz w:val="22"/>
                <w:szCs w:val="22"/>
                <w:lang w:val="en-US"/>
              </w:rPr>
              <w:t>ri</w:t>
            </w:r>
            <w:r w:rsidRPr="0048048C">
              <w:rPr>
                <w:sz w:val="22"/>
                <w:szCs w:val="22"/>
                <w:lang w:val="en-US"/>
              </w:rPr>
              <w:t>al Court</w:t>
            </w:r>
            <w:r w:rsidR="00F24F6A" w:rsidRPr="0048048C">
              <w:rPr>
                <w:sz w:val="22"/>
                <w:szCs w:val="22"/>
                <w:lang w:val="en-US"/>
              </w:rPr>
              <w:t>”</w:t>
            </w:r>
            <w:r w:rsidRPr="0048048C">
              <w:rPr>
                <w:sz w:val="22"/>
                <w:szCs w:val="22"/>
                <w:lang w:val="en-US"/>
              </w:rPr>
              <w:t xml:space="preserve"> (wherever occurring), substitute </w:t>
            </w:r>
            <w:r w:rsidR="00F24F6A" w:rsidRPr="0048048C">
              <w:rPr>
                <w:sz w:val="22"/>
                <w:szCs w:val="22"/>
                <w:lang w:val="en-US"/>
              </w:rPr>
              <w:t>“</w:t>
            </w:r>
            <w:r w:rsidRPr="0048048C">
              <w:rPr>
                <w:sz w:val="22"/>
                <w:szCs w:val="22"/>
                <w:lang w:val="en-US"/>
              </w:rPr>
              <w:t>Federal Court of Australia</w:t>
            </w:r>
            <w:r w:rsidR="00F24F6A" w:rsidRPr="0048048C">
              <w:rPr>
                <w:sz w:val="22"/>
                <w:szCs w:val="22"/>
                <w:lang w:val="en-US"/>
              </w:rPr>
              <w:t>”</w:t>
            </w:r>
          </w:p>
        </w:tc>
      </w:tr>
      <w:tr w:rsidR="002A73F2" w:rsidRPr="0048048C" w14:paraId="6B0FEA98" w14:textId="77777777" w:rsidTr="002A73F2">
        <w:trPr>
          <w:trHeight w:val="20"/>
          <w:jc w:val="center"/>
        </w:trPr>
        <w:tc>
          <w:tcPr>
            <w:tcW w:w="3235" w:type="dxa"/>
            <w:gridSpan w:val="2"/>
            <w:vMerge w:val="restart"/>
            <w:tcBorders>
              <w:top w:val="nil"/>
              <w:left w:val="nil"/>
              <w:right w:val="nil"/>
            </w:tcBorders>
            <w:shd w:val="clear" w:color="auto" w:fill="FFFFFF"/>
          </w:tcPr>
          <w:p w14:paraId="3A382FF5" w14:textId="77777777" w:rsidR="002A73F2" w:rsidRPr="0048048C" w:rsidRDefault="002A73F2" w:rsidP="009A1CD6">
            <w:pPr>
              <w:shd w:val="clear" w:color="auto" w:fill="FFFFFF"/>
              <w:ind w:left="288" w:hanging="288"/>
              <w:rPr>
                <w:sz w:val="22"/>
                <w:szCs w:val="22"/>
              </w:rPr>
            </w:pPr>
            <w:r w:rsidRPr="0048048C">
              <w:rPr>
                <w:i/>
                <w:iCs/>
                <w:sz w:val="22"/>
                <w:szCs w:val="22"/>
                <w:lang w:val="en-US"/>
              </w:rPr>
              <w:t xml:space="preserve">Compensation </w:t>
            </w:r>
            <w:r w:rsidRPr="0048048C">
              <w:rPr>
                <w:iCs/>
                <w:sz w:val="22"/>
                <w:szCs w:val="22"/>
                <w:lang w:val="en-US"/>
              </w:rPr>
              <w:t>(</w:t>
            </w:r>
            <w:r w:rsidRPr="0048048C">
              <w:rPr>
                <w:i/>
                <w:iCs/>
                <w:sz w:val="22"/>
                <w:szCs w:val="22"/>
                <w:lang w:val="en-US"/>
              </w:rPr>
              <w:t>Commonwealth Government Employees</w:t>
            </w:r>
            <w:r w:rsidRPr="0048048C">
              <w:rPr>
                <w:iCs/>
                <w:sz w:val="22"/>
                <w:szCs w:val="22"/>
                <w:lang w:val="en-US"/>
              </w:rPr>
              <w:t>)</w:t>
            </w:r>
            <w:r w:rsidRPr="0048048C">
              <w:rPr>
                <w:i/>
                <w:iCs/>
                <w:sz w:val="22"/>
                <w:szCs w:val="22"/>
                <w:lang w:val="en-US"/>
              </w:rPr>
              <w:t xml:space="preserve"> Act </w:t>
            </w:r>
            <w:r w:rsidRPr="0048048C">
              <w:rPr>
                <w:sz w:val="22"/>
                <w:szCs w:val="22"/>
                <w:lang w:val="en-US"/>
              </w:rPr>
              <w:t>1971</w:t>
            </w:r>
          </w:p>
        </w:tc>
        <w:tc>
          <w:tcPr>
            <w:tcW w:w="2583" w:type="dxa"/>
            <w:gridSpan w:val="2"/>
            <w:tcBorders>
              <w:top w:val="nil"/>
              <w:left w:val="nil"/>
              <w:bottom w:val="nil"/>
              <w:right w:val="nil"/>
            </w:tcBorders>
            <w:shd w:val="clear" w:color="auto" w:fill="FFFFFF"/>
          </w:tcPr>
          <w:p w14:paraId="1894AE09" w14:textId="77777777" w:rsidR="002A73F2" w:rsidRPr="0048048C" w:rsidRDefault="002A73F2" w:rsidP="008B01E8">
            <w:pPr>
              <w:shd w:val="clear" w:color="auto" w:fill="FFFFFF"/>
              <w:tabs>
                <w:tab w:val="left" w:leader="dot" w:pos="2435"/>
              </w:tabs>
              <w:ind w:left="288" w:hanging="288"/>
              <w:jc w:val="both"/>
              <w:rPr>
                <w:sz w:val="22"/>
                <w:szCs w:val="22"/>
              </w:rPr>
            </w:pPr>
            <w:r w:rsidRPr="0048048C">
              <w:rPr>
                <w:sz w:val="22"/>
                <w:szCs w:val="22"/>
                <w:lang w:val="en-US"/>
              </w:rPr>
              <w:t>Section 94</w:t>
            </w:r>
            <w:r w:rsidR="00D71B68">
              <w:rPr>
                <w:sz w:val="22"/>
                <w:szCs w:val="22"/>
                <w:lang w:val="en-US"/>
              </w:rPr>
              <w:tab/>
            </w:r>
          </w:p>
        </w:tc>
        <w:tc>
          <w:tcPr>
            <w:tcW w:w="4011" w:type="dxa"/>
            <w:tcBorders>
              <w:top w:val="nil"/>
              <w:left w:val="nil"/>
              <w:bottom w:val="nil"/>
              <w:right w:val="nil"/>
            </w:tcBorders>
            <w:shd w:val="clear" w:color="auto" w:fill="FFFFFF"/>
          </w:tcPr>
          <w:p w14:paraId="1AE5558E" w14:textId="0F02FDE8" w:rsidR="002A73F2" w:rsidRPr="0048048C" w:rsidRDefault="002A73F2" w:rsidP="009A1CD6">
            <w:pPr>
              <w:shd w:val="clear" w:color="auto" w:fill="FFFFFF"/>
              <w:ind w:left="288" w:hanging="288"/>
              <w:jc w:val="both"/>
              <w:rPr>
                <w:sz w:val="22"/>
                <w:szCs w:val="22"/>
              </w:rPr>
            </w:pPr>
            <w:r w:rsidRPr="0048048C">
              <w:rPr>
                <w:sz w:val="22"/>
                <w:szCs w:val="22"/>
                <w:lang w:val="en-US"/>
              </w:rPr>
              <w:t>(a) Omit “to the Commonwealth Industrial Court”</w:t>
            </w:r>
          </w:p>
        </w:tc>
      </w:tr>
      <w:tr w:rsidR="002A73F2" w:rsidRPr="0048048C" w14:paraId="79B49D58" w14:textId="77777777" w:rsidTr="002A73F2">
        <w:trPr>
          <w:trHeight w:val="20"/>
          <w:jc w:val="center"/>
        </w:trPr>
        <w:tc>
          <w:tcPr>
            <w:tcW w:w="3235" w:type="dxa"/>
            <w:gridSpan w:val="2"/>
            <w:vMerge/>
            <w:tcBorders>
              <w:left w:val="nil"/>
              <w:bottom w:val="nil"/>
              <w:right w:val="nil"/>
            </w:tcBorders>
            <w:shd w:val="clear" w:color="auto" w:fill="FFFFFF"/>
          </w:tcPr>
          <w:p w14:paraId="5CA7CA65" w14:textId="77777777" w:rsidR="002A73F2" w:rsidRPr="0048048C" w:rsidRDefault="002A73F2" w:rsidP="0028535A">
            <w:pPr>
              <w:ind w:left="288" w:hanging="288"/>
              <w:jc w:val="both"/>
              <w:rPr>
                <w:sz w:val="22"/>
                <w:szCs w:val="22"/>
              </w:rPr>
            </w:pPr>
          </w:p>
        </w:tc>
        <w:tc>
          <w:tcPr>
            <w:tcW w:w="2583" w:type="dxa"/>
            <w:gridSpan w:val="2"/>
            <w:tcBorders>
              <w:top w:val="nil"/>
              <w:left w:val="nil"/>
              <w:bottom w:val="nil"/>
              <w:right w:val="nil"/>
            </w:tcBorders>
            <w:shd w:val="clear" w:color="auto" w:fill="FFFFFF"/>
          </w:tcPr>
          <w:p w14:paraId="2C0C643A" w14:textId="77777777" w:rsidR="002A73F2" w:rsidRPr="0048048C" w:rsidRDefault="002A73F2" w:rsidP="008B01E8">
            <w:pPr>
              <w:shd w:val="clear" w:color="auto" w:fill="FFFFFF"/>
              <w:tabs>
                <w:tab w:val="left" w:leader="dot" w:pos="2435"/>
              </w:tabs>
              <w:ind w:left="288" w:hanging="288"/>
              <w:jc w:val="both"/>
              <w:rPr>
                <w:sz w:val="22"/>
                <w:szCs w:val="22"/>
              </w:rPr>
            </w:pPr>
          </w:p>
        </w:tc>
        <w:tc>
          <w:tcPr>
            <w:tcW w:w="4011" w:type="dxa"/>
            <w:tcBorders>
              <w:top w:val="nil"/>
              <w:left w:val="nil"/>
              <w:bottom w:val="nil"/>
              <w:right w:val="nil"/>
            </w:tcBorders>
            <w:shd w:val="clear" w:color="auto" w:fill="FFFFFF"/>
          </w:tcPr>
          <w:p w14:paraId="726DCF3F" w14:textId="5097BE44" w:rsidR="002A73F2" w:rsidRPr="0048048C" w:rsidRDefault="002A73F2" w:rsidP="009A1CD6">
            <w:pPr>
              <w:shd w:val="clear" w:color="auto" w:fill="FFFFFF"/>
              <w:ind w:left="288" w:hanging="288"/>
              <w:jc w:val="both"/>
              <w:rPr>
                <w:sz w:val="22"/>
                <w:szCs w:val="22"/>
              </w:rPr>
            </w:pPr>
            <w:r w:rsidRPr="0048048C">
              <w:rPr>
                <w:sz w:val="22"/>
                <w:szCs w:val="22"/>
                <w:lang w:val="en-US"/>
              </w:rPr>
              <w:t>(b) Omit “of the Commonwealth Industrial Court</w:t>
            </w:r>
            <w:r w:rsidR="009A1CD6">
              <w:rPr>
                <w:sz w:val="22"/>
                <w:szCs w:val="22"/>
                <w:lang w:val="en-US"/>
              </w:rPr>
              <w:t>”.</w:t>
            </w:r>
          </w:p>
        </w:tc>
      </w:tr>
      <w:tr w:rsidR="002320D5" w:rsidRPr="0048048C" w14:paraId="7E3A895B" w14:textId="77777777" w:rsidTr="002A73F2">
        <w:trPr>
          <w:trHeight w:val="20"/>
          <w:jc w:val="center"/>
        </w:trPr>
        <w:tc>
          <w:tcPr>
            <w:tcW w:w="3235" w:type="dxa"/>
            <w:gridSpan w:val="2"/>
            <w:tcBorders>
              <w:top w:val="nil"/>
              <w:left w:val="nil"/>
              <w:bottom w:val="nil"/>
              <w:right w:val="nil"/>
            </w:tcBorders>
            <w:shd w:val="clear" w:color="auto" w:fill="FFFFFF"/>
          </w:tcPr>
          <w:p w14:paraId="210523BE" w14:textId="77777777" w:rsidR="002320D5" w:rsidRPr="0048048C" w:rsidRDefault="002320D5" w:rsidP="0028535A">
            <w:pPr>
              <w:shd w:val="clear" w:color="auto" w:fill="FFFFFF"/>
              <w:ind w:left="288" w:hanging="288"/>
              <w:jc w:val="both"/>
              <w:rPr>
                <w:sz w:val="22"/>
                <w:szCs w:val="22"/>
              </w:rPr>
            </w:pPr>
          </w:p>
        </w:tc>
        <w:tc>
          <w:tcPr>
            <w:tcW w:w="2583" w:type="dxa"/>
            <w:gridSpan w:val="2"/>
            <w:tcBorders>
              <w:top w:val="nil"/>
              <w:left w:val="nil"/>
              <w:bottom w:val="nil"/>
              <w:right w:val="nil"/>
            </w:tcBorders>
            <w:shd w:val="clear" w:color="auto" w:fill="FFFFFF"/>
          </w:tcPr>
          <w:p w14:paraId="5D3903B8"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 95</w:t>
            </w:r>
            <w:r w:rsidR="00D71B68">
              <w:rPr>
                <w:sz w:val="22"/>
                <w:szCs w:val="22"/>
                <w:lang w:val="en-US"/>
              </w:rPr>
              <w:tab/>
            </w:r>
          </w:p>
        </w:tc>
        <w:tc>
          <w:tcPr>
            <w:tcW w:w="4011" w:type="dxa"/>
            <w:tcBorders>
              <w:top w:val="nil"/>
              <w:left w:val="nil"/>
              <w:bottom w:val="nil"/>
              <w:right w:val="nil"/>
            </w:tcBorders>
            <w:shd w:val="clear" w:color="auto" w:fill="FFFFFF"/>
          </w:tcPr>
          <w:p w14:paraId="6F507F8F" w14:textId="1E13ECB0"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Commonwealth Industrial Court</w:t>
            </w:r>
            <w:r w:rsidR="00F24F6A" w:rsidRPr="0048048C">
              <w:rPr>
                <w:sz w:val="22"/>
                <w:szCs w:val="22"/>
                <w:lang w:val="en-US"/>
              </w:rPr>
              <w:t>”</w:t>
            </w:r>
            <w:r w:rsidRPr="0048048C">
              <w:rPr>
                <w:sz w:val="22"/>
                <w:szCs w:val="22"/>
                <w:lang w:val="en-US"/>
              </w:rPr>
              <w:t xml:space="preserve"> (wherever occur</w:t>
            </w:r>
            <w:r w:rsidR="00AB0F67" w:rsidRPr="0048048C">
              <w:rPr>
                <w:sz w:val="22"/>
                <w:szCs w:val="22"/>
                <w:lang w:val="en-US"/>
              </w:rPr>
              <w:t>ri</w:t>
            </w:r>
            <w:r w:rsidRPr="0048048C">
              <w:rPr>
                <w:sz w:val="22"/>
                <w:szCs w:val="22"/>
                <w:lang w:val="en-US"/>
              </w:rPr>
              <w:t xml:space="preserve">ng), substitute </w:t>
            </w:r>
            <w:r w:rsidR="00F24F6A" w:rsidRPr="0048048C">
              <w:rPr>
                <w:sz w:val="22"/>
                <w:szCs w:val="22"/>
                <w:lang w:val="en-US"/>
              </w:rPr>
              <w:t>“</w:t>
            </w:r>
            <w:r w:rsidRPr="0048048C">
              <w:rPr>
                <w:sz w:val="22"/>
                <w:szCs w:val="22"/>
                <w:lang w:val="en-US"/>
              </w:rPr>
              <w:t>Federal Court of Australia</w:t>
            </w:r>
            <w:r w:rsidR="00F24F6A" w:rsidRPr="0048048C">
              <w:rPr>
                <w:sz w:val="22"/>
                <w:szCs w:val="22"/>
                <w:lang w:val="en-US"/>
              </w:rPr>
              <w:t>”</w:t>
            </w:r>
            <w:r w:rsidR="009A1CD6">
              <w:rPr>
                <w:sz w:val="22"/>
                <w:szCs w:val="22"/>
                <w:lang w:val="en-US"/>
              </w:rPr>
              <w:t>.</w:t>
            </w:r>
          </w:p>
        </w:tc>
      </w:tr>
      <w:tr w:rsidR="002320D5" w:rsidRPr="0048048C" w14:paraId="5F26BC67" w14:textId="77777777" w:rsidTr="002A73F2">
        <w:trPr>
          <w:trHeight w:val="20"/>
          <w:jc w:val="center"/>
        </w:trPr>
        <w:tc>
          <w:tcPr>
            <w:tcW w:w="3235" w:type="dxa"/>
            <w:gridSpan w:val="2"/>
            <w:tcBorders>
              <w:top w:val="nil"/>
              <w:left w:val="nil"/>
              <w:bottom w:val="nil"/>
              <w:right w:val="nil"/>
            </w:tcBorders>
            <w:shd w:val="clear" w:color="auto" w:fill="FFFFFF"/>
          </w:tcPr>
          <w:p w14:paraId="26B4645E" w14:textId="77777777" w:rsidR="002320D5" w:rsidRPr="0048048C" w:rsidRDefault="002320D5" w:rsidP="0028535A">
            <w:pPr>
              <w:shd w:val="clear" w:color="auto" w:fill="FFFFFF"/>
              <w:ind w:left="288" w:hanging="288"/>
              <w:jc w:val="both"/>
              <w:rPr>
                <w:sz w:val="22"/>
                <w:szCs w:val="22"/>
              </w:rPr>
            </w:pPr>
          </w:p>
        </w:tc>
        <w:tc>
          <w:tcPr>
            <w:tcW w:w="2583" w:type="dxa"/>
            <w:gridSpan w:val="2"/>
            <w:tcBorders>
              <w:top w:val="nil"/>
              <w:left w:val="nil"/>
              <w:bottom w:val="nil"/>
              <w:right w:val="nil"/>
            </w:tcBorders>
            <w:shd w:val="clear" w:color="auto" w:fill="FFFFFF"/>
          </w:tcPr>
          <w:p w14:paraId="717B2ACF"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 96</w:t>
            </w:r>
            <w:r w:rsidR="00D71B68">
              <w:rPr>
                <w:sz w:val="22"/>
                <w:szCs w:val="22"/>
                <w:lang w:val="en-US"/>
              </w:rPr>
              <w:tab/>
            </w:r>
          </w:p>
        </w:tc>
        <w:tc>
          <w:tcPr>
            <w:tcW w:w="4011" w:type="dxa"/>
            <w:tcBorders>
              <w:top w:val="nil"/>
              <w:left w:val="nil"/>
              <w:bottom w:val="nil"/>
              <w:right w:val="nil"/>
            </w:tcBorders>
            <w:shd w:val="clear" w:color="auto" w:fill="FFFFFF"/>
          </w:tcPr>
          <w:p w14:paraId="1D263E0A" w14:textId="74848570" w:rsidR="002320D5" w:rsidRPr="0048048C" w:rsidRDefault="00574773" w:rsidP="009A1CD6">
            <w:pPr>
              <w:shd w:val="clear" w:color="auto" w:fill="FFFFFF"/>
              <w:ind w:left="288" w:hanging="288"/>
              <w:jc w:val="both"/>
              <w:rPr>
                <w:sz w:val="22"/>
                <w:szCs w:val="22"/>
              </w:rPr>
            </w:pPr>
            <w:r w:rsidRPr="0048048C">
              <w:rPr>
                <w:sz w:val="22"/>
                <w:szCs w:val="22"/>
                <w:lang w:val="en-US"/>
              </w:rPr>
              <w:t>Repeal the section</w:t>
            </w:r>
            <w:r w:rsidR="009A1CD6">
              <w:rPr>
                <w:rStyle w:val="CommentReference"/>
              </w:rPr>
              <w:t>.</w:t>
            </w:r>
          </w:p>
        </w:tc>
      </w:tr>
      <w:tr w:rsidR="002320D5" w:rsidRPr="0048048C" w14:paraId="589396AA" w14:textId="77777777" w:rsidTr="002A73F2">
        <w:trPr>
          <w:trHeight w:val="20"/>
          <w:jc w:val="center"/>
        </w:trPr>
        <w:tc>
          <w:tcPr>
            <w:tcW w:w="3235" w:type="dxa"/>
            <w:gridSpan w:val="2"/>
            <w:tcBorders>
              <w:top w:val="nil"/>
              <w:left w:val="nil"/>
              <w:bottom w:val="nil"/>
              <w:right w:val="nil"/>
            </w:tcBorders>
            <w:shd w:val="clear" w:color="auto" w:fill="FFFFFF"/>
          </w:tcPr>
          <w:p w14:paraId="6C16B327" w14:textId="77777777" w:rsidR="002320D5" w:rsidRPr="0048048C" w:rsidRDefault="00574773" w:rsidP="0028535A">
            <w:pPr>
              <w:shd w:val="clear" w:color="auto" w:fill="FFFFFF"/>
              <w:ind w:left="288" w:hanging="288"/>
              <w:jc w:val="both"/>
              <w:rPr>
                <w:sz w:val="22"/>
                <w:szCs w:val="22"/>
              </w:rPr>
            </w:pPr>
            <w:r w:rsidRPr="0048048C">
              <w:rPr>
                <w:i/>
                <w:iCs/>
                <w:sz w:val="22"/>
                <w:szCs w:val="22"/>
                <w:lang w:val="en-US"/>
              </w:rPr>
              <w:t xml:space="preserve">Financial Corporations Act </w:t>
            </w:r>
            <w:r w:rsidRPr="0048048C">
              <w:rPr>
                <w:sz w:val="22"/>
                <w:szCs w:val="22"/>
                <w:lang w:val="en-US"/>
              </w:rPr>
              <w:t>1974</w:t>
            </w:r>
          </w:p>
        </w:tc>
        <w:tc>
          <w:tcPr>
            <w:tcW w:w="2583" w:type="dxa"/>
            <w:gridSpan w:val="2"/>
            <w:tcBorders>
              <w:top w:val="nil"/>
              <w:left w:val="nil"/>
              <w:bottom w:val="nil"/>
              <w:right w:val="nil"/>
            </w:tcBorders>
            <w:shd w:val="clear" w:color="auto" w:fill="FFFFFF"/>
          </w:tcPr>
          <w:p w14:paraId="3DE3C30C"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 23</w:t>
            </w:r>
            <w:r w:rsidR="00D71B68">
              <w:rPr>
                <w:sz w:val="22"/>
                <w:szCs w:val="22"/>
                <w:lang w:val="en-US"/>
              </w:rPr>
              <w:tab/>
            </w:r>
          </w:p>
        </w:tc>
        <w:tc>
          <w:tcPr>
            <w:tcW w:w="4011" w:type="dxa"/>
            <w:tcBorders>
              <w:top w:val="nil"/>
              <w:left w:val="nil"/>
              <w:bottom w:val="nil"/>
              <w:right w:val="nil"/>
            </w:tcBorders>
            <w:shd w:val="clear" w:color="auto" w:fill="FFFFFF"/>
          </w:tcPr>
          <w:p w14:paraId="65BE8224" w14:textId="62700C93"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Australian Indust</w:t>
            </w:r>
            <w:r w:rsidR="00AB0F67" w:rsidRPr="0048048C">
              <w:rPr>
                <w:sz w:val="22"/>
                <w:szCs w:val="22"/>
                <w:lang w:val="en-US"/>
              </w:rPr>
              <w:t>ri</w:t>
            </w:r>
            <w:r w:rsidRPr="0048048C">
              <w:rPr>
                <w:sz w:val="22"/>
                <w:szCs w:val="22"/>
                <w:lang w:val="en-US"/>
              </w:rPr>
              <w:t>al Court</w:t>
            </w:r>
            <w:r w:rsidR="00F24F6A" w:rsidRPr="0048048C">
              <w:rPr>
                <w:sz w:val="22"/>
                <w:szCs w:val="22"/>
                <w:lang w:val="en-US"/>
              </w:rPr>
              <w:t>”</w:t>
            </w:r>
            <w:r w:rsidRPr="0048048C">
              <w:rPr>
                <w:sz w:val="22"/>
                <w:szCs w:val="22"/>
                <w:lang w:val="en-US"/>
              </w:rPr>
              <w:t xml:space="preserve"> (wherever occurring), substitute </w:t>
            </w:r>
            <w:r w:rsidR="00F24F6A" w:rsidRPr="0048048C">
              <w:rPr>
                <w:sz w:val="22"/>
                <w:szCs w:val="22"/>
                <w:lang w:val="en-US"/>
              </w:rPr>
              <w:t>“</w:t>
            </w:r>
            <w:r w:rsidRPr="0048048C">
              <w:rPr>
                <w:sz w:val="22"/>
                <w:szCs w:val="22"/>
                <w:lang w:val="en-US"/>
              </w:rPr>
              <w:t>Federal Court of Australia</w:t>
            </w:r>
            <w:r w:rsidR="00F24F6A" w:rsidRPr="0048048C">
              <w:rPr>
                <w:sz w:val="22"/>
                <w:szCs w:val="22"/>
                <w:lang w:val="en-US"/>
              </w:rPr>
              <w:t>”</w:t>
            </w:r>
            <w:r w:rsidR="009A1CD6">
              <w:rPr>
                <w:sz w:val="22"/>
                <w:szCs w:val="22"/>
                <w:lang w:val="en-US"/>
              </w:rPr>
              <w:t>.</w:t>
            </w:r>
          </w:p>
        </w:tc>
      </w:tr>
      <w:tr w:rsidR="002320D5" w:rsidRPr="0048048C" w14:paraId="28AE910C" w14:textId="77777777" w:rsidTr="002A73F2">
        <w:trPr>
          <w:trHeight w:val="20"/>
          <w:jc w:val="center"/>
        </w:trPr>
        <w:tc>
          <w:tcPr>
            <w:tcW w:w="3235" w:type="dxa"/>
            <w:gridSpan w:val="2"/>
            <w:tcBorders>
              <w:top w:val="nil"/>
              <w:left w:val="nil"/>
              <w:bottom w:val="nil"/>
              <w:right w:val="nil"/>
            </w:tcBorders>
            <w:shd w:val="clear" w:color="auto" w:fill="FFFFFF"/>
          </w:tcPr>
          <w:p w14:paraId="3107CDB4" w14:textId="77777777" w:rsidR="002320D5" w:rsidRPr="0048048C" w:rsidRDefault="00574773" w:rsidP="0028535A">
            <w:pPr>
              <w:shd w:val="clear" w:color="auto" w:fill="FFFFFF"/>
              <w:ind w:left="288" w:hanging="288"/>
              <w:jc w:val="both"/>
              <w:rPr>
                <w:sz w:val="22"/>
                <w:szCs w:val="22"/>
              </w:rPr>
            </w:pPr>
            <w:r w:rsidRPr="0048048C">
              <w:rPr>
                <w:i/>
                <w:iCs/>
                <w:sz w:val="22"/>
                <w:szCs w:val="22"/>
                <w:lang w:val="en-US"/>
              </w:rPr>
              <w:t xml:space="preserve">Health Insurance Act </w:t>
            </w:r>
            <w:r w:rsidRPr="0048048C">
              <w:rPr>
                <w:sz w:val="22"/>
                <w:szCs w:val="22"/>
                <w:lang w:val="en-US"/>
              </w:rPr>
              <w:t>1973</w:t>
            </w:r>
          </w:p>
        </w:tc>
        <w:tc>
          <w:tcPr>
            <w:tcW w:w="2583" w:type="dxa"/>
            <w:gridSpan w:val="2"/>
            <w:tcBorders>
              <w:top w:val="nil"/>
              <w:left w:val="nil"/>
              <w:bottom w:val="nil"/>
              <w:right w:val="nil"/>
            </w:tcBorders>
            <w:shd w:val="clear" w:color="auto" w:fill="FFFFFF"/>
          </w:tcPr>
          <w:p w14:paraId="136B32FB" w14:textId="409D65A7" w:rsidR="002320D5" w:rsidRPr="0048048C" w:rsidRDefault="009A1CD6" w:rsidP="009A1CD6">
            <w:pPr>
              <w:shd w:val="clear" w:color="auto" w:fill="FFFFFF"/>
              <w:tabs>
                <w:tab w:val="left" w:leader="dot" w:pos="2435"/>
              </w:tabs>
              <w:ind w:left="288" w:hanging="288"/>
              <w:jc w:val="both"/>
              <w:rPr>
                <w:sz w:val="22"/>
                <w:szCs w:val="22"/>
              </w:rPr>
            </w:pPr>
            <w:r>
              <w:rPr>
                <w:sz w:val="22"/>
                <w:szCs w:val="22"/>
                <w:lang w:val="en-US"/>
              </w:rPr>
              <w:t>Section 119(</w:t>
            </w:r>
            <w:r w:rsidR="00574773" w:rsidRPr="0048048C">
              <w:rPr>
                <w:sz w:val="22"/>
                <w:szCs w:val="22"/>
                <w:lang w:val="en-US"/>
              </w:rPr>
              <w:t>3)</w:t>
            </w:r>
            <w:r w:rsidR="00D71B68">
              <w:rPr>
                <w:sz w:val="22"/>
                <w:szCs w:val="22"/>
                <w:lang w:val="en-US"/>
              </w:rPr>
              <w:tab/>
            </w:r>
          </w:p>
        </w:tc>
        <w:tc>
          <w:tcPr>
            <w:tcW w:w="4011" w:type="dxa"/>
            <w:tcBorders>
              <w:top w:val="nil"/>
              <w:left w:val="nil"/>
              <w:bottom w:val="nil"/>
              <w:right w:val="nil"/>
            </w:tcBorders>
            <w:shd w:val="clear" w:color="auto" w:fill="FFFFFF"/>
          </w:tcPr>
          <w:p w14:paraId="128F90B1" w14:textId="77777777" w:rsidR="002320D5" w:rsidRPr="0048048C" w:rsidRDefault="00574773" w:rsidP="0028535A">
            <w:pPr>
              <w:shd w:val="clear" w:color="auto" w:fill="FFFFFF"/>
              <w:ind w:left="288" w:hanging="288"/>
              <w:jc w:val="both"/>
              <w:rPr>
                <w:sz w:val="22"/>
                <w:szCs w:val="22"/>
              </w:rPr>
            </w:pPr>
            <w:r w:rsidRPr="0048048C">
              <w:rPr>
                <w:sz w:val="22"/>
                <w:szCs w:val="22"/>
                <w:lang w:val="en-US"/>
              </w:rPr>
              <w:t>Omit the sub-section, substitute the following sub-section</w:t>
            </w:r>
            <w:r w:rsidRPr="0048048C">
              <w:rPr>
                <w:rFonts w:eastAsia="Times New Roman"/>
                <w:sz w:val="22"/>
                <w:szCs w:val="22"/>
                <w:lang w:val="en-US"/>
              </w:rPr>
              <w:t>—</w:t>
            </w:r>
          </w:p>
        </w:tc>
      </w:tr>
      <w:tr w:rsidR="002320D5" w:rsidRPr="0048048C" w14:paraId="579375F4" w14:textId="77777777" w:rsidTr="002A73F2">
        <w:trPr>
          <w:trHeight w:val="20"/>
          <w:jc w:val="center"/>
        </w:trPr>
        <w:tc>
          <w:tcPr>
            <w:tcW w:w="3235" w:type="dxa"/>
            <w:gridSpan w:val="2"/>
            <w:tcBorders>
              <w:top w:val="nil"/>
              <w:left w:val="nil"/>
              <w:bottom w:val="nil"/>
              <w:right w:val="nil"/>
            </w:tcBorders>
            <w:shd w:val="clear" w:color="auto" w:fill="FFFFFF"/>
          </w:tcPr>
          <w:p w14:paraId="4BFF3C6B" w14:textId="77777777" w:rsidR="002320D5" w:rsidRPr="0048048C" w:rsidRDefault="002320D5" w:rsidP="0028535A">
            <w:pPr>
              <w:shd w:val="clear" w:color="auto" w:fill="FFFFFF"/>
              <w:ind w:left="288" w:hanging="288"/>
              <w:jc w:val="both"/>
              <w:rPr>
                <w:sz w:val="22"/>
                <w:szCs w:val="22"/>
              </w:rPr>
            </w:pPr>
          </w:p>
        </w:tc>
        <w:tc>
          <w:tcPr>
            <w:tcW w:w="2583" w:type="dxa"/>
            <w:gridSpan w:val="2"/>
            <w:tcBorders>
              <w:top w:val="nil"/>
              <w:left w:val="nil"/>
              <w:bottom w:val="nil"/>
              <w:right w:val="nil"/>
            </w:tcBorders>
            <w:shd w:val="clear" w:color="auto" w:fill="FFFFFF"/>
          </w:tcPr>
          <w:p w14:paraId="19BDC484" w14:textId="77777777" w:rsidR="002320D5" w:rsidRPr="0048048C" w:rsidRDefault="002320D5" w:rsidP="008B01E8">
            <w:pPr>
              <w:shd w:val="clear" w:color="auto" w:fill="FFFFFF"/>
              <w:tabs>
                <w:tab w:val="left" w:leader="dot" w:pos="2435"/>
              </w:tabs>
              <w:ind w:left="288" w:hanging="288"/>
              <w:jc w:val="both"/>
              <w:rPr>
                <w:sz w:val="22"/>
                <w:szCs w:val="22"/>
              </w:rPr>
            </w:pPr>
          </w:p>
        </w:tc>
        <w:tc>
          <w:tcPr>
            <w:tcW w:w="4011" w:type="dxa"/>
            <w:tcBorders>
              <w:top w:val="nil"/>
              <w:left w:val="nil"/>
              <w:bottom w:val="nil"/>
              <w:right w:val="nil"/>
            </w:tcBorders>
            <w:shd w:val="clear" w:color="auto" w:fill="FFFFFF"/>
          </w:tcPr>
          <w:p w14:paraId="2028C828" w14:textId="233A53FB" w:rsidR="002320D5" w:rsidRPr="0048048C" w:rsidRDefault="00F24F6A" w:rsidP="009A1CD6">
            <w:pPr>
              <w:shd w:val="clear" w:color="auto" w:fill="FFFFFF"/>
              <w:ind w:left="288" w:firstLine="288"/>
              <w:jc w:val="both"/>
              <w:rPr>
                <w:sz w:val="22"/>
                <w:szCs w:val="22"/>
              </w:rPr>
            </w:pPr>
            <w:r w:rsidRPr="0048048C">
              <w:rPr>
                <w:sz w:val="22"/>
                <w:szCs w:val="22"/>
                <w:lang w:val="en-US"/>
              </w:rPr>
              <w:t>“</w:t>
            </w:r>
            <w:r w:rsidR="00574773" w:rsidRPr="0048048C">
              <w:rPr>
                <w:sz w:val="22"/>
                <w:szCs w:val="22"/>
                <w:lang w:val="en-US"/>
              </w:rPr>
              <w:t xml:space="preserve">(3) Subject to the Constitution, the decision of a Tribunal on a review is final except </w:t>
            </w:r>
            <w:r w:rsidR="009A1CD6">
              <w:rPr>
                <w:sz w:val="22"/>
                <w:szCs w:val="22"/>
                <w:lang w:val="en-US"/>
              </w:rPr>
              <w:t>in</w:t>
            </w:r>
            <w:r w:rsidR="00574773" w:rsidRPr="00AA58DB">
              <w:rPr>
                <w:sz w:val="22"/>
                <w:szCs w:val="22"/>
                <w:lang w:val="en-US"/>
              </w:rPr>
              <w:t xml:space="preserve"> </w:t>
            </w:r>
            <w:r w:rsidR="00574773" w:rsidRPr="0048048C">
              <w:rPr>
                <w:sz w:val="22"/>
                <w:szCs w:val="22"/>
                <w:lang w:val="en-US"/>
              </w:rPr>
              <w:t xml:space="preserve">so far as an appeal may be brought to the Federal Court of Australia in accordance with section 122 or any further appeal may be brought in accordance with section 24 or 33 of the </w:t>
            </w:r>
            <w:r w:rsidR="00574773" w:rsidRPr="0048048C">
              <w:rPr>
                <w:i/>
                <w:iCs/>
                <w:sz w:val="22"/>
                <w:szCs w:val="22"/>
                <w:lang w:val="en-US"/>
              </w:rPr>
              <w:t xml:space="preserve">Federal Court of Australia Act </w:t>
            </w:r>
            <w:r w:rsidR="00574773" w:rsidRPr="0048048C">
              <w:rPr>
                <w:sz w:val="22"/>
                <w:szCs w:val="22"/>
                <w:lang w:val="en-US"/>
              </w:rPr>
              <w:t>1976</w:t>
            </w:r>
            <w:r w:rsidRPr="0048048C">
              <w:rPr>
                <w:sz w:val="22"/>
                <w:szCs w:val="22"/>
                <w:lang w:val="en-US"/>
              </w:rPr>
              <w:t>”</w:t>
            </w:r>
            <w:r w:rsidR="009A1CD6">
              <w:rPr>
                <w:sz w:val="22"/>
                <w:szCs w:val="22"/>
                <w:lang w:val="en-US"/>
              </w:rPr>
              <w:t>.</w:t>
            </w:r>
          </w:p>
        </w:tc>
      </w:tr>
      <w:tr w:rsidR="002320D5" w:rsidRPr="0048048C" w14:paraId="027164F8" w14:textId="77777777" w:rsidTr="002A73F2">
        <w:trPr>
          <w:trHeight w:val="20"/>
          <w:jc w:val="center"/>
        </w:trPr>
        <w:tc>
          <w:tcPr>
            <w:tcW w:w="3235" w:type="dxa"/>
            <w:gridSpan w:val="2"/>
            <w:tcBorders>
              <w:top w:val="nil"/>
              <w:left w:val="nil"/>
              <w:bottom w:val="nil"/>
              <w:right w:val="nil"/>
            </w:tcBorders>
            <w:shd w:val="clear" w:color="auto" w:fill="FFFFFF"/>
          </w:tcPr>
          <w:p w14:paraId="4F210029" w14:textId="77777777" w:rsidR="002320D5" w:rsidRPr="0048048C" w:rsidRDefault="002320D5" w:rsidP="0028535A">
            <w:pPr>
              <w:shd w:val="clear" w:color="auto" w:fill="FFFFFF"/>
              <w:ind w:left="288" w:hanging="288"/>
              <w:jc w:val="both"/>
              <w:rPr>
                <w:sz w:val="22"/>
                <w:szCs w:val="22"/>
              </w:rPr>
            </w:pPr>
          </w:p>
        </w:tc>
        <w:tc>
          <w:tcPr>
            <w:tcW w:w="2583" w:type="dxa"/>
            <w:gridSpan w:val="2"/>
            <w:tcBorders>
              <w:top w:val="nil"/>
              <w:left w:val="nil"/>
              <w:bottom w:val="nil"/>
              <w:right w:val="nil"/>
            </w:tcBorders>
            <w:shd w:val="clear" w:color="auto" w:fill="FFFFFF"/>
          </w:tcPr>
          <w:p w14:paraId="400FFBA9"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 122</w:t>
            </w:r>
            <w:r w:rsidR="00D71B68">
              <w:rPr>
                <w:sz w:val="22"/>
                <w:szCs w:val="22"/>
                <w:lang w:val="en-US"/>
              </w:rPr>
              <w:tab/>
            </w:r>
          </w:p>
        </w:tc>
        <w:tc>
          <w:tcPr>
            <w:tcW w:w="4011" w:type="dxa"/>
            <w:tcBorders>
              <w:top w:val="nil"/>
              <w:left w:val="nil"/>
              <w:bottom w:val="nil"/>
              <w:right w:val="nil"/>
            </w:tcBorders>
            <w:shd w:val="clear" w:color="auto" w:fill="FFFFFF"/>
          </w:tcPr>
          <w:p w14:paraId="40366945" w14:textId="344F7D0B"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Australian Indust</w:t>
            </w:r>
            <w:r w:rsidR="00AB0F67" w:rsidRPr="0048048C">
              <w:rPr>
                <w:sz w:val="22"/>
                <w:szCs w:val="22"/>
                <w:lang w:val="en-US"/>
              </w:rPr>
              <w:t>ri</w:t>
            </w:r>
            <w:r w:rsidRPr="0048048C">
              <w:rPr>
                <w:sz w:val="22"/>
                <w:szCs w:val="22"/>
                <w:lang w:val="en-US"/>
              </w:rPr>
              <w:t>al Court</w:t>
            </w:r>
            <w:r w:rsidR="00F24F6A" w:rsidRPr="0048048C">
              <w:rPr>
                <w:sz w:val="22"/>
                <w:szCs w:val="22"/>
                <w:lang w:val="en-US"/>
              </w:rPr>
              <w:t>”</w:t>
            </w:r>
            <w:r w:rsidRPr="0048048C">
              <w:rPr>
                <w:sz w:val="22"/>
                <w:szCs w:val="22"/>
                <w:lang w:val="en-US"/>
              </w:rPr>
              <w:t xml:space="preserve"> (wherever occurring), substitute </w:t>
            </w:r>
            <w:r w:rsidR="00F24F6A" w:rsidRPr="0048048C">
              <w:rPr>
                <w:sz w:val="22"/>
                <w:szCs w:val="22"/>
                <w:lang w:val="en-US"/>
              </w:rPr>
              <w:t>“</w:t>
            </w:r>
            <w:r w:rsidRPr="0048048C">
              <w:rPr>
                <w:sz w:val="22"/>
                <w:szCs w:val="22"/>
                <w:lang w:val="en-US"/>
              </w:rPr>
              <w:t>Federal Court of Australia</w:t>
            </w:r>
            <w:r w:rsidR="00F24F6A" w:rsidRPr="0048048C">
              <w:rPr>
                <w:sz w:val="22"/>
                <w:szCs w:val="22"/>
                <w:lang w:val="en-US"/>
              </w:rPr>
              <w:t>”</w:t>
            </w:r>
            <w:r w:rsidR="009A1CD6">
              <w:rPr>
                <w:sz w:val="22"/>
                <w:szCs w:val="22"/>
                <w:lang w:val="en-US"/>
              </w:rPr>
              <w:t>.</w:t>
            </w:r>
          </w:p>
        </w:tc>
      </w:tr>
      <w:tr w:rsidR="002320D5" w:rsidRPr="0048048C" w14:paraId="61275A91" w14:textId="77777777" w:rsidTr="002A73F2">
        <w:trPr>
          <w:trHeight w:val="20"/>
          <w:jc w:val="center"/>
        </w:trPr>
        <w:tc>
          <w:tcPr>
            <w:tcW w:w="3235" w:type="dxa"/>
            <w:gridSpan w:val="2"/>
            <w:tcBorders>
              <w:top w:val="nil"/>
              <w:left w:val="nil"/>
              <w:bottom w:val="nil"/>
              <w:right w:val="nil"/>
            </w:tcBorders>
            <w:shd w:val="clear" w:color="auto" w:fill="FFFFFF"/>
          </w:tcPr>
          <w:p w14:paraId="533B3CF5" w14:textId="77777777" w:rsidR="002320D5" w:rsidRPr="0048048C" w:rsidRDefault="002320D5" w:rsidP="0028535A">
            <w:pPr>
              <w:shd w:val="clear" w:color="auto" w:fill="FFFFFF"/>
              <w:ind w:left="288" w:hanging="288"/>
              <w:jc w:val="both"/>
              <w:rPr>
                <w:sz w:val="22"/>
                <w:szCs w:val="22"/>
              </w:rPr>
            </w:pPr>
          </w:p>
        </w:tc>
        <w:tc>
          <w:tcPr>
            <w:tcW w:w="2583" w:type="dxa"/>
            <w:gridSpan w:val="2"/>
            <w:tcBorders>
              <w:top w:val="nil"/>
              <w:left w:val="nil"/>
              <w:bottom w:val="nil"/>
              <w:right w:val="nil"/>
            </w:tcBorders>
            <w:shd w:val="clear" w:color="auto" w:fill="FFFFFF"/>
          </w:tcPr>
          <w:p w14:paraId="229E6C0F"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 123</w:t>
            </w:r>
            <w:r w:rsidR="00D71B68">
              <w:rPr>
                <w:sz w:val="22"/>
                <w:szCs w:val="22"/>
                <w:lang w:val="en-US"/>
              </w:rPr>
              <w:tab/>
            </w:r>
          </w:p>
        </w:tc>
        <w:tc>
          <w:tcPr>
            <w:tcW w:w="4011" w:type="dxa"/>
            <w:tcBorders>
              <w:top w:val="nil"/>
              <w:left w:val="nil"/>
              <w:bottom w:val="nil"/>
              <w:right w:val="nil"/>
            </w:tcBorders>
            <w:shd w:val="clear" w:color="auto" w:fill="FFFFFF"/>
          </w:tcPr>
          <w:p w14:paraId="32A438E4" w14:textId="7F15002C" w:rsidR="002320D5" w:rsidRPr="0048048C" w:rsidRDefault="00574773" w:rsidP="009A1CD6">
            <w:pPr>
              <w:shd w:val="clear" w:color="auto" w:fill="FFFFFF"/>
              <w:ind w:left="288" w:hanging="288"/>
              <w:jc w:val="both"/>
              <w:rPr>
                <w:sz w:val="22"/>
                <w:szCs w:val="22"/>
              </w:rPr>
            </w:pPr>
            <w:r w:rsidRPr="0048048C">
              <w:rPr>
                <w:sz w:val="22"/>
                <w:szCs w:val="22"/>
                <w:lang w:val="en-US"/>
              </w:rPr>
              <w:t>Repeal the section</w:t>
            </w:r>
            <w:r w:rsidR="009A1CD6">
              <w:rPr>
                <w:sz w:val="22"/>
                <w:szCs w:val="22"/>
                <w:lang w:val="en-US"/>
              </w:rPr>
              <w:t>.</w:t>
            </w:r>
          </w:p>
        </w:tc>
      </w:tr>
      <w:tr w:rsidR="002320D5" w:rsidRPr="0048048C" w14:paraId="010834FA" w14:textId="77777777" w:rsidTr="002A73F2">
        <w:trPr>
          <w:trHeight w:val="20"/>
          <w:jc w:val="center"/>
        </w:trPr>
        <w:tc>
          <w:tcPr>
            <w:tcW w:w="3235" w:type="dxa"/>
            <w:gridSpan w:val="2"/>
            <w:tcBorders>
              <w:top w:val="nil"/>
              <w:left w:val="nil"/>
              <w:bottom w:val="nil"/>
              <w:right w:val="nil"/>
            </w:tcBorders>
            <w:shd w:val="clear" w:color="auto" w:fill="FFFFFF"/>
          </w:tcPr>
          <w:p w14:paraId="3DCA616A" w14:textId="77777777" w:rsidR="002320D5" w:rsidRPr="0048048C" w:rsidRDefault="00574773" w:rsidP="00B42D41">
            <w:pPr>
              <w:shd w:val="clear" w:color="auto" w:fill="FFFFFF"/>
              <w:tabs>
                <w:tab w:val="left" w:leader="dot" w:pos="3096"/>
              </w:tabs>
              <w:ind w:left="288" w:hanging="288"/>
              <w:jc w:val="both"/>
              <w:rPr>
                <w:sz w:val="22"/>
                <w:szCs w:val="22"/>
              </w:rPr>
            </w:pPr>
            <w:r w:rsidRPr="0048048C">
              <w:rPr>
                <w:i/>
                <w:iCs/>
                <w:sz w:val="22"/>
                <w:szCs w:val="22"/>
                <w:lang w:val="en-US"/>
              </w:rPr>
              <w:t xml:space="preserve">Insurance Act </w:t>
            </w:r>
            <w:r w:rsidRPr="0048048C">
              <w:rPr>
                <w:sz w:val="22"/>
                <w:szCs w:val="22"/>
                <w:lang w:val="en-US"/>
              </w:rPr>
              <w:t>1973</w:t>
            </w:r>
            <w:r w:rsidR="00B42D41">
              <w:rPr>
                <w:sz w:val="22"/>
                <w:szCs w:val="22"/>
                <w:lang w:val="en-US"/>
              </w:rPr>
              <w:tab/>
            </w:r>
          </w:p>
        </w:tc>
        <w:tc>
          <w:tcPr>
            <w:tcW w:w="2583" w:type="dxa"/>
            <w:gridSpan w:val="2"/>
            <w:tcBorders>
              <w:top w:val="nil"/>
              <w:left w:val="nil"/>
              <w:bottom w:val="nil"/>
              <w:right w:val="nil"/>
            </w:tcBorders>
            <w:shd w:val="clear" w:color="auto" w:fill="FFFFFF"/>
          </w:tcPr>
          <w:p w14:paraId="1807F933" w14:textId="13C26B0B" w:rsidR="002320D5" w:rsidRPr="0048048C" w:rsidRDefault="00574773" w:rsidP="009A1CD6">
            <w:pPr>
              <w:shd w:val="clear" w:color="auto" w:fill="FFFFFF"/>
              <w:tabs>
                <w:tab w:val="left" w:leader="dot" w:pos="2435"/>
              </w:tabs>
              <w:ind w:left="288" w:hanging="288"/>
              <w:jc w:val="both"/>
              <w:rPr>
                <w:sz w:val="22"/>
                <w:szCs w:val="22"/>
              </w:rPr>
            </w:pPr>
            <w:r w:rsidRPr="0048048C">
              <w:rPr>
                <w:sz w:val="22"/>
                <w:szCs w:val="22"/>
                <w:lang w:val="en-US"/>
              </w:rPr>
              <w:t xml:space="preserve">Section 3(1) (definition of </w:t>
            </w:r>
            <w:r w:rsidR="00F24F6A" w:rsidRPr="0048048C">
              <w:rPr>
                <w:sz w:val="22"/>
                <w:szCs w:val="22"/>
                <w:lang w:val="en-US"/>
              </w:rPr>
              <w:t>“</w:t>
            </w:r>
            <w:r w:rsidRPr="0048048C">
              <w:rPr>
                <w:sz w:val="22"/>
                <w:szCs w:val="22"/>
                <w:lang w:val="en-US"/>
              </w:rPr>
              <w:t>Court</w:t>
            </w:r>
            <w:r w:rsidR="00F24F6A" w:rsidRPr="0048048C">
              <w:rPr>
                <w:sz w:val="22"/>
                <w:szCs w:val="22"/>
                <w:lang w:val="en-US"/>
              </w:rPr>
              <w:t>”</w:t>
            </w:r>
            <w:r w:rsidRPr="0048048C">
              <w:rPr>
                <w:sz w:val="22"/>
                <w:szCs w:val="22"/>
                <w:lang w:val="en-US"/>
              </w:rPr>
              <w:t>)</w:t>
            </w:r>
          </w:p>
        </w:tc>
        <w:tc>
          <w:tcPr>
            <w:tcW w:w="4011" w:type="dxa"/>
            <w:tcBorders>
              <w:top w:val="nil"/>
              <w:left w:val="nil"/>
              <w:bottom w:val="nil"/>
              <w:right w:val="nil"/>
            </w:tcBorders>
            <w:shd w:val="clear" w:color="auto" w:fill="FFFFFF"/>
          </w:tcPr>
          <w:p w14:paraId="04EFDD44" w14:textId="2B088ED7" w:rsidR="002320D5" w:rsidRPr="0048048C" w:rsidRDefault="00574773" w:rsidP="009A1CD6">
            <w:pPr>
              <w:shd w:val="clear" w:color="auto" w:fill="FFFFFF"/>
              <w:ind w:left="288" w:hanging="288"/>
              <w:jc w:val="both"/>
              <w:rPr>
                <w:sz w:val="22"/>
                <w:szCs w:val="22"/>
              </w:rPr>
            </w:pPr>
            <w:r w:rsidRPr="0048048C">
              <w:rPr>
                <w:sz w:val="22"/>
                <w:szCs w:val="22"/>
                <w:lang w:val="en-US"/>
              </w:rPr>
              <w:t xml:space="preserve">Omit </w:t>
            </w:r>
            <w:r w:rsidR="00F24F6A" w:rsidRPr="0048048C">
              <w:rPr>
                <w:sz w:val="22"/>
                <w:szCs w:val="22"/>
                <w:lang w:val="en-US"/>
              </w:rPr>
              <w:t>“</w:t>
            </w:r>
            <w:r w:rsidRPr="0048048C">
              <w:rPr>
                <w:sz w:val="22"/>
                <w:szCs w:val="22"/>
                <w:lang w:val="en-US"/>
              </w:rPr>
              <w:t xml:space="preserve">Commonwealth Industrial Court </w:t>
            </w:r>
            <w:r w:rsidR="00F24F6A" w:rsidRPr="0048048C">
              <w:rPr>
                <w:sz w:val="22"/>
                <w:szCs w:val="22"/>
                <w:lang w:val="en-US"/>
              </w:rPr>
              <w:t>“</w:t>
            </w:r>
            <w:r w:rsidRPr="0048048C">
              <w:rPr>
                <w:sz w:val="22"/>
                <w:szCs w:val="22"/>
                <w:lang w:val="en-US"/>
              </w:rPr>
              <w:t xml:space="preserve">, substitute </w:t>
            </w:r>
            <w:r w:rsidR="00F24F6A" w:rsidRPr="0048048C">
              <w:rPr>
                <w:sz w:val="22"/>
                <w:szCs w:val="22"/>
                <w:lang w:val="en-US"/>
              </w:rPr>
              <w:t>“</w:t>
            </w:r>
            <w:r w:rsidRPr="0048048C">
              <w:rPr>
                <w:sz w:val="22"/>
                <w:szCs w:val="22"/>
                <w:lang w:val="en-US"/>
              </w:rPr>
              <w:t>Federal Court of Australia</w:t>
            </w:r>
            <w:r w:rsidR="00F24F6A" w:rsidRPr="0048048C">
              <w:rPr>
                <w:sz w:val="22"/>
                <w:szCs w:val="22"/>
                <w:lang w:val="en-US"/>
              </w:rPr>
              <w:t>”</w:t>
            </w:r>
            <w:r w:rsidR="009A1CD6">
              <w:rPr>
                <w:sz w:val="22"/>
                <w:szCs w:val="22"/>
                <w:lang w:val="en-US"/>
              </w:rPr>
              <w:t>.</w:t>
            </w:r>
          </w:p>
        </w:tc>
      </w:tr>
      <w:tr w:rsidR="002320D5" w:rsidRPr="0048048C" w14:paraId="01FF6DC8" w14:textId="77777777" w:rsidTr="002A73F2">
        <w:trPr>
          <w:trHeight w:val="20"/>
          <w:jc w:val="center"/>
        </w:trPr>
        <w:tc>
          <w:tcPr>
            <w:tcW w:w="3235" w:type="dxa"/>
            <w:gridSpan w:val="2"/>
            <w:tcBorders>
              <w:top w:val="nil"/>
              <w:left w:val="nil"/>
              <w:bottom w:val="nil"/>
              <w:right w:val="nil"/>
            </w:tcBorders>
            <w:shd w:val="clear" w:color="auto" w:fill="FFFFFF"/>
          </w:tcPr>
          <w:p w14:paraId="32E501EF" w14:textId="77777777" w:rsidR="002320D5" w:rsidRPr="0048048C" w:rsidRDefault="002320D5" w:rsidP="0028535A">
            <w:pPr>
              <w:shd w:val="clear" w:color="auto" w:fill="FFFFFF"/>
              <w:ind w:left="288" w:hanging="288"/>
              <w:jc w:val="both"/>
              <w:rPr>
                <w:sz w:val="22"/>
                <w:szCs w:val="22"/>
              </w:rPr>
            </w:pPr>
          </w:p>
        </w:tc>
        <w:tc>
          <w:tcPr>
            <w:tcW w:w="2583" w:type="dxa"/>
            <w:gridSpan w:val="2"/>
            <w:tcBorders>
              <w:top w:val="nil"/>
              <w:left w:val="nil"/>
              <w:bottom w:val="nil"/>
              <w:right w:val="nil"/>
            </w:tcBorders>
            <w:shd w:val="clear" w:color="auto" w:fill="FFFFFF"/>
          </w:tcPr>
          <w:p w14:paraId="168800A0" w14:textId="77777777" w:rsidR="002320D5" w:rsidRPr="0048048C" w:rsidRDefault="00574773" w:rsidP="008B01E8">
            <w:pPr>
              <w:shd w:val="clear" w:color="auto" w:fill="FFFFFF"/>
              <w:tabs>
                <w:tab w:val="left" w:leader="dot" w:pos="2435"/>
              </w:tabs>
              <w:ind w:left="288" w:hanging="288"/>
              <w:jc w:val="both"/>
              <w:rPr>
                <w:sz w:val="22"/>
                <w:szCs w:val="22"/>
              </w:rPr>
            </w:pPr>
            <w:r w:rsidRPr="0048048C">
              <w:rPr>
                <w:sz w:val="22"/>
                <w:szCs w:val="22"/>
                <w:lang w:val="en-US"/>
              </w:rPr>
              <w:t>Section 89</w:t>
            </w:r>
          </w:p>
        </w:tc>
        <w:tc>
          <w:tcPr>
            <w:tcW w:w="4011" w:type="dxa"/>
            <w:tcBorders>
              <w:top w:val="nil"/>
              <w:left w:val="nil"/>
              <w:bottom w:val="nil"/>
              <w:right w:val="nil"/>
            </w:tcBorders>
            <w:shd w:val="clear" w:color="auto" w:fill="FFFFFF"/>
          </w:tcPr>
          <w:p w14:paraId="7A8CAE16" w14:textId="7DD3FD22" w:rsidR="002320D5" w:rsidRPr="0048048C" w:rsidRDefault="00574773" w:rsidP="009A1CD6">
            <w:pPr>
              <w:shd w:val="clear" w:color="auto" w:fill="FFFFFF"/>
              <w:ind w:left="288" w:hanging="288"/>
              <w:jc w:val="both"/>
              <w:rPr>
                <w:sz w:val="22"/>
                <w:szCs w:val="22"/>
              </w:rPr>
            </w:pPr>
            <w:r w:rsidRPr="0048048C">
              <w:rPr>
                <w:sz w:val="22"/>
                <w:szCs w:val="22"/>
                <w:lang w:val="en-US"/>
              </w:rPr>
              <w:t>Repeal the section</w:t>
            </w:r>
            <w:r w:rsidR="009A1CD6">
              <w:rPr>
                <w:rStyle w:val="CommentReference"/>
              </w:rPr>
              <w:t>.</w:t>
            </w:r>
          </w:p>
        </w:tc>
      </w:tr>
      <w:tr w:rsidR="002320D5" w:rsidRPr="007571A4" w14:paraId="01550EF6" w14:textId="77777777" w:rsidTr="009A1CD6">
        <w:trPr>
          <w:trHeight w:val="20"/>
          <w:jc w:val="center"/>
        </w:trPr>
        <w:tc>
          <w:tcPr>
            <w:tcW w:w="3190" w:type="dxa"/>
            <w:tcBorders>
              <w:left w:val="nil"/>
              <w:bottom w:val="nil"/>
              <w:right w:val="nil"/>
            </w:tcBorders>
            <w:shd w:val="clear" w:color="auto" w:fill="FFFFFF"/>
          </w:tcPr>
          <w:p w14:paraId="2B4EF9A0" w14:textId="77777777" w:rsidR="002320D5" w:rsidRPr="007571A4" w:rsidRDefault="00574773" w:rsidP="001B4CCD">
            <w:pPr>
              <w:shd w:val="clear" w:color="auto" w:fill="FFFFFF"/>
              <w:tabs>
                <w:tab w:val="left" w:leader="dot" w:pos="3024"/>
              </w:tabs>
              <w:jc w:val="both"/>
              <w:rPr>
                <w:sz w:val="22"/>
                <w:szCs w:val="22"/>
              </w:rPr>
            </w:pPr>
            <w:r w:rsidRPr="007571A4">
              <w:rPr>
                <w:i/>
                <w:iCs/>
                <w:sz w:val="22"/>
                <w:szCs w:val="22"/>
                <w:lang w:val="en-US"/>
              </w:rPr>
              <w:t xml:space="preserve">National Health Act </w:t>
            </w:r>
            <w:r w:rsidRPr="007571A4">
              <w:rPr>
                <w:sz w:val="22"/>
                <w:szCs w:val="22"/>
                <w:lang w:val="en-US"/>
              </w:rPr>
              <w:t>1953</w:t>
            </w:r>
            <w:r w:rsidR="001B4CCD">
              <w:rPr>
                <w:sz w:val="22"/>
                <w:szCs w:val="22"/>
                <w:lang w:val="en-US"/>
              </w:rPr>
              <w:tab/>
            </w:r>
          </w:p>
        </w:tc>
        <w:tc>
          <w:tcPr>
            <w:tcW w:w="2610" w:type="dxa"/>
            <w:gridSpan w:val="2"/>
            <w:tcBorders>
              <w:left w:val="nil"/>
              <w:bottom w:val="nil"/>
              <w:right w:val="nil"/>
            </w:tcBorders>
            <w:shd w:val="clear" w:color="auto" w:fill="FFFFFF"/>
          </w:tcPr>
          <w:p w14:paraId="0FCB37BC" w14:textId="533FAC75" w:rsidR="002320D5" w:rsidRPr="007571A4" w:rsidRDefault="00574773" w:rsidP="009A1CD6">
            <w:pPr>
              <w:shd w:val="clear" w:color="auto" w:fill="FFFFFF"/>
              <w:ind w:left="288" w:hanging="288"/>
              <w:jc w:val="both"/>
              <w:rPr>
                <w:sz w:val="22"/>
                <w:szCs w:val="22"/>
              </w:rPr>
            </w:pPr>
            <w:r w:rsidRPr="007571A4">
              <w:rPr>
                <w:sz w:val="22"/>
                <w:szCs w:val="22"/>
                <w:lang w:val="en-US"/>
              </w:rPr>
              <w:t>Section 82</w:t>
            </w:r>
            <w:r w:rsidR="009A1CD6">
              <w:rPr>
                <w:smallCaps/>
                <w:sz w:val="22"/>
                <w:szCs w:val="22"/>
                <w:lang w:val="en-US"/>
              </w:rPr>
              <w:t>q</w:t>
            </w:r>
            <w:r w:rsidRPr="007571A4">
              <w:rPr>
                <w:sz w:val="22"/>
                <w:szCs w:val="22"/>
                <w:lang w:val="en-US"/>
              </w:rPr>
              <w:t xml:space="preserve">(1) (definition of </w:t>
            </w:r>
            <w:r w:rsidR="00F24F6A" w:rsidRPr="007571A4">
              <w:rPr>
                <w:sz w:val="22"/>
                <w:szCs w:val="22"/>
                <w:lang w:val="en-US"/>
              </w:rPr>
              <w:t>“</w:t>
            </w:r>
            <w:r w:rsidRPr="007571A4">
              <w:rPr>
                <w:sz w:val="22"/>
                <w:szCs w:val="22"/>
                <w:lang w:val="en-US"/>
              </w:rPr>
              <w:t>Court</w:t>
            </w:r>
            <w:r w:rsidR="00F24F6A" w:rsidRPr="007571A4">
              <w:rPr>
                <w:sz w:val="22"/>
                <w:szCs w:val="22"/>
                <w:lang w:val="en-US"/>
              </w:rPr>
              <w:t>”</w:t>
            </w:r>
            <w:r w:rsidRPr="007571A4">
              <w:rPr>
                <w:sz w:val="22"/>
                <w:szCs w:val="22"/>
                <w:lang w:val="en-US"/>
              </w:rPr>
              <w:t>)</w:t>
            </w:r>
          </w:p>
        </w:tc>
        <w:tc>
          <w:tcPr>
            <w:tcW w:w="4029" w:type="dxa"/>
            <w:gridSpan w:val="2"/>
            <w:tcBorders>
              <w:left w:val="nil"/>
              <w:bottom w:val="nil"/>
              <w:right w:val="nil"/>
            </w:tcBorders>
            <w:shd w:val="clear" w:color="auto" w:fill="FFFFFF"/>
          </w:tcPr>
          <w:p w14:paraId="0225DB27" w14:textId="2EBA7451" w:rsidR="002320D5" w:rsidRPr="007571A4" w:rsidRDefault="00574773" w:rsidP="009A1CD6">
            <w:pPr>
              <w:shd w:val="clear" w:color="auto" w:fill="FFFFFF"/>
              <w:ind w:left="288" w:hanging="288"/>
              <w:jc w:val="both"/>
              <w:rPr>
                <w:sz w:val="22"/>
                <w:szCs w:val="22"/>
              </w:rPr>
            </w:pPr>
            <w:r w:rsidRPr="007571A4">
              <w:rPr>
                <w:sz w:val="22"/>
                <w:szCs w:val="22"/>
                <w:lang w:val="en-US"/>
              </w:rPr>
              <w:t xml:space="preserve">Omit </w:t>
            </w:r>
            <w:r w:rsidR="00F24F6A" w:rsidRPr="007571A4">
              <w:rPr>
                <w:sz w:val="22"/>
                <w:szCs w:val="22"/>
                <w:lang w:val="en-US"/>
              </w:rPr>
              <w:t>“</w:t>
            </w:r>
            <w:r w:rsidRPr="007571A4">
              <w:rPr>
                <w:sz w:val="22"/>
                <w:szCs w:val="22"/>
                <w:lang w:val="en-US"/>
              </w:rPr>
              <w:t>Australian Industrial Court</w:t>
            </w:r>
            <w:r w:rsidR="00F24F6A" w:rsidRPr="007571A4">
              <w:rPr>
                <w:sz w:val="22"/>
                <w:szCs w:val="22"/>
                <w:lang w:val="en-US"/>
              </w:rPr>
              <w:t>”</w:t>
            </w:r>
            <w:r w:rsidRPr="007571A4">
              <w:rPr>
                <w:sz w:val="22"/>
                <w:szCs w:val="22"/>
                <w:lang w:val="en-US"/>
              </w:rPr>
              <w:t xml:space="preserve">, substitute </w:t>
            </w:r>
            <w:r w:rsidR="00F24F6A" w:rsidRPr="007571A4">
              <w:rPr>
                <w:sz w:val="22"/>
                <w:szCs w:val="22"/>
                <w:lang w:val="en-US"/>
              </w:rPr>
              <w:t>“</w:t>
            </w:r>
            <w:r w:rsidRPr="007571A4">
              <w:rPr>
                <w:sz w:val="22"/>
                <w:szCs w:val="22"/>
                <w:lang w:val="en-US"/>
              </w:rPr>
              <w:t>Federal Court of Australia</w:t>
            </w:r>
            <w:r w:rsidR="00F24F6A" w:rsidRPr="007571A4">
              <w:rPr>
                <w:sz w:val="22"/>
                <w:szCs w:val="22"/>
                <w:lang w:val="en-US"/>
              </w:rPr>
              <w:t>”</w:t>
            </w:r>
            <w:r w:rsidR="009A1CD6">
              <w:rPr>
                <w:sz w:val="22"/>
                <w:szCs w:val="22"/>
                <w:lang w:val="en-US"/>
              </w:rPr>
              <w:t>.</w:t>
            </w:r>
          </w:p>
        </w:tc>
      </w:tr>
      <w:tr w:rsidR="002320D5" w:rsidRPr="007571A4" w14:paraId="3F787478" w14:textId="77777777" w:rsidTr="0001402E">
        <w:trPr>
          <w:trHeight w:val="20"/>
          <w:jc w:val="center"/>
        </w:trPr>
        <w:tc>
          <w:tcPr>
            <w:tcW w:w="3190" w:type="dxa"/>
            <w:tcBorders>
              <w:top w:val="nil"/>
              <w:left w:val="nil"/>
              <w:bottom w:val="nil"/>
              <w:right w:val="nil"/>
            </w:tcBorders>
            <w:shd w:val="clear" w:color="auto" w:fill="FFFFFF"/>
          </w:tcPr>
          <w:p w14:paraId="372B91CB" w14:textId="77777777" w:rsidR="002320D5" w:rsidRPr="007571A4" w:rsidRDefault="002320D5" w:rsidP="001B4CCD">
            <w:pPr>
              <w:shd w:val="clear" w:color="auto" w:fill="FFFFFF"/>
              <w:tabs>
                <w:tab w:val="left" w:leader="dot" w:pos="3024"/>
              </w:tabs>
              <w:jc w:val="both"/>
              <w:rPr>
                <w:sz w:val="22"/>
                <w:szCs w:val="22"/>
              </w:rPr>
            </w:pPr>
          </w:p>
        </w:tc>
        <w:tc>
          <w:tcPr>
            <w:tcW w:w="2610" w:type="dxa"/>
            <w:gridSpan w:val="2"/>
            <w:tcBorders>
              <w:top w:val="nil"/>
              <w:left w:val="nil"/>
              <w:bottom w:val="nil"/>
              <w:right w:val="nil"/>
            </w:tcBorders>
            <w:shd w:val="clear" w:color="auto" w:fill="FFFFFF"/>
          </w:tcPr>
          <w:p w14:paraId="1D84D97B" w14:textId="77777777" w:rsidR="002320D5" w:rsidRPr="007571A4" w:rsidRDefault="00574773" w:rsidP="00A519AD">
            <w:pPr>
              <w:shd w:val="clear" w:color="auto" w:fill="FFFFFF"/>
              <w:tabs>
                <w:tab w:val="left" w:leader="dot" w:pos="2480"/>
              </w:tabs>
              <w:ind w:left="288" w:hanging="288"/>
              <w:jc w:val="both"/>
              <w:rPr>
                <w:sz w:val="22"/>
                <w:szCs w:val="22"/>
              </w:rPr>
            </w:pPr>
            <w:r w:rsidRPr="007571A4">
              <w:rPr>
                <w:sz w:val="22"/>
                <w:szCs w:val="22"/>
                <w:lang w:val="en-US"/>
              </w:rPr>
              <w:t>Section 82</w:t>
            </w:r>
            <w:r w:rsidRPr="007571A4">
              <w:rPr>
                <w:smallCaps/>
                <w:sz w:val="22"/>
                <w:szCs w:val="22"/>
                <w:lang w:val="en-US"/>
              </w:rPr>
              <w:t>zm</w:t>
            </w:r>
            <w:r w:rsidR="00A519AD">
              <w:rPr>
                <w:smallCaps/>
                <w:sz w:val="22"/>
                <w:szCs w:val="22"/>
                <w:lang w:val="en-US"/>
              </w:rPr>
              <w:tab/>
            </w:r>
          </w:p>
        </w:tc>
        <w:tc>
          <w:tcPr>
            <w:tcW w:w="4029" w:type="dxa"/>
            <w:gridSpan w:val="2"/>
            <w:tcBorders>
              <w:top w:val="nil"/>
              <w:left w:val="nil"/>
              <w:bottom w:val="nil"/>
              <w:right w:val="nil"/>
            </w:tcBorders>
            <w:shd w:val="clear" w:color="auto" w:fill="FFFFFF"/>
          </w:tcPr>
          <w:p w14:paraId="0C980806" w14:textId="687851F5" w:rsidR="002320D5" w:rsidRPr="007571A4" w:rsidRDefault="00574773" w:rsidP="009A1CD6">
            <w:pPr>
              <w:shd w:val="clear" w:color="auto" w:fill="FFFFFF"/>
              <w:ind w:left="288" w:hanging="288"/>
              <w:jc w:val="both"/>
              <w:rPr>
                <w:sz w:val="22"/>
                <w:szCs w:val="22"/>
              </w:rPr>
            </w:pPr>
            <w:r w:rsidRPr="007571A4">
              <w:rPr>
                <w:sz w:val="22"/>
                <w:szCs w:val="22"/>
                <w:lang w:val="en-US"/>
              </w:rPr>
              <w:t>Omit sub-sections (2) and (3)</w:t>
            </w:r>
            <w:r w:rsidR="009A1CD6">
              <w:rPr>
                <w:sz w:val="22"/>
                <w:szCs w:val="22"/>
                <w:lang w:val="en-US"/>
              </w:rPr>
              <w:t>.</w:t>
            </w:r>
          </w:p>
        </w:tc>
      </w:tr>
      <w:tr w:rsidR="002320D5" w:rsidRPr="007571A4" w14:paraId="284CAFEA" w14:textId="77777777" w:rsidTr="0001402E">
        <w:trPr>
          <w:trHeight w:val="20"/>
          <w:jc w:val="center"/>
        </w:trPr>
        <w:tc>
          <w:tcPr>
            <w:tcW w:w="3190" w:type="dxa"/>
            <w:tcBorders>
              <w:top w:val="nil"/>
              <w:left w:val="nil"/>
              <w:bottom w:val="nil"/>
              <w:right w:val="nil"/>
            </w:tcBorders>
            <w:shd w:val="clear" w:color="auto" w:fill="FFFFFF"/>
          </w:tcPr>
          <w:p w14:paraId="0B18F278" w14:textId="77777777" w:rsidR="002320D5" w:rsidRPr="007571A4" w:rsidRDefault="00574773" w:rsidP="001B4CCD">
            <w:pPr>
              <w:shd w:val="clear" w:color="auto" w:fill="FFFFFF"/>
              <w:tabs>
                <w:tab w:val="left" w:leader="dot" w:pos="3024"/>
              </w:tabs>
              <w:jc w:val="both"/>
              <w:rPr>
                <w:sz w:val="22"/>
                <w:szCs w:val="22"/>
              </w:rPr>
            </w:pPr>
            <w:r w:rsidRPr="007571A4">
              <w:rPr>
                <w:i/>
                <w:iCs/>
                <w:sz w:val="22"/>
                <w:szCs w:val="22"/>
                <w:lang w:val="en-US"/>
              </w:rPr>
              <w:t xml:space="preserve">Navigation Act </w:t>
            </w:r>
            <w:r w:rsidRPr="007571A4">
              <w:rPr>
                <w:sz w:val="22"/>
                <w:szCs w:val="22"/>
                <w:lang w:val="en-US"/>
              </w:rPr>
              <w:t>1912</w:t>
            </w:r>
            <w:r w:rsidR="001B4CCD">
              <w:rPr>
                <w:sz w:val="22"/>
                <w:szCs w:val="22"/>
                <w:lang w:val="en-US"/>
              </w:rPr>
              <w:tab/>
            </w:r>
          </w:p>
        </w:tc>
        <w:tc>
          <w:tcPr>
            <w:tcW w:w="2610" w:type="dxa"/>
            <w:gridSpan w:val="2"/>
            <w:tcBorders>
              <w:top w:val="nil"/>
              <w:left w:val="nil"/>
              <w:bottom w:val="nil"/>
              <w:right w:val="nil"/>
            </w:tcBorders>
            <w:shd w:val="clear" w:color="auto" w:fill="FFFFFF"/>
          </w:tcPr>
          <w:p w14:paraId="571A9506" w14:textId="77777777" w:rsidR="002320D5" w:rsidRPr="007571A4" w:rsidRDefault="00574773" w:rsidP="00A519AD">
            <w:pPr>
              <w:shd w:val="clear" w:color="auto" w:fill="FFFFFF"/>
              <w:tabs>
                <w:tab w:val="left" w:leader="dot" w:pos="2480"/>
              </w:tabs>
              <w:ind w:left="288" w:hanging="288"/>
              <w:jc w:val="both"/>
              <w:rPr>
                <w:sz w:val="22"/>
                <w:szCs w:val="22"/>
              </w:rPr>
            </w:pPr>
            <w:r w:rsidRPr="007571A4">
              <w:rPr>
                <w:sz w:val="22"/>
                <w:szCs w:val="22"/>
                <w:lang w:val="en-US"/>
              </w:rPr>
              <w:t xml:space="preserve">Section </w:t>
            </w:r>
            <w:r w:rsidRPr="007571A4">
              <w:rPr>
                <w:smallCaps/>
                <w:sz w:val="22"/>
                <w:szCs w:val="22"/>
                <w:lang w:val="en-US"/>
              </w:rPr>
              <w:t>375b</w:t>
            </w:r>
            <w:r w:rsidR="00A519AD">
              <w:rPr>
                <w:smallCaps/>
                <w:sz w:val="22"/>
                <w:szCs w:val="22"/>
                <w:lang w:val="en-US"/>
              </w:rPr>
              <w:tab/>
            </w:r>
          </w:p>
        </w:tc>
        <w:tc>
          <w:tcPr>
            <w:tcW w:w="4029" w:type="dxa"/>
            <w:gridSpan w:val="2"/>
            <w:tcBorders>
              <w:top w:val="nil"/>
              <w:left w:val="nil"/>
              <w:bottom w:val="nil"/>
              <w:right w:val="nil"/>
            </w:tcBorders>
            <w:shd w:val="clear" w:color="auto" w:fill="FFFFFF"/>
          </w:tcPr>
          <w:p w14:paraId="31D3E032" w14:textId="258F96E2" w:rsidR="002320D5" w:rsidRPr="007571A4" w:rsidRDefault="00574773" w:rsidP="009A1CD6">
            <w:pPr>
              <w:shd w:val="clear" w:color="auto" w:fill="FFFFFF"/>
              <w:ind w:left="288" w:hanging="288"/>
              <w:jc w:val="both"/>
              <w:rPr>
                <w:sz w:val="22"/>
                <w:szCs w:val="22"/>
              </w:rPr>
            </w:pPr>
            <w:r w:rsidRPr="007571A4">
              <w:rPr>
                <w:sz w:val="22"/>
                <w:szCs w:val="22"/>
                <w:lang w:val="en-US"/>
              </w:rPr>
              <w:t xml:space="preserve">Omit </w:t>
            </w:r>
            <w:r w:rsidR="00F24F6A" w:rsidRPr="007571A4">
              <w:rPr>
                <w:sz w:val="22"/>
                <w:szCs w:val="22"/>
                <w:lang w:val="en-US"/>
              </w:rPr>
              <w:t>“</w:t>
            </w:r>
            <w:r w:rsidRPr="007571A4">
              <w:rPr>
                <w:sz w:val="22"/>
                <w:szCs w:val="22"/>
                <w:lang w:val="en-US"/>
              </w:rPr>
              <w:t>Commonwealth Industrial Court</w:t>
            </w:r>
            <w:r w:rsidR="00F24F6A" w:rsidRPr="007571A4">
              <w:rPr>
                <w:sz w:val="22"/>
                <w:szCs w:val="22"/>
                <w:lang w:val="en-US"/>
              </w:rPr>
              <w:t>”</w:t>
            </w:r>
            <w:r w:rsidRPr="007571A4">
              <w:rPr>
                <w:sz w:val="22"/>
                <w:szCs w:val="22"/>
                <w:lang w:val="en-US"/>
              </w:rPr>
              <w:t xml:space="preserve"> (wherever occurring), substitute </w:t>
            </w:r>
            <w:r w:rsidR="00F24F6A" w:rsidRPr="007571A4">
              <w:rPr>
                <w:sz w:val="22"/>
                <w:szCs w:val="22"/>
                <w:lang w:val="en-US"/>
              </w:rPr>
              <w:t>“</w:t>
            </w:r>
            <w:r w:rsidRPr="007571A4">
              <w:rPr>
                <w:sz w:val="22"/>
                <w:szCs w:val="22"/>
                <w:lang w:val="en-US"/>
              </w:rPr>
              <w:t>Federal Court of Australia</w:t>
            </w:r>
            <w:r w:rsidR="00F24F6A" w:rsidRPr="007571A4">
              <w:rPr>
                <w:sz w:val="22"/>
                <w:szCs w:val="22"/>
                <w:lang w:val="en-US"/>
              </w:rPr>
              <w:t>”</w:t>
            </w:r>
            <w:r w:rsidR="009A1CD6">
              <w:rPr>
                <w:sz w:val="22"/>
                <w:szCs w:val="22"/>
                <w:lang w:val="en-US"/>
              </w:rPr>
              <w:t>.</w:t>
            </w:r>
          </w:p>
        </w:tc>
      </w:tr>
      <w:tr w:rsidR="002320D5" w:rsidRPr="007571A4" w14:paraId="31C412AA" w14:textId="77777777" w:rsidTr="0001402E">
        <w:trPr>
          <w:trHeight w:val="20"/>
          <w:jc w:val="center"/>
        </w:trPr>
        <w:tc>
          <w:tcPr>
            <w:tcW w:w="3190" w:type="dxa"/>
            <w:tcBorders>
              <w:top w:val="nil"/>
              <w:left w:val="nil"/>
              <w:bottom w:val="nil"/>
              <w:right w:val="nil"/>
            </w:tcBorders>
            <w:shd w:val="clear" w:color="auto" w:fill="FFFFFF"/>
          </w:tcPr>
          <w:p w14:paraId="21055E01" w14:textId="77777777" w:rsidR="002320D5" w:rsidRPr="007571A4" w:rsidRDefault="002320D5" w:rsidP="001B4CCD">
            <w:pPr>
              <w:shd w:val="clear" w:color="auto" w:fill="FFFFFF"/>
              <w:tabs>
                <w:tab w:val="left" w:leader="dot" w:pos="3024"/>
              </w:tabs>
              <w:jc w:val="both"/>
              <w:rPr>
                <w:sz w:val="22"/>
                <w:szCs w:val="22"/>
              </w:rPr>
            </w:pPr>
          </w:p>
        </w:tc>
        <w:tc>
          <w:tcPr>
            <w:tcW w:w="2610" w:type="dxa"/>
            <w:gridSpan w:val="2"/>
            <w:tcBorders>
              <w:top w:val="nil"/>
              <w:left w:val="nil"/>
              <w:bottom w:val="nil"/>
              <w:right w:val="nil"/>
            </w:tcBorders>
            <w:shd w:val="clear" w:color="auto" w:fill="FFFFFF"/>
          </w:tcPr>
          <w:p w14:paraId="65F41677" w14:textId="77777777" w:rsidR="002320D5" w:rsidRPr="007571A4" w:rsidRDefault="002320D5" w:rsidP="00A519AD">
            <w:pPr>
              <w:shd w:val="clear" w:color="auto" w:fill="FFFFFF"/>
              <w:tabs>
                <w:tab w:val="left" w:leader="dot" w:pos="2480"/>
              </w:tabs>
              <w:ind w:left="288" w:hanging="288"/>
              <w:jc w:val="both"/>
              <w:rPr>
                <w:sz w:val="22"/>
                <w:szCs w:val="22"/>
              </w:rPr>
            </w:pPr>
          </w:p>
        </w:tc>
        <w:tc>
          <w:tcPr>
            <w:tcW w:w="4029" w:type="dxa"/>
            <w:gridSpan w:val="2"/>
            <w:tcBorders>
              <w:top w:val="nil"/>
              <w:left w:val="nil"/>
              <w:bottom w:val="nil"/>
              <w:right w:val="nil"/>
            </w:tcBorders>
            <w:shd w:val="clear" w:color="auto" w:fill="FFFFFF"/>
          </w:tcPr>
          <w:p w14:paraId="600EC5B8" w14:textId="072F43C0" w:rsidR="002320D5" w:rsidRPr="007571A4" w:rsidRDefault="00574773" w:rsidP="009A1CD6">
            <w:pPr>
              <w:shd w:val="clear" w:color="auto" w:fill="FFFFFF"/>
              <w:ind w:left="288" w:hanging="288"/>
              <w:jc w:val="both"/>
              <w:rPr>
                <w:sz w:val="22"/>
                <w:szCs w:val="22"/>
              </w:rPr>
            </w:pPr>
            <w:r w:rsidRPr="007571A4">
              <w:rPr>
                <w:sz w:val="22"/>
                <w:szCs w:val="22"/>
                <w:lang w:val="en-US"/>
              </w:rPr>
              <w:t xml:space="preserve">Omit </w:t>
            </w:r>
            <w:r w:rsidR="00F24F6A" w:rsidRPr="007571A4">
              <w:rPr>
                <w:sz w:val="22"/>
                <w:szCs w:val="22"/>
                <w:lang w:val="en-US"/>
              </w:rPr>
              <w:t>“</w:t>
            </w:r>
            <w:r w:rsidRPr="007571A4">
              <w:rPr>
                <w:sz w:val="22"/>
                <w:szCs w:val="22"/>
                <w:lang w:val="en-US"/>
              </w:rPr>
              <w:t>not less than two Judges</w:t>
            </w:r>
            <w:r w:rsidR="00F24F6A" w:rsidRPr="007571A4">
              <w:rPr>
                <w:sz w:val="22"/>
                <w:szCs w:val="22"/>
                <w:lang w:val="en-US"/>
              </w:rPr>
              <w:t>”</w:t>
            </w:r>
            <w:r w:rsidRPr="007571A4">
              <w:rPr>
                <w:sz w:val="22"/>
                <w:szCs w:val="22"/>
                <w:lang w:val="en-US"/>
              </w:rPr>
              <w:t xml:space="preserve">, substitute </w:t>
            </w:r>
            <w:r w:rsidR="00F24F6A" w:rsidRPr="007571A4">
              <w:rPr>
                <w:sz w:val="22"/>
                <w:szCs w:val="22"/>
                <w:lang w:val="en-US"/>
              </w:rPr>
              <w:t>“</w:t>
            </w:r>
            <w:r w:rsidRPr="007571A4">
              <w:rPr>
                <w:sz w:val="22"/>
                <w:szCs w:val="22"/>
                <w:lang w:val="en-US"/>
              </w:rPr>
              <w:t>a Full Court</w:t>
            </w:r>
            <w:r w:rsidR="00F24F6A" w:rsidRPr="007571A4">
              <w:rPr>
                <w:sz w:val="22"/>
                <w:szCs w:val="22"/>
                <w:lang w:val="en-US"/>
              </w:rPr>
              <w:t>”</w:t>
            </w:r>
            <w:r w:rsidR="009A1CD6">
              <w:rPr>
                <w:sz w:val="22"/>
                <w:szCs w:val="22"/>
                <w:lang w:val="en-US"/>
              </w:rPr>
              <w:t>.</w:t>
            </w:r>
          </w:p>
        </w:tc>
      </w:tr>
      <w:tr w:rsidR="002320D5" w:rsidRPr="007571A4" w14:paraId="51B362E3" w14:textId="77777777" w:rsidTr="0001402E">
        <w:trPr>
          <w:trHeight w:val="20"/>
          <w:jc w:val="center"/>
        </w:trPr>
        <w:tc>
          <w:tcPr>
            <w:tcW w:w="3190" w:type="dxa"/>
            <w:tcBorders>
              <w:top w:val="nil"/>
              <w:left w:val="nil"/>
              <w:bottom w:val="nil"/>
              <w:right w:val="nil"/>
            </w:tcBorders>
            <w:shd w:val="clear" w:color="auto" w:fill="FFFFFF"/>
          </w:tcPr>
          <w:p w14:paraId="4A0CD009" w14:textId="77777777" w:rsidR="002320D5" w:rsidRPr="007571A4" w:rsidRDefault="00574773" w:rsidP="001B4CCD">
            <w:pPr>
              <w:shd w:val="clear" w:color="auto" w:fill="FFFFFF"/>
              <w:tabs>
                <w:tab w:val="left" w:leader="dot" w:pos="3024"/>
              </w:tabs>
              <w:jc w:val="both"/>
              <w:rPr>
                <w:sz w:val="22"/>
                <w:szCs w:val="22"/>
              </w:rPr>
            </w:pPr>
            <w:r w:rsidRPr="007571A4">
              <w:rPr>
                <w:i/>
                <w:iCs/>
                <w:sz w:val="22"/>
                <w:szCs w:val="22"/>
                <w:lang w:val="en-US"/>
              </w:rPr>
              <w:t xml:space="preserve">Prices Justification Act </w:t>
            </w:r>
            <w:r w:rsidRPr="007571A4">
              <w:rPr>
                <w:sz w:val="22"/>
                <w:szCs w:val="22"/>
                <w:lang w:val="en-US"/>
              </w:rPr>
              <w:t>1973</w:t>
            </w:r>
          </w:p>
        </w:tc>
        <w:tc>
          <w:tcPr>
            <w:tcW w:w="2610" w:type="dxa"/>
            <w:gridSpan w:val="2"/>
            <w:tcBorders>
              <w:top w:val="nil"/>
              <w:left w:val="nil"/>
              <w:bottom w:val="nil"/>
              <w:right w:val="nil"/>
            </w:tcBorders>
            <w:shd w:val="clear" w:color="auto" w:fill="FFFFFF"/>
          </w:tcPr>
          <w:p w14:paraId="6895BFA9" w14:textId="77777777" w:rsidR="002320D5" w:rsidRPr="007571A4" w:rsidRDefault="00574773" w:rsidP="00A519AD">
            <w:pPr>
              <w:shd w:val="clear" w:color="auto" w:fill="FFFFFF"/>
              <w:tabs>
                <w:tab w:val="left" w:leader="dot" w:pos="2480"/>
              </w:tabs>
              <w:ind w:left="288" w:hanging="288"/>
              <w:jc w:val="both"/>
              <w:rPr>
                <w:sz w:val="22"/>
                <w:szCs w:val="22"/>
              </w:rPr>
            </w:pPr>
            <w:r w:rsidRPr="007571A4">
              <w:rPr>
                <w:sz w:val="22"/>
                <w:szCs w:val="22"/>
                <w:lang w:val="en-US"/>
              </w:rPr>
              <w:t>Section 31</w:t>
            </w:r>
            <w:r w:rsidR="00A519AD">
              <w:rPr>
                <w:sz w:val="22"/>
                <w:szCs w:val="22"/>
                <w:lang w:val="en-US"/>
              </w:rPr>
              <w:tab/>
            </w:r>
          </w:p>
        </w:tc>
        <w:tc>
          <w:tcPr>
            <w:tcW w:w="4029" w:type="dxa"/>
            <w:gridSpan w:val="2"/>
            <w:tcBorders>
              <w:top w:val="nil"/>
              <w:left w:val="nil"/>
              <w:bottom w:val="nil"/>
              <w:right w:val="nil"/>
            </w:tcBorders>
            <w:shd w:val="clear" w:color="auto" w:fill="FFFFFF"/>
          </w:tcPr>
          <w:p w14:paraId="53E6A0CB" w14:textId="031276AB" w:rsidR="002320D5" w:rsidRPr="007571A4" w:rsidRDefault="00574773" w:rsidP="009A1CD6">
            <w:pPr>
              <w:shd w:val="clear" w:color="auto" w:fill="FFFFFF"/>
              <w:ind w:left="288" w:hanging="288"/>
              <w:jc w:val="both"/>
              <w:rPr>
                <w:sz w:val="22"/>
                <w:szCs w:val="22"/>
              </w:rPr>
            </w:pPr>
            <w:r w:rsidRPr="007571A4">
              <w:rPr>
                <w:sz w:val="22"/>
                <w:szCs w:val="22"/>
                <w:lang w:val="en-US"/>
              </w:rPr>
              <w:t xml:space="preserve">Omit </w:t>
            </w:r>
            <w:r w:rsidR="00F24F6A" w:rsidRPr="007571A4">
              <w:rPr>
                <w:sz w:val="22"/>
                <w:szCs w:val="22"/>
                <w:lang w:val="en-US"/>
              </w:rPr>
              <w:t>“</w:t>
            </w:r>
            <w:r w:rsidRPr="007571A4">
              <w:rPr>
                <w:sz w:val="22"/>
                <w:szCs w:val="22"/>
                <w:lang w:val="en-US"/>
              </w:rPr>
              <w:t>Australian Industrial Court</w:t>
            </w:r>
            <w:r w:rsidR="00F24F6A" w:rsidRPr="007571A4">
              <w:rPr>
                <w:sz w:val="22"/>
                <w:szCs w:val="22"/>
                <w:lang w:val="en-US"/>
              </w:rPr>
              <w:t>”</w:t>
            </w:r>
            <w:r w:rsidRPr="007571A4">
              <w:rPr>
                <w:sz w:val="22"/>
                <w:szCs w:val="22"/>
                <w:lang w:val="en-US"/>
              </w:rPr>
              <w:t xml:space="preserve"> (wherever occurring), substitute </w:t>
            </w:r>
            <w:r w:rsidR="00F24F6A" w:rsidRPr="007571A4">
              <w:rPr>
                <w:sz w:val="22"/>
                <w:szCs w:val="22"/>
                <w:lang w:val="en-US"/>
              </w:rPr>
              <w:t>“</w:t>
            </w:r>
            <w:r w:rsidRPr="007571A4">
              <w:rPr>
                <w:sz w:val="22"/>
                <w:szCs w:val="22"/>
                <w:lang w:val="en-US"/>
              </w:rPr>
              <w:t>Federal Court of Australia</w:t>
            </w:r>
            <w:r w:rsidR="00F24F6A" w:rsidRPr="007571A4">
              <w:rPr>
                <w:sz w:val="22"/>
                <w:szCs w:val="22"/>
                <w:lang w:val="en-US"/>
              </w:rPr>
              <w:t>”</w:t>
            </w:r>
            <w:r w:rsidR="009A1CD6">
              <w:rPr>
                <w:sz w:val="22"/>
                <w:szCs w:val="22"/>
                <w:lang w:val="en-US"/>
              </w:rPr>
              <w:t>.</w:t>
            </w:r>
          </w:p>
        </w:tc>
      </w:tr>
      <w:tr w:rsidR="002320D5" w:rsidRPr="007571A4" w14:paraId="20CB4EE1" w14:textId="77777777" w:rsidTr="0001402E">
        <w:trPr>
          <w:trHeight w:val="20"/>
          <w:jc w:val="center"/>
        </w:trPr>
        <w:tc>
          <w:tcPr>
            <w:tcW w:w="3190" w:type="dxa"/>
            <w:tcBorders>
              <w:top w:val="nil"/>
              <w:left w:val="nil"/>
              <w:bottom w:val="nil"/>
              <w:right w:val="nil"/>
            </w:tcBorders>
            <w:shd w:val="clear" w:color="auto" w:fill="FFFFFF"/>
          </w:tcPr>
          <w:p w14:paraId="69E581D1" w14:textId="77777777" w:rsidR="002320D5" w:rsidRPr="007571A4" w:rsidRDefault="002320D5" w:rsidP="001B4CCD">
            <w:pPr>
              <w:shd w:val="clear" w:color="auto" w:fill="FFFFFF"/>
              <w:tabs>
                <w:tab w:val="left" w:leader="dot" w:pos="3024"/>
              </w:tabs>
              <w:jc w:val="both"/>
              <w:rPr>
                <w:sz w:val="22"/>
                <w:szCs w:val="22"/>
              </w:rPr>
            </w:pPr>
          </w:p>
        </w:tc>
        <w:tc>
          <w:tcPr>
            <w:tcW w:w="2610" w:type="dxa"/>
            <w:gridSpan w:val="2"/>
            <w:tcBorders>
              <w:top w:val="nil"/>
              <w:left w:val="nil"/>
              <w:bottom w:val="nil"/>
              <w:right w:val="nil"/>
            </w:tcBorders>
            <w:shd w:val="clear" w:color="auto" w:fill="FFFFFF"/>
          </w:tcPr>
          <w:p w14:paraId="24B22996" w14:textId="6F4E9C97" w:rsidR="002320D5" w:rsidRPr="007571A4" w:rsidRDefault="00574773" w:rsidP="009A1CD6">
            <w:pPr>
              <w:shd w:val="clear" w:color="auto" w:fill="FFFFFF"/>
              <w:tabs>
                <w:tab w:val="left" w:leader="dot" w:pos="2480"/>
              </w:tabs>
              <w:ind w:left="288" w:hanging="288"/>
              <w:jc w:val="both"/>
              <w:rPr>
                <w:sz w:val="22"/>
                <w:szCs w:val="22"/>
              </w:rPr>
            </w:pPr>
            <w:r w:rsidRPr="007571A4">
              <w:rPr>
                <w:sz w:val="22"/>
                <w:szCs w:val="22"/>
                <w:lang w:val="en-US"/>
              </w:rPr>
              <w:t>Section 32(2)</w:t>
            </w:r>
            <w:r w:rsidR="00A519AD">
              <w:rPr>
                <w:sz w:val="22"/>
                <w:szCs w:val="22"/>
                <w:lang w:val="en-US"/>
              </w:rPr>
              <w:tab/>
            </w:r>
          </w:p>
        </w:tc>
        <w:tc>
          <w:tcPr>
            <w:tcW w:w="4029" w:type="dxa"/>
            <w:gridSpan w:val="2"/>
            <w:tcBorders>
              <w:top w:val="nil"/>
              <w:left w:val="nil"/>
              <w:bottom w:val="nil"/>
              <w:right w:val="nil"/>
            </w:tcBorders>
            <w:shd w:val="clear" w:color="auto" w:fill="FFFFFF"/>
          </w:tcPr>
          <w:p w14:paraId="61F2203A" w14:textId="2D6F3A1D" w:rsidR="002320D5" w:rsidRPr="007571A4" w:rsidRDefault="00574773" w:rsidP="009A1CD6">
            <w:pPr>
              <w:shd w:val="clear" w:color="auto" w:fill="FFFFFF"/>
              <w:ind w:left="288" w:hanging="288"/>
              <w:jc w:val="both"/>
              <w:rPr>
                <w:sz w:val="22"/>
                <w:szCs w:val="22"/>
              </w:rPr>
            </w:pPr>
            <w:r w:rsidRPr="007571A4">
              <w:rPr>
                <w:sz w:val="22"/>
                <w:szCs w:val="22"/>
                <w:lang w:val="en-US"/>
              </w:rPr>
              <w:t xml:space="preserve">After </w:t>
            </w:r>
            <w:r w:rsidR="00F24F6A" w:rsidRPr="007571A4">
              <w:rPr>
                <w:sz w:val="22"/>
                <w:szCs w:val="22"/>
                <w:lang w:val="en-US"/>
              </w:rPr>
              <w:t>“</w:t>
            </w:r>
            <w:r w:rsidRPr="007571A4">
              <w:rPr>
                <w:sz w:val="22"/>
                <w:szCs w:val="22"/>
                <w:lang w:val="en-US"/>
              </w:rPr>
              <w:t>Australian Industrial Court</w:t>
            </w:r>
            <w:r w:rsidR="00F24F6A" w:rsidRPr="007571A4">
              <w:rPr>
                <w:sz w:val="22"/>
                <w:szCs w:val="22"/>
                <w:lang w:val="en-US"/>
              </w:rPr>
              <w:t>”</w:t>
            </w:r>
            <w:r w:rsidRPr="007571A4">
              <w:rPr>
                <w:sz w:val="22"/>
                <w:szCs w:val="22"/>
                <w:lang w:val="en-US"/>
              </w:rPr>
              <w:t xml:space="preserve"> (twice occurring), insert </w:t>
            </w:r>
            <w:r w:rsidR="00F24F6A" w:rsidRPr="007571A4">
              <w:rPr>
                <w:sz w:val="22"/>
                <w:szCs w:val="22"/>
                <w:lang w:val="en-US"/>
              </w:rPr>
              <w:t>“</w:t>
            </w:r>
            <w:r w:rsidRPr="007571A4">
              <w:rPr>
                <w:sz w:val="22"/>
                <w:szCs w:val="22"/>
                <w:lang w:val="en-US"/>
              </w:rPr>
              <w:t>or of the Federal Court of Australia</w:t>
            </w:r>
            <w:r w:rsidR="00F24F6A" w:rsidRPr="007571A4">
              <w:rPr>
                <w:sz w:val="22"/>
                <w:szCs w:val="22"/>
                <w:lang w:val="en-US"/>
              </w:rPr>
              <w:t>”</w:t>
            </w:r>
            <w:r w:rsidR="009A1CD6">
              <w:rPr>
                <w:sz w:val="22"/>
                <w:szCs w:val="22"/>
                <w:lang w:val="en-US"/>
              </w:rPr>
              <w:t>.</w:t>
            </w:r>
          </w:p>
        </w:tc>
      </w:tr>
      <w:tr w:rsidR="002320D5" w:rsidRPr="007571A4" w14:paraId="3BA9E70A" w14:textId="77777777" w:rsidTr="0001402E">
        <w:trPr>
          <w:trHeight w:val="20"/>
          <w:jc w:val="center"/>
        </w:trPr>
        <w:tc>
          <w:tcPr>
            <w:tcW w:w="3190" w:type="dxa"/>
            <w:tcBorders>
              <w:top w:val="nil"/>
              <w:left w:val="nil"/>
              <w:bottom w:val="nil"/>
              <w:right w:val="nil"/>
            </w:tcBorders>
            <w:shd w:val="clear" w:color="auto" w:fill="FFFFFF"/>
          </w:tcPr>
          <w:p w14:paraId="329DC03E" w14:textId="77777777" w:rsidR="002320D5" w:rsidRPr="007571A4" w:rsidRDefault="00574773" w:rsidP="001B4CCD">
            <w:pPr>
              <w:shd w:val="clear" w:color="auto" w:fill="FFFFFF"/>
              <w:tabs>
                <w:tab w:val="left" w:leader="dot" w:pos="3024"/>
              </w:tabs>
              <w:jc w:val="both"/>
              <w:rPr>
                <w:sz w:val="22"/>
                <w:szCs w:val="22"/>
              </w:rPr>
            </w:pPr>
            <w:r w:rsidRPr="007571A4">
              <w:rPr>
                <w:i/>
                <w:iCs/>
                <w:sz w:val="22"/>
                <w:szCs w:val="22"/>
                <w:lang w:val="en-US"/>
              </w:rPr>
              <w:t xml:space="preserve">Stevedoring Industry Act </w:t>
            </w:r>
            <w:r w:rsidRPr="007571A4">
              <w:rPr>
                <w:sz w:val="22"/>
                <w:szCs w:val="22"/>
                <w:lang w:val="en-US"/>
              </w:rPr>
              <w:t>1956</w:t>
            </w:r>
          </w:p>
        </w:tc>
        <w:tc>
          <w:tcPr>
            <w:tcW w:w="2610" w:type="dxa"/>
            <w:gridSpan w:val="2"/>
            <w:tcBorders>
              <w:top w:val="nil"/>
              <w:left w:val="nil"/>
              <w:bottom w:val="nil"/>
              <w:right w:val="nil"/>
            </w:tcBorders>
            <w:shd w:val="clear" w:color="auto" w:fill="FFFFFF"/>
          </w:tcPr>
          <w:p w14:paraId="68E4CE55" w14:textId="50FF5AE3" w:rsidR="002320D5" w:rsidRPr="007571A4" w:rsidRDefault="00574773" w:rsidP="009A1CD6">
            <w:pPr>
              <w:shd w:val="clear" w:color="auto" w:fill="FFFFFF"/>
              <w:ind w:left="288" w:hanging="288"/>
              <w:jc w:val="both"/>
              <w:rPr>
                <w:sz w:val="22"/>
                <w:szCs w:val="22"/>
              </w:rPr>
            </w:pPr>
            <w:r w:rsidRPr="007571A4">
              <w:rPr>
                <w:sz w:val="22"/>
                <w:szCs w:val="22"/>
                <w:lang w:val="en-US"/>
              </w:rPr>
              <w:t xml:space="preserve">Section 7(1) (definition of </w:t>
            </w:r>
            <w:r w:rsidR="00F24F6A" w:rsidRPr="007571A4">
              <w:rPr>
                <w:sz w:val="22"/>
                <w:szCs w:val="22"/>
                <w:lang w:val="en-US"/>
              </w:rPr>
              <w:t>“</w:t>
            </w:r>
            <w:r w:rsidRPr="007571A4">
              <w:rPr>
                <w:sz w:val="22"/>
                <w:szCs w:val="22"/>
                <w:lang w:val="en-US"/>
              </w:rPr>
              <w:t>the Court</w:t>
            </w:r>
            <w:r w:rsidR="00F24F6A" w:rsidRPr="007571A4">
              <w:rPr>
                <w:sz w:val="22"/>
                <w:szCs w:val="22"/>
                <w:lang w:val="en-US"/>
              </w:rPr>
              <w:t>”</w:t>
            </w:r>
            <w:r w:rsidRPr="007571A4">
              <w:rPr>
                <w:sz w:val="22"/>
                <w:szCs w:val="22"/>
                <w:lang w:val="en-US"/>
              </w:rPr>
              <w:t>)</w:t>
            </w:r>
          </w:p>
        </w:tc>
        <w:tc>
          <w:tcPr>
            <w:tcW w:w="4029" w:type="dxa"/>
            <w:gridSpan w:val="2"/>
            <w:tcBorders>
              <w:top w:val="nil"/>
              <w:left w:val="nil"/>
              <w:bottom w:val="nil"/>
              <w:right w:val="nil"/>
            </w:tcBorders>
            <w:shd w:val="clear" w:color="auto" w:fill="FFFFFF"/>
          </w:tcPr>
          <w:p w14:paraId="2CCC7B7B" w14:textId="4FCE4976" w:rsidR="002320D5" w:rsidRPr="007571A4" w:rsidRDefault="00574773" w:rsidP="009A1CD6">
            <w:pPr>
              <w:shd w:val="clear" w:color="auto" w:fill="FFFFFF"/>
              <w:ind w:left="288" w:hanging="288"/>
              <w:jc w:val="both"/>
              <w:rPr>
                <w:sz w:val="22"/>
                <w:szCs w:val="22"/>
              </w:rPr>
            </w:pPr>
            <w:r w:rsidRPr="007571A4">
              <w:rPr>
                <w:sz w:val="22"/>
                <w:szCs w:val="22"/>
                <w:lang w:val="en-US"/>
              </w:rPr>
              <w:t xml:space="preserve">Omit </w:t>
            </w:r>
            <w:r w:rsidR="00F24F6A" w:rsidRPr="007571A4">
              <w:rPr>
                <w:sz w:val="22"/>
                <w:szCs w:val="22"/>
                <w:lang w:val="en-US"/>
              </w:rPr>
              <w:t>“</w:t>
            </w:r>
            <w:r w:rsidRPr="007571A4">
              <w:rPr>
                <w:sz w:val="22"/>
                <w:szCs w:val="22"/>
                <w:lang w:val="en-US"/>
              </w:rPr>
              <w:t>Commonwealth Industrial Court</w:t>
            </w:r>
            <w:r w:rsidR="00F24F6A" w:rsidRPr="007571A4">
              <w:rPr>
                <w:sz w:val="22"/>
                <w:szCs w:val="22"/>
                <w:lang w:val="en-US"/>
              </w:rPr>
              <w:t>”</w:t>
            </w:r>
            <w:r w:rsidRPr="007571A4">
              <w:rPr>
                <w:sz w:val="22"/>
                <w:szCs w:val="22"/>
                <w:lang w:val="en-US"/>
              </w:rPr>
              <w:t xml:space="preserve">, substitute </w:t>
            </w:r>
            <w:r w:rsidR="00F24F6A" w:rsidRPr="007571A4">
              <w:rPr>
                <w:sz w:val="22"/>
                <w:szCs w:val="22"/>
                <w:lang w:val="en-US"/>
              </w:rPr>
              <w:t>“</w:t>
            </w:r>
            <w:r w:rsidRPr="007571A4">
              <w:rPr>
                <w:sz w:val="22"/>
                <w:szCs w:val="22"/>
                <w:lang w:val="en-US"/>
              </w:rPr>
              <w:t>Federal Court of Australia</w:t>
            </w:r>
            <w:r w:rsidR="00F24F6A" w:rsidRPr="007571A4">
              <w:rPr>
                <w:sz w:val="22"/>
                <w:szCs w:val="22"/>
                <w:lang w:val="en-US"/>
              </w:rPr>
              <w:t>”</w:t>
            </w:r>
            <w:r w:rsidR="009A1CD6">
              <w:rPr>
                <w:sz w:val="22"/>
                <w:szCs w:val="22"/>
                <w:lang w:val="en-US"/>
              </w:rPr>
              <w:t>.</w:t>
            </w:r>
          </w:p>
        </w:tc>
      </w:tr>
      <w:tr w:rsidR="002320D5" w:rsidRPr="007571A4" w14:paraId="4A35458E" w14:textId="77777777" w:rsidTr="0001402E">
        <w:trPr>
          <w:trHeight w:val="20"/>
          <w:jc w:val="center"/>
        </w:trPr>
        <w:tc>
          <w:tcPr>
            <w:tcW w:w="3190" w:type="dxa"/>
            <w:tcBorders>
              <w:top w:val="nil"/>
              <w:left w:val="nil"/>
              <w:bottom w:val="nil"/>
              <w:right w:val="nil"/>
            </w:tcBorders>
            <w:shd w:val="clear" w:color="auto" w:fill="FFFFFF"/>
          </w:tcPr>
          <w:p w14:paraId="00113DCF" w14:textId="77777777" w:rsidR="002320D5" w:rsidRPr="007571A4" w:rsidRDefault="002320D5" w:rsidP="001B4CCD">
            <w:pPr>
              <w:shd w:val="clear" w:color="auto" w:fill="FFFFFF"/>
              <w:tabs>
                <w:tab w:val="left" w:leader="dot" w:pos="3024"/>
              </w:tabs>
              <w:jc w:val="both"/>
              <w:rPr>
                <w:sz w:val="22"/>
                <w:szCs w:val="22"/>
              </w:rPr>
            </w:pPr>
          </w:p>
        </w:tc>
        <w:tc>
          <w:tcPr>
            <w:tcW w:w="2610" w:type="dxa"/>
            <w:gridSpan w:val="2"/>
            <w:tcBorders>
              <w:top w:val="nil"/>
              <w:left w:val="nil"/>
              <w:bottom w:val="nil"/>
              <w:right w:val="nil"/>
            </w:tcBorders>
            <w:shd w:val="clear" w:color="auto" w:fill="FFFFFF"/>
          </w:tcPr>
          <w:p w14:paraId="307CD324" w14:textId="35DA3CCD" w:rsidR="002320D5" w:rsidRPr="007571A4" w:rsidRDefault="00574773" w:rsidP="009A1CD6">
            <w:pPr>
              <w:shd w:val="clear" w:color="auto" w:fill="FFFFFF"/>
              <w:ind w:left="288" w:hanging="288"/>
              <w:jc w:val="both"/>
              <w:rPr>
                <w:sz w:val="22"/>
                <w:szCs w:val="22"/>
              </w:rPr>
            </w:pPr>
            <w:r w:rsidRPr="007571A4">
              <w:rPr>
                <w:sz w:val="22"/>
                <w:szCs w:val="22"/>
                <w:lang w:val="en-US"/>
              </w:rPr>
              <w:t>Sections 34(3) and 45</w:t>
            </w:r>
            <w:r w:rsidRPr="007571A4">
              <w:rPr>
                <w:smallCaps/>
                <w:sz w:val="22"/>
                <w:szCs w:val="22"/>
                <w:lang w:val="en-US"/>
              </w:rPr>
              <w:t>m</w:t>
            </w:r>
            <w:r w:rsidRPr="007571A4">
              <w:rPr>
                <w:sz w:val="22"/>
                <w:szCs w:val="22"/>
                <w:lang w:val="en-US"/>
              </w:rPr>
              <w:t>(3)</w:t>
            </w:r>
          </w:p>
        </w:tc>
        <w:tc>
          <w:tcPr>
            <w:tcW w:w="4029" w:type="dxa"/>
            <w:gridSpan w:val="2"/>
            <w:tcBorders>
              <w:top w:val="nil"/>
              <w:left w:val="nil"/>
              <w:bottom w:val="nil"/>
              <w:right w:val="nil"/>
            </w:tcBorders>
            <w:shd w:val="clear" w:color="auto" w:fill="FFFFFF"/>
          </w:tcPr>
          <w:p w14:paraId="3FBCD49C" w14:textId="22FBC24A" w:rsidR="002320D5" w:rsidRPr="007571A4" w:rsidRDefault="00574773" w:rsidP="009A1CD6">
            <w:pPr>
              <w:shd w:val="clear" w:color="auto" w:fill="FFFFFF"/>
              <w:ind w:left="288" w:hanging="288"/>
              <w:jc w:val="both"/>
              <w:rPr>
                <w:sz w:val="22"/>
                <w:szCs w:val="22"/>
              </w:rPr>
            </w:pPr>
            <w:r w:rsidRPr="007571A4">
              <w:rPr>
                <w:sz w:val="22"/>
                <w:szCs w:val="22"/>
                <w:lang w:val="en-US"/>
              </w:rPr>
              <w:t xml:space="preserve">After </w:t>
            </w:r>
            <w:r w:rsidR="00F24F6A" w:rsidRPr="007571A4">
              <w:rPr>
                <w:sz w:val="22"/>
                <w:szCs w:val="22"/>
                <w:lang w:val="en-US"/>
              </w:rPr>
              <w:t>“</w:t>
            </w:r>
            <w:r w:rsidRPr="007571A4">
              <w:rPr>
                <w:sz w:val="22"/>
                <w:szCs w:val="22"/>
                <w:lang w:val="en-US"/>
              </w:rPr>
              <w:t>exercised</w:t>
            </w:r>
            <w:r w:rsidR="00F24F6A" w:rsidRPr="007571A4">
              <w:rPr>
                <w:sz w:val="22"/>
                <w:szCs w:val="22"/>
                <w:lang w:val="en-US"/>
              </w:rPr>
              <w:t>”</w:t>
            </w:r>
            <w:r w:rsidRPr="007571A4">
              <w:rPr>
                <w:sz w:val="22"/>
                <w:szCs w:val="22"/>
                <w:lang w:val="en-US"/>
              </w:rPr>
              <w:t xml:space="preserve"> insert </w:t>
            </w:r>
            <w:r w:rsidR="00F24F6A" w:rsidRPr="007571A4">
              <w:rPr>
                <w:sz w:val="22"/>
                <w:szCs w:val="22"/>
                <w:lang w:val="en-US"/>
              </w:rPr>
              <w:t>“</w:t>
            </w:r>
            <w:r w:rsidRPr="007571A4">
              <w:rPr>
                <w:sz w:val="22"/>
                <w:szCs w:val="22"/>
                <w:lang w:val="en-US"/>
              </w:rPr>
              <w:t>in the Industrial Division</w:t>
            </w:r>
            <w:r w:rsidR="00F24F6A" w:rsidRPr="007571A4">
              <w:rPr>
                <w:sz w:val="22"/>
                <w:szCs w:val="22"/>
                <w:lang w:val="en-US"/>
              </w:rPr>
              <w:t>”</w:t>
            </w:r>
            <w:r w:rsidR="009A1CD6">
              <w:rPr>
                <w:rStyle w:val="CommentReference"/>
              </w:rPr>
              <w:t>.</w:t>
            </w:r>
          </w:p>
        </w:tc>
      </w:tr>
      <w:tr w:rsidR="002320D5" w:rsidRPr="007571A4" w14:paraId="6AE50133" w14:textId="77777777" w:rsidTr="0001402E">
        <w:trPr>
          <w:trHeight w:val="20"/>
          <w:jc w:val="center"/>
        </w:trPr>
        <w:tc>
          <w:tcPr>
            <w:tcW w:w="3190" w:type="dxa"/>
            <w:tcBorders>
              <w:top w:val="nil"/>
              <w:left w:val="nil"/>
              <w:bottom w:val="single" w:sz="6" w:space="0" w:color="auto"/>
              <w:right w:val="nil"/>
            </w:tcBorders>
            <w:shd w:val="clear" w:color="auto" w:fill="FFFFFF"/>
          </w:tcPr>
          <w:p w14:paraId="78BA2D1A" w14:textId="77777777" w:rsidR="002320D5" w:rsidRPr="007571A4" w:rsidRDefault="00574773" w:rsidP="001B4CCD">
            <w:pPr>
              <w:shd w:val="clear" w:color="auto" w:fill="FFFFFF"/>
              <w:tabs>
                <w:tab w:val="left" w:leader="dot" w:pos="3024"/>
              </w:tabs>
              <w:jc w:val="both"/>
              <w:rPr>
                <w:sz w:val="22"/>
                <w:szCs w:val="22"/>
              </w:rPr>
            </w:pPr>
            <w:r w:rsidRPr="007571A4">
              <w:rPr>
                <w:i/>
                <w:iCs/>
                <w:sz w:val="22"/>
                <w:szCs w:val="22"/>
                <w:lang w:val="en-US"/>
              </w:rPr>
              <w:t xml:space="preserve">Trade Practices Act </w:t>
            </w:r>
            <w:r w:rsidRPr="007571A4">
              <w:rPr>
                <w:sz w:val="22"/>
                <w:szCs w:val="22"/>
                <w:lang w:val="en-US"/>
              </w:rPr>
              <w:t>1974</w:t>
            </w:r>
            <w:r w:rsidR="001B4CCD">
              <w:rPr>
                <w:sz w:val="22"/>
                <w:szCs w:val="22"/>
                <w:lang w:val="en-US"/>
              </w:rPr>
              <w:tab/>
            </w:r>
          </w:p>
        </w:tc>
        <w:tc>
          <w:tcPr>
            <w:tcW w:w="2610" w:type="dxa"/>
            <w:gridSpan w:val="2"/>
            <w:tcBorders>
              <w:top w:val="nil"/>
              <w:left w:val="nil"/>
              <w:bottom w:val="single" w:sz="6" w:space="0" w:color="auto"/>
              <w:right w:val="nil"/>
            </w:tcBorders>
            <w:shd w:val="clear" w:color="auto" w:fill="FFFFFF"/>
          </w:tcPr>
          <w:p w14:paraId="19613A74" w14:textId="77777777" w:rsidR="002320D5" w:rsidRPr="007571A4" w:rsidRDefault="00574773" w:rsidP="00633988">
            <w:pPr>
              <w:shd w:val="clear" w:color="auto" w:fill="FFFFFF"/>
              <w:ind w:left="288" w:hanging="288"/>
              <w:jc w:val="both"/>
              <w:rPr>
                <w:sz w:val="22"/>
                <w:szCs w:val="22"/>
              </w:rPr>
            </w:pPr>
            <w:r w:rsidRPr="007571A4">
              <w:rPr>
                <w:sz w:val="22"/>
                <w:szCs w:val="22"/>
                <w:lang w:val="en-US"/>
              </w:rPr>
              <w:t xml:space="preserve">Section 4 (definition of </w:t>
            </w:r>
            <w:r w:rsidR="00F24F6A" w:rsidRPr="007571A4">
              <w:rPr>
                <w:sz w:val="22"/>
                <w:szCs w:val="22"/>
                <w:lang w:val="en-US"/>
              </w:rPr>
              <w:t>“</w:t>
            </w:r>
            <w:r w:rsidRPr="007571A4">
              <w:rPr>
                <w:sz w:val="22"/>
                <w:szCs w:val="22"/>
                <w:lang w:val="en-US"/>
              </w:rPr>
              <w:t>Court</w:t>
            </w:r>
            <w:r w:rsidR="00F24F6A" w:rsidRPr="007571A4">
              <w:rPr>
                <w:sz w:val="22"/>
                <w:szCs w:val="22"/>
                <w:lang w:val="en-US"/>
              </w:rPr>
              <w:t>”</w:t>
            </w:r>
            <w:r w:rsidRPr="007571A4">
              <w:rPr>
                <w:sz w:val="22"/>
                <w:szCs w:val="22"/>
                <w:lang w:val="en-US"/>
              </w:rPr>
              <w:t>)</w:t>
            </w:r>
          </w:p>
        </w:tc>
        <w:tc>
          <w:tcPr>
            <w:tcW w:w="4029" w:type="dxa"/>
            <w:gridSpan w:val="2"/>
            <w:tcBorders>
              <w:top w:val="nil"/>
              <w:left w:val="nil"/>
              <w:bottom w:val="single" w:sz="6" w:space="0" w:color="auto"/>
              <w:right w:val="nil"/>
            </w:tcBorders>
            <w:shd w:val="clear" w:color="auto" w:fill="FFFFFF"/>
          </w:tcPr>
          <w:p w14:paraId="420C3F4B" w14:textId="528169C0" w:rsidR="002320D5" w:rsidRPr="007571A4" w:rsidRDefault="00574773" w:rsidP="009A1CD6">
            <w:pPr>
              <w:shd w:val="clear" w:color="auto" w:fill="FFFFFF"/>
              <w:ind w:left="288" w:hanging="288"/>
              <w:jc w:val="both"/>
              <w:rPr>
                <w:sz w:val="22"/>
                <w:szCs w:val="22"/>
              </w:rPr>
            </w:pPr>
            <w:r w:rsidRPr="007571A4">
              <w:rPr>
                <w:sz w:val="22"/>
                <w:szCs w:val="22"/>
                <w:lang w:val="en-US"/>
              </w:rPr>
              <w:t xml:space="preserve">Omit </w:t>
            </w:r>
            <w:r w:rsidR="00F24F6A" w:rsidRPr="007571A4">
              <w:rPr>
                <w:sz w:val="22"/>
                <w:szCs w:val="22"/>
                <w:lang w:val="en-US"/>
              </w:rPr>
              <w:t>“</w:t>
            </w:r>
            <w:r w:rsidRPr="007571A4">
              <w:rPr>
                <w:sz w:val="22"/>
                <w:szCs w:val="22"/>
                <w:lang w:val="en-US"/>
              </w:rPr>
              <w:t>Australian Industrial Court</w:t>
            </w:r>
            <w:r w:rsidR="00F24F6A" w:rsidRPr="007571A4">
              <w:rPr>
                <w:sz w:val="22"/>
                <w:szCs w:val="22"/>
                <w:lang w:val="en-US"/>
              </w:rPr>
              <w:t>”</w:t>
            </w:r>
            <w:r w:rsidRPr="007571A4">
              <w:rPr>
                <w:sz w:val="22"/>
                <w:szCs w:val="22"/>
                <w:lang w:val="en-US"/>
              </w:rPr>
              <w:t xml:space="preserve">, substitute </w:t>
            </w:r>
            <w:r w:rsidR="00F24F6A" w:rsidRPr="007571A4">
              <w:rPr>
                <w:sz w:val="22"/>
                <w:szCs w:val="22"/>
                <w:lang w:val="en-US"/>
              </w:rPr>
              <w:t>“</w:t>
            </w:r>
            <w:r w:rsidRPr="007571A4">
              <w:rPr>
                <w:sz w:val="22"/>
                <w:szCs w:val="22"/>
                <w:lang w:val="en-US"/>
              </w:rPr>
              <w:t>Federal Court of Australia</w:t>
            </w:r>
            <w:r w:rsidR="00F24F6A" w:rsidRPr="007571A4">
              <w:rPr>
                <w:sz w:val="22"/>
                <w:szCs w:val="22"/>
                <w:lang w:val="en-US"/>
              </w:rPr>
              <w:t>”</w:t>
            </w:r>
            <w:r w:rsidR="009A1CD6">
              <w:rPr>
                <w:sz w:val="22"/>
                <w:szCs w:val="22"/>
                <w:lang w:val="en-US"/>
              </w:rPr>
              <w:t>.</w:t>
            </w:r>
          </w:p>
        </w:tc>
      </w:tr>
    </w:tbl>
    <w:p w14:paraId="6E6C0360" w14:textId="70C6C003" w:rsidR="002320D5" w:rsidRPr="00F24F6A" w:rsidRDefault="001A666C" w:rsidP="008F73BC">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60288" behindDoc="0" locked="0" layoutInCell="1" allowOverlap="1" wp14:anchorId="5B793193" wp14:editId="536FCAA3">
                <wp:simplePos x="0" y="0"/>
                <wp:positionH relativeFrom="column">
                  <wp:posOffset>-22860</wp:posOffset>
                </wp:positionH>
                <wp:positionV relativeFrom="paragraph">
                  <wp:posOffset>243628</wp:posOffset>
                </wp:positionV>
                <wp:extent cx="6273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6273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9.2pt" to="492.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" strokecolor="black [3040]" strokeweight="1.5pt"/>
            </w:pict>
          </mc:Fallback>
        </mc:AlternateContent>
      </w:r>
    </w:p>
    <w:sectPr w:rsidR="002320D5" w:rsidRPr="00F24F6A" w:rsidSect="001F5F84">
      <w:headerReference w:type="even" r:id="rId7"/>
      <w:headerReference w:type="default" r:id="rId8"/>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749BD" w14:textId="77777777" w:rsidR="006B1C6F" w:rsidRDefault="006B1C6F" w:rsidP="001F5F84">
      <w:r>
        <w:separator/>
      </w:r>
    </w:p>
  </w:endnote>
  <w:endnote w:type="continuationSeparator" w:id="0">
    <w:p w14:paraId="7AB61945" w14:textId="77777777" w:rsidR="006B1C6F" w:rsidRDefault="006B1C6F" w:rsidP="001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6D157" w14:textId="77777777" w:rsidR="006B1C6F" w:rsidRDefault="006B1C6F" w:rsidP="001F5F84">
      <w:r>
        <w:separator/>
      </w:r>
    </w:p>
  </w:footnote>
  <w:footnote w:type="continuationSeparator" w:id="0">
    <w:p w14:paraId="61EF4015" w14:textId="77777777" w:rsidR="006B1C6F" w:rsidRDefault="006B1C6F" w:rsidP="001F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8772C" w14:textId="77777777" w:rsidR="001F5F84" w:rsidRPr="00820D21" w:rsidRDefault="001F5F84" w:rsidP="00820D21">
    <w:pPr>
      <w:widowControl/>
      <w:tabs>
        <w:tab w:val="left" w:pos="2970"/>
        <w:tab w:val="left" w:pos="9270"/>
      </w:tabs>
      <w:rPr>
        <w:i/>
        <w:iCs/>
        <w:sz w:val="22"/>
        <w:szCs w:val="22"/>
      </w:rPr>
    </w:pPr>
    <w:r w:rsidRPr="00820D21">
      <w:rPr>
        <w:sz w:val="22"/>
        <w:szCs w:val="22"/>
      </w:rPr>
      <w:t xml:space="preserve">No. </w:t>
    </w:r>
    <w:r w:rsidRPr="00820D21">
      <w:rPr>
        <w:bCs/>
        <w:sz w:val="22"/>
        <w:szCs w:val="22"/>
      </w:rPr>
      <w:t>157</w:t>
    </w:r>
    <w:r w:rsidR="00820D21" w:rsidRPr="00820D21">
      <w:rPr>
        <w:b/>
        <w:bCs/>
        <w:sz w:val="22"/>
        <w:szCs w:val="22"/>
      </w:rPr>
      <w:tab/>
    </w:r>
    <w:r w:rsidRPr="00820D21">
      <w:rPr>
        <w:i/>
        <w:iCs/>
        <w:sz w:val="22"/>
        <w:szCs w:val="22"/>
      </w:rPr>
      <w:t>Federal Court of Australia (Consequential</w:t>
    </w:r>
    <w:r w:rsidR="00820D21" w:rsidRPr="00820D21">
      <w:rPr>
        <w:i/>
        <w:iCs/>
        <w:sz w:val="22"/>
        <w:szCs w:val="22"/>
      </w:rPr>
      <w:tab/>
    </w:r>
    <w:r w:rsidR="00820D21" w:rsidRPr="00820D21">
      <w:rPr>
        <w:rFonts w:cs="Arial"/>
        <w:sz w:val="22"/>
      </w:rPr>
      <w:t>1976</w:t>
    </w:r>
  </w:p>
  <w:p w14:paraId="73208B1A" w14:textId="77777777" w:rsidR="001F5F84" w:rsidRPr="00820D21" w:rsidRDefault="00820D21" w:rsidP="00820D21">
    <w:pPr>
      <w:widowControl/>
      <w:jc w:val="center"/>
      <w:rPr>
        <w:i/>
        <w:iCs/>
        <w:sz w:val="22"/>
        <w:szCs w:val="22"/>
      </w:rPr>
    </w:pPr>
    <w:r w:rsidRPr="00820D21">
      <w:rPr>
        <w:i/>
        <w:iCs/>
        <w:sz w:val="22"/>
        <w:szCs w:val="22"/>
      </w:rPr>
      <w:t>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E2BF" w14:textId="77777777" w:rsidR="00D14DFF" w:rsidRPr="00820D21" w:rsidRDefault="00D14DFF" w:rsidP="00D14DFF">
    <w:pPr>
      <w:widowControl/>
      <w:tabs>
        <w:tab w:val="left" w:pos="2970"/>
        <w:tab w:val="left" w:pos="9000"/>
      </w:tabs>
      <w:rPr>
        <w:i/>
        <w:iCs/>
        <w:sz w:val="22"/>
        <w:szCs w:val="22"/>
      </w:rPr>
    </w:pPr>
    <w:r w:rsidRPr="00820D21">
      <w:rPr>
        <w:rFonts w:cs="Arial"/>
        <w:sz w:val="22"/>
      </w:rPr>
      <w:t>1976</w:t>
    </w:r>
    <w:r w:rsidRPr="00820D21">
      <w:rPr>
        <w:b/>
        <w:bCs/>
        <w:sz w:val="22"/>
        <w:szCs w:val="22"/>
      </w:rPr>
      <w:tab/>
    </w:r>
    <w:r w:rsidRPr="00820D21">
      <w:rPr>
        <w:i/>
        <w:iCs/>
        <w:sz w:val="22"/>
        <w:szCs w:val="22"/>
      </w:rPr>
      <w:t>Federal Court of Australia (Consequential</w:t>
    </w:r>
    <w:r w:rsidRPr="00820D21">
      <w:rPr>
        <w:i/>
        <w:iCs/>
        <w:sz w:val="22"/>
        <w:szCs w:val="22"/>
      </w:rPr>
      <w:tab/>
    </w:r>
    <w:r w:rsidRPr="00820D21">
      <w:rPr>
        <w:sz w:val="22"/>
        <w:szCs w:val="22"/>
      </w:rPr>
      <w:t xml:space="preserve">No. </w:t>
    </w:r>
    <w:r w:rsidRPr="00820D21">
      <w:rPr>
        <w:bCs/>
        <w:sz w:val="22"/>
        <w:szCs w:val="22"/>
      </w:rPr>
      <w:t>157</w:t>
    </w:r>
  </w:p>
  <w:p w14:paraId="2699787A" w14:textId="77777777" w:rsidR="001F5F84" w:rsidRDefault="00D14DFF" w:rsidP="00D14DFF">
    <w:pPr>
      <w:pStyle w:val="Header"/>
      <w:jc w:val="center"/>
    </w:pPr>
    <w:r w:rsidRPr="00820D21">
      <w:rPr>
        <w:i/>
        <w:iCs/>
        <w:sz w:val="22"/>
        <w:szCs w:val="22"/>
      </w:rPr>
      <w:t>Provisions)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54"/>
    <w:rsid w:val="000026B8"/>
    <w:rsid w:val="0001402E"/>
    <w:rsid w:val="000420A1"/>
    <w:rsid w:val="000801F8"/>
    <w:rsid w:val="00090323"/>
    <w:rsid w:val="000B0F52"/>
    <w:rsid w:val="000C33D8"/>
    <w:rsid w:val="00101DA6"/>
    <w:rsid w:val="001556DB"/>
    <w:rsid w:val="00176711"/>
    <w:rsid w:val="00192256"/>
    <w:rsid w:val="00196F40"/>
    <w:rsid w:val="001A1960"/>
    <w:rsid w:val="001A666C"/>
    <w:rsid w:val="001B4CCD"/>
    <w:rsid w:val="001E670B"/>
    <w:rsid w:val="001F5F84"/>
    <w:rsid w:val="002320D5"/>
    <w:rsid w:val="0028535A"/>
    <w:rsid w:val="002A73F2"/>
    <w:rsid w:val="002F1163"/>
    <w:rsid w:val="002F6A6A"/>
    <w:rsid w:val="00331BF3"/>
    <w:rsid w:val="003455EB"/>
    <w:rsid w:val="00354B4D"/>
    <w:rsid w:val="00370C7A"/>
    <w:rsid w:val="003920AF"/>
    <w:rsid w:val="003923E8"/>
    <w:rsid w:val="003C70FE"/>
    <w:rsid w:val="003D6146"/>
    <w:rsid w:val="00400CCF"/>
    <w:rsid w:val="00405353"/>
    <w:rsid w:val="00426AB2"/>
    <w:rsid w:val="00436505"/>
    <w:rsid w:val="004462FD"/>
    <w:rsid w:val="00473FD1"/>
    <w:rsid w:val="004800C6"/>
    <w:rsid w:val="0048048C"/>
    <w:rsid w:val="00486699"/>
    <w:rsid w:val="004E0403"/>
    <w:rsid w:val="0051144B"/>
    <w:rsid w:val="005164FC"/>
    <w:rsid w:val="005311EF"/>
    <w:rsid w:val="00531F33"/>
    <w:rsid w:val="0055247E"/>
    <w:rsid w:val="00574773"/>
    <w:rsid w:val="005913D3"/>
    <w:rsid w:val="0062006C"/>
    <w:rsid w:val="0063099E"/>
    <w:rsid w:val="00633988"/>
    <w:rsid w:val="006408F7"/>
    <w:rsid w:val="00651088"/>
    <w:rsid w:val="0065661F"/>
    <w:rsid w:val="00683F2A"/>
    <w:rsid w:val="006A0A2E"/>
    <w:rsid w:val="006B1C6F"/>
    <w:rsid w:val="006B7C35"/>
    <w:rsid w:val="00714742"/>
    <w:rsid w:val="007571A4"/>
    <w:rsid w:val="007F728B"/>
    <w:rsid w:val="00820D21"/>
    <w:rsid w:val="008257C8"/>
    <w:rsid w:val="0083143D"/>
    <w:rsid w:val="008A6C61"/>
    <w:rsid w:val="008B01E8"/>
    <w:rsid w:val="008D7CA8"/>
    <w:rsid w:val="008F3505"/>
    <w:rsid w:val="008F73BC"/>
    <w:rsid w:val="009243A8"/>
    <w:rsid w:val="009A1CD6"/>
    <w:rsid w:val="009B7D5F"/>
    <w:rsid w:val="009C228F"/>
    <w:rsid w:val="009D4B55"/>
    <w:rsid w:val="009D5D54"/>
    <w:rsid w:val="009E3C44"/>
    <w:rsid w:val="009E4AAD"/>
    <w:rsid w:val="00A27959"/>
    <w:rsid w:val="00A519AD"/>
    <w:rsid w:val="00AA58DB"/>
    <w:rsid w:val="00AB0F67"/>
    <w:rsid w:val="00AC650C"/>
    <w:rsid w:val="00AE7F6A"/>
    <w:rsid w:val="00B225DF"/>
    <w:rsid w:val="00B42D41"/>
    <w:rsid w:val="00B4417A"/>
    <w:rsid w:val="00B7611E"/>
    <w:rsid w:val="00BD7917"/>
    <w:rsid w:val="00BD7C0C"/>
    <w:rsid w:val="00C422E5"/>
    <w:rsid w:val="00C81809"/>
    <w:rsid w:val="00D14DFF"/>
    <w:rsid w:val="00D20208"/>
    <w:rsid w:val="00D2127B"/>
    <w:rsid w:val="00D26811"/>
    <w:rsid w:val="00D71B68"/>
    <w:rsid w:val="00DA2860"/>
    <w:rsid w:val="00DC73D1"/>
    <w:rsid w:val="00E11310"/>
    <w:rsid w:val="00E3237B"/>
    <w:rsid w:val="00E378A8"/>
    <w:rsid w:val="00E60FAC"/>
    <w:rsid w:val="00E81F85"/>
    <w:rsid w:val="00F0043A"/>
    <w:rsid w:val="00F24F6A"/>
    <w:rsid w:val="00F8179B"/>
    <w:rsid w:val="00FE0066"/>
    <w:rsid w:val="00FF5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E5805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84"/>
    <w:pPr>
      <w:tabs>
        <w:tab w:val="center" w:pos="4513"/>
        <w:tab w:val="right" w:pos="9026"/>
      </w:tabs>
    </w:pPr>
  </w:style>
  <w:style w:type="character" w:customStyle="1" w:styleId="HeaderChar">
    <w:name w:val="Header Char"/>
    <w:basedOn w:val="DefaultParagraphFont"/>
    <w:link w:val="Header"/>
    <w:uiPriority w:val="99"/>
    <w:rsid w:val="001F5F84"/>
    <w:rPr>
      <w:rFonts w:ascii="Times New Roman" w:hAnsi="Times New Roman" w:cs="Times New Roman"/>
      <w:sz w:val="20"/>
      <w:szCs w:val="20"/>
    </w:rPr>
  </w:style>
  <w:style w:type="paragraph" w:styleId="Footer">
    <w:name w:val="footer"/>
    <w:basedOn w:val="Normal"/>
    <w:link w:val="FooterChar"/>
    <w:uiPriority w:val="99"/>
    <w:unhideWhenUsed/>
    <w:rsid w:val="001F5F84"/>
    <w:pPr>
      <w:tabs>
        <w:tab w:val="center" w:pos="4513"/>
        <w:tab w:val="right" w:pos="9026"/>
      </w:tabs>
    </w:pPr>
  </w:style>
  <w:style w:type="character" w:customStyle="1" w:styleId="FooterChar">
    <w:name w:val="Footer Char"/>
    <w:basedOn w:val="DefaultParagraphFont"/>
    <w:link w:val="Footer"/>
    <w:uiPriority w:val="99"/>
    <w:rsid w:val="001F5F8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5F84"/>
    <w:rPr>
      <w:rFonts w:ascii="Tahoma" w:hAnsi="Tahoma" w:cs="Tahoma"/>
      <w:sz w:val="16"/>
      <w:szCs w:val="16"/>
    </w:rPr>
  </w:style>
  <w:style w:type="character" w:customStyle="1" w:styleId="BalloonTextChar">
    <w:name w:val="Balloon Text Char"/>
    <w:basedOn w:val="DefaultParagraphFont"/>
    <w:link w:val="BalloonText"/>
    <w:uiPriority w:val="99"/>
    <w:semiHidden/>
    <w:rsid w:val="001F5F84"/>
    <w:rPr>
      <w:rFonts w:ascii="Tahoma" w:hAnsi="Tahoma" w:cs="Tahoma"/>
      <w:sz w:val="16"/>
      <w:szCs w:val="16"/>
    </w:rPr>
  </w:style>
  <w:style w:type="character" w:styleId="CommentReference">
    <w:name w:val="annotation reference"/>
    <w:basedOn w:val="DefaultParagraphFont"/>
    <w:uiPriority w:val="99"/>
    <w:semiHidden/>
    <w:unhideWhenUsed/>
    <w:rsid w:val="00B4417A"/>
    <w:rPr>
      <w:sz w:val="16"/>
      <w:szCs w:val="16"/>
    </w:rPr>
  </w:style>
  <w:style w:type="paragraph" w:styleId="CommentText">
    <w:name w:val="annotation text"/>
    <w:basedOn w:val="Normal"/>
    <w:link w:val="CommentTextChar"/>
    <w:uiPriority w:val="99"/>
    <w:semiHidden/>
    <w:unhideWhenUsed/>
    <w:rsid w:val="00B4417A"/>
  </w:style>
  <w:style w:type="character" w:customStyle="1" w:styleId="CommentTextChar">
    <w:name w:val="Comment Text Char"/>
    <w:basedOn w:val="DefaultParagraphFont"/>
    <w:link w:val="CommentText"/>
    <w:uiPriority w:val="99"/>
    <w:semiHidden/>
    <w:rsid w:val="00B441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17A"/>
    <w:rPr>
      <w:b/>
      <w:bCs/>
    </w:rPr>
  </w:style>
  <w:style w:type="character" w:customStyle="1" w:styleId="CommentSubjectChar">
    <w:name w:val="Comment Subject Char"/>
    <w:basedOn w:val="CommentTextChar"/>
    <w:link w:val="CommentSubject"/>
    <w:uiPriority w:val="99"/>
    <w:semiHidden/>
    <w:rsid w:val="00B4417A"/>
    <w:rPr>
      <w:rFonts w:ascii="Times New Roman" w:hAnsi="Times New Roman" w:cs="Times New Roman"/>
      <w:b/>
      <w:bCs/>
      <w:sz w:val="20"/>
      <w:szCs w:val="20"/>
    </w:rPr>
  </w:style>
  <w:style w:type="paragraph" w:styleId="Revision">
    <w:name w:val="Revision"/>
    <w:hidden/>
    <w:uiPriority w:val="99"/>
    <w:semiHidden/>
    <w:rsid w:val="009A1CD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84"/>
    <w:pPr>
      <w:tabs>
        <w:tab w:val="center" w:pos="4513"/>
        <w:tab w:val="right" w:pos="9026"/>
      </w:tabs>
    </w:pPr>
  </w:style>
  <w:style w:type="character" w:customStyle="1" w:styleId="HeaderChar">
    <w:name w:val="Header Char"/>
    <w:basedOn w:val="DefaultParagraphFont"/>
    <w:link w:val="Header"/>
    <w:uiPriority w:val="99"/>
    <w:rsid w:val="001F5F84"/>
    <w:rPr>
      <w:rFonts w:ascii="Times New Roman" w:hAnsi="Times New Roman" w:cs="Times New Roman"/>
      <w:sz w:val="20"/>
      <w:szCs w:val="20"/>
    </w:rPr>
  </w:style>
  <w:style w:type="paragraph" w:styleId="Footer">
    <w:name w:val="footer"/>
    <w:basedOn w:val="Normal"/>
    <w:link w:val="FooterChar"/>
    <w:uiPriority w:val="99"/>
    <w:unhideWhenUsed/>
    <w:rsid w:val="001F5F84"/>
    <w:pPr>
      <w:tabs>
        <w:tab w:val="center" w:pos="4513"/>
        <w:tab w:val="right" w:pos="9026"/>
      </w:tabs>
    </w:pPr>
  </w:style>
  <w:style w:type="character" w:customStyle="1" w:styleId="FooterChar">
    <w:name w:val="Footer Char"/>
    <w:basedOn w:val="DefaultParagraphFont"/>
    <w:link w:val="Footer"/>
    <w:uiPriority w:val="99"/>
    <w:rsid w:val="001F5F8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5F84"/>
    <w:rPr>
      <w:rFonts w:ascii="Tahoma" w:hAnsi="Tahoma" w:cs="Tahoma"/>
      <w:sz w:val="16"/>
      <w:szCs w:val="16"/>
    </w:rPr>
  </w:style>
  <w:style w:type="character" w:customStyle="1" w:styleId="BalloonTextChar">
    <w:name w:val="Balloon Text Char"/>
    <w:basedOn w:val="DefaultParagraphFont"/>
    <w:link w:val="BalloonText"/>
    <w:uiPriority w:val="99"/>
    <w:semiHidden/>
    <w:rsid w:val="001F5F84"/>
    <w:rPr>
      <w:rFonts w:ascii="Tahoma" w:hAnsi="Tahoma" w:cs="Tahoma"/>
      <w:sz w:val="16"/>
      <w:szCs w:val="16"/>
    </w:rPr>
  </w:style>
  <w:style w:type="character" w:styleId="CommentReference">
    <w:name w:val="annotation reference"/>
    <w:basedOn w:val="DefaultParagraphFont"/>
    <w:uiPriority w:val="99"/>
    <w:semiHidden/>
    <w:unhideWhenUsed/>
    <w:rsid w:val="00B4417A"/>
    <w:rPr>
      <w:sz w:val="16"/>
      <w:szCs w:val="16"/>
    </w:rPr>
  </w:style>
  <w:style w:type="paragraph" w:styleId="CommentText">
    <w:name w:val="annotation text"/>
    <w:basedOn w:val="Normal"/>
    <w:link w:val="CommentTextChar"/>
    <w:uiPriority w:val="99"/>
    <w:semiHidden/>
    <w:unhideWhenUsed/>
    <w:rsid w:val="00B4417A"/>
  </w:style>
  <w:style w:type="character" w:customStyle="1" w:styleId="CommentTextChar">
    <w:name w:val="Comment Text Char"/>
    <w:basedOn w:val="DefaultParagraphFont"/>
    <w:link w:val="CommentText"/>
    <w:uiPriority w:val="99"/>
    <w:semiHidden/>
    <w:rsid w:val="00B441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17A"/>
    <w:rPr>
      <w:b/>
      <w:bCs/>
    </w:rPr>
  </w:style>
  <w:style w:type="character" w:customStyle="1" w:styleId="CommentSubjectChar">
    <w:name w:val="Comment Subject Char"/>
    <w:basedOn w:val="CommentTextChar"/>
    <w:link w:val="CommentSubject"/>
    <w:uiPriority w:val="99"/>
    <w:semiHidden/>
    <w:rsid w:val="00B4417A"/>
    <w:rPr>
      <w:rFonts w:ascii="Times New Roman" w:hAnsi="Times New Roman" w:cs="Times New Roman"/>
      <w:b/>
      <w:bCs/>
      <w:sz w:val="20"/>
      <w:szCs w:val="20"/>
    </w:rPr>
  </w:style>
  <w:style w:type="paragraph" w:styleId="Revision">
    <w:name w:val="Revision"/>
    <w:hidden/>
    <w:uiPriority w:val="99"/>
    <w:semiHidden/>
    <w:rsid w:val="009A1CD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769</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1</cp:revision>
  <dcterms:created xsi:type="dcterms:W3CDTF">2018-10-02T02:28:00Z</dcterms:created>
  <dcterms:modified xsi:type="dcterms:W3CDTF">2019-08-15T20:24:00Z</dcterms:modified>
</cp:coreProperties>
</file>