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D0C76" w14:textId="77777777" w:rsidR="00D426C1" w:rsidRPr="00D77A43" w:rsidRDefault="0092571C" w:rsidP="0058786C">
      <w:pPr>
        <w:shd w:val="clear" w:color="auto" w:fill="FFFFFF"/>
        <w:spacing w:before="240"/>
        <w:ind w:left="1440" w:right="1440"/>
        <w:jc w:val="center"/>
        <w:rPr>
          <w:b/>
          <w:sz w:val="32"/>
          <w:szCs w:val="22"/>
        </w:rPr>
      </w:pPr>
      <w:r w:rsidRPr="00D77A43">
        <w:rPr>
          <w:b/>
          <w:bCs/>
          <w:sz w:val="32"/>
          <w:szCs w:val="22"/>
        </w:rPr>
        <w:t>REMUNERATION AND ALLOWANCES AMENDMENT ACT (No. 2) 1976</w:t>
      </w:r>
    </w:p>
    <w:p w14:paraId="7803EA19" w14:textId="77777777" w:rsidR="00D426C1" w:rsidRPr="00D77A43" w:rsidRDefault="0092571C" w:rsidP="0058786C">
      <w:pPr>
        <w:shd w:val="clear" w:color="auto" w:fill="FFFFFF"/>
        <w:spacing w:before="120" w:after="360"/>
        <w:jc w:val="center"/>
        <w:rPr>
          <w:sz w:val="28"/>
          <w:szCs w:val="22"/>
        </w:rPr>
      </w:pPr>
      <w:r w:rsidRPr="00D77A43">
        <w:rPr>
          <w:b/>
          <w:bCs/>
          <w:sz w:val="28"/>
          <w:szCs w:val="22"/>
        </w:rPr>
        <w:t>No. 170 of 1976</w:t>
      </w:r>
    </w:p>
    <w:p w14:paraId="4938BC1D" w14:textId="77777777" w:rsidR="00D426C1" w:rsidRPr="00D77A43" w:rsidRDefault="0092571C" w:rsidP="0058786C">
      <w:pPr>
        <w:shd w:val="clear" w:color="auto" w:fill="FFFFFF"/>
        <w:spacing w:after="360"/>
        <w:jc w:val="both"/>
        <w:rPr>
          <w:sz w:val="24"/>
          <w:szCs w:val="22"/>
        </w:rPr>
      </w:pPr>
      <w:r w:rsidRPr="00D77A43">
        <w:rPr>
          <w:sz w:val="24"/>
          <w:szCs w:val="22"/>
        </w:rPr>
        <w:t>An Act relating to the Remuneration and Allowances payable to Justices of the High Court, Judges of the Courts created by the Parliament and the holders of certain other Offices, and for purposes connected therewith.</w:t>
      </w:r>
    </w:p>
    <w:p w14:paraId="20958844" w14:textId="77777777" w:rsidR="00D426C1" w:rsidRPr="00D77A43" w:rsidRDefault="0092571C" w:rsidP="0058786C">
      <w:pPr>
        <w:shd w:val="clear" w:color="auto" w:fill="FFFFFF"/>
        <w:spacing w:after="60"/>
        <w:ind w:firstLine="288"/>
        <w:jc w:val="both"/>
        <w:rPr>
          <w:sz w:val="24"/>
          <w:szCs w:val="22"/>
        </w:rPr>
      </w:pPr>
      <w:r w:rsidRPr="00D77A43">
        <w:rPr>
          <w:sz w:val="24"/>
          <w:szCs w:val="22"/>
        </w:rPr>
        <w:t>BE IT ENACTED by the Queen, and the Senate and House of Representatives of the Commonwealth of Australia, as follows:</w:t>
      </w:r>
      <w:r w:rsidRPr="00D77A43">
        <w:rPr>
          <w:rFonts w:eastAsia="Times New Roman"/>
          <w:sz w:val="24"/>
          <w:szCs w:val="22"/>
        </w:rPr>
        <w:t>—</w:t>
      </w:r>
    </w:p>
    <w:p w14:paraId="2399697A" w14:textId="77777777" w:rsidR="00D426C1" w:rsidRPr="00D77A43" w:rsidRDefault="0092571C" w:rsidP="0058786C">
      <w:pPr>
        <w:shd w:val="clear" w:color="auto" w:fill="FFFFFF"/>
        <w:spacing w:before="120" w:after="60"/>
        <w:jc w:val="both"/>
        <w:rPr>
          <w:b/>
          <w:szCs w:val="22"/>
        </w:rPr>
      </w:pPr>
      <w:r w:rsidRPr="00D77A43">
        <w:rPr>
          <w:b/>
          <w:szCs w:val="22"/>
        </w:rPr>
        <w:t>Short title, &amp;c.</w:t>
      </w:r>
    </w:p>
    <w:p w14:paraId="4F703FD1" w14:textId="4D1E4E47" w:rsidR="00D426C1" w:rsidRPr="00D77A43" w:rsidRDefault="0092571C" w:rsidP="0058786C">
      <w:pPr>
        <w:shd w:val="clear" w:color="auto" w:fill="FFFFFF"/>
        <w:spacing w:after="60"/>
        <w:ind w:firstLine="288"/>
        <w:jc w:val="both"/>
        <w:rPr>
          <w:sz w:val="24"/>
          <w:szCs w:val="22"/>
        </w:rPr>
      </w:pPr>
      <w:r w:rsidRPr="00D77A43">
        <w:rPr>
          <w:b/>
          <w:bCs/>
          <w:sz w:val="24"/>
          <w:szCs w:val="22"/>
        </w:rPr>
        <w:t>1.</w:t>
      </w:r>
      <w:r w:rsidRPr="00D77A43">
        <w:rPr>
          <w:sz w:val="24"/>
          <w:szCs w:val="22"/>
        </w:rPr>
        <w:t xml:space="preserve"> (1) This Act may be cited as the </w:t>
      </w:r>
      <w:r w:rsidRPr="00D77A43">
        <w:rPr>
          <w:i/>
          <w:iCs/>
          <w:sz w:val="24"/>
          <w:szCs w:val="22"/>
        </w:rPr>
        <w:t xml:space="preserve">Remuneration and Allowances Amendment Act </w:t>
      </w:r>
      <w:r w:rsidR="002F5114" w:rsidRPr="00D77A43">
        <w:rPr>
          <w:iCs/>
          <w:sz w:val="24"/>
          <w:szCs w:val="22"/>
        </w:rPr>
        <w:t>(</w:t>
      </w:r>
      <w:r w:rsidRPr="00D77A43">
        <w:rPr>
          <w:i/>
          <w:iCs/>
          <w:sz w:val="24"/>
          <w:szCs w:val="22"/>
        </w:rPr>
        <w:t xml:space="preserve">No. </w:t>
      </w:r>
      <w:r w:rsidRPr="00D77A43">
        <w:rPr>
          <w:sz w:val="24"/>
          <w:szCs w:val="22"/>
        </w:rPr>
        <w:t>2) 1976.</w:t>
      </w:r>
    </w:p>
    <w:p w14:paraId="204D0E3E" w14:textId="39861FEE" w:rsidR="00D426C1" w:rsidRPr="00D77A43" w:rsidRDefault="0092571C" w:rsidP="0058786C">
      <w:pPr>
        <w:shd w:val="clear" w:color="auto" w:fill="FFFFFF"/>
        <w:spacing w:after="60"/>
        <w:ind w:firstLine="288"/>
        <w:jc w:val="both"/>
        <w:rPr>
          <w:sz w:val="24"/>
          <w:szCs w:val="22"/>
        </w:rPr>
      </w:pPr>
      <w:r w:rsidRPr="00D77A43">
        <w:rPr>
          <w:sz w:val="24"/>
          <w:szCs w:val="22"/>
        </w:rPr>
        <w:t xml:space="preserve">(2) The </w:t>
      </w:r>
      <w:r w:rsidRPr="00D77A43">
        <w:rPr>
          <w:i/>
          <w:iCs/>
          <w:sz w:val="24"/>
          <w:szCs w:val="22"/>
        </w:rPr>
        <w:t xml:space="preserve">Remuneration and Allowances Act </w:t>
      </w:r>
      <w:r w:rsidRPr="00D77A43">
        <w:rPr>
          <w:sz w:val="24"/>
          <w:szCs w:val="22"/>
        </w:rPr>
        <w:t>1973 is in this Act referred to as the Principal Act.</w:t>
      </w:r>
    </w:p>
    <w:p w14:paraId="472827C8" w14:textId="77777777" w:rsidR="00D426C1" w:rsidRPr="00D77A43" w:rsidRDefault="0092571C" w:rsidP="0058786C">
      <w:pPr>
        <w:shd w:val="clear" w:color="auto" w:fill="FFFFFF"/>
        <w:spacing w:before="120" w:after="60"/>
        <w:jc w:val="both"/>
        <w:rPr>
          <w:b/>
          <w:szCs w:val="22"/>
        </w:rPr>
      </w:pPr>
      <w:r w:rsidRPr="00D77A43">
        <w:rPr>
          <w:b/>
          <w:szCs w:val="22"/>
        </w:rPr>
        <w:t>Commencement.</w:t>
      </w:r>
    </w:p>
    <w:p w14:paraId="6A8AF387" w14:textId="77777777" w:rsidR="00D426C1" w:rsidRPr="00D77A43" w:rsidRDefault="0092571C" w:rsidP="0058786C">
      <w:pPr>
        <w:shd w:val="clear" w:color="auto" w:fill="FFFFFF"/>
        <w:spacing w:after="60"/>
        <w:ind w:firstLine="288"/>
        <w:jc w:val="both"/>
        <w:rPr>
          <w:sz w:val="24"/>
          <w:szCs w:val="22"/>
        </w:rPr>
      </w:pPr>
      <w:r w:rsidRPr="00D77A43">
        <w:rPr>
          <w:b/>
          <w:bCs/>
          <w:sz w:val="24"/>
          <w:szCs w:val="22"/>
        </w:rPr>
        <w:t>2.</w:t>
      </w:r>
      <w:r w:rsidRPr="00D77A43">
        <w:rPr>
          <w:sz w:val="24"/>
          <w:szCs w:val="22"/>
        </w:rPr>
        <w:t xml:space="preserve"> (1) Subject to sub-section (2), this Act shall be deemed to have come into operation on 1 June 1976.</w:t>
      </w:r>
    </w:p>
    <w:p w14:paraId="6FAD7402" w14:textId="1EADE744" w:rsidR="00D426C1" w:rsidRPr="00D77A43" w:rsidRDefault="0092571C" w:rsidP="0058786C">
      <w:pPr>
        <w:shd w:val="clear" w:color="auto" w:fill="FFFFFF"/>
        <w:spacing w:after="60"/>
        <w:ind w:firstLine="288"/>
        <w:jc w:val="both"/>
        <w:rPr>
          <w:sz w:val="24"/>
          <w:szCs w:val="22"/>
        </w:rPr>
      </w:pPr>
      <w:r w:rsidRPr="00D77A43">
        <w:rPr>
          <w:sz w:val="24"/>
          <w:szCs w:val="22"/>
        </w:rPr>
        <w:t xml:space="preserve">(2) </w:t>
      </w:r>
      <w:bookmarkStart w:id="0" w:name="_GoBack"/>
      <w:r w:rsidRPr="00D77A43">
        <w:rPr>
          <w:sz w:val="24"/>
          <w:szCs w:val="22"/>
        </w:rPr>
        <w:t>Sections 4 and 6 shall come into operation on the day on which this Act receives the Royal Assent.</w:t>
      </w:r>
      <w:bookmarkEnd w:id="0"/>
    </w:p>
    <w:p w14:paraId="6C485521" w14:textId="77777777" w:rsidR="00D426C1" w:rsidRPr="00D77A43" w:rsidRDefault="0092571C" w:rsidP="0058786C">
      <w:pPr>
        <w:shd w:val="clear" w:color="auto" w:fill="FFFFFF"/>
        <w:spacing w:after="60"/>
        <w:ind w:firstLine="288"/>
        <w:jc w:val="both"/>
        <w:rPr>
          <w:sz w:val="24"/>
          <w:szCs w:val="22"/>
        </w:rPr>
      </w:pPr>
      <w:r w:rsidRPr="00D77A43">
        <w:rPr>
          <w:b/>
          <w:sz w:val="24"/>
          <w:szCs w:val="22"/>
        </w:rPr>
        <w:t>3.</w:t>
      </w:r>
      <w:r w:rsidRPr="00D77A43">
        <w:rPr>
          <w:sz w:val="24"/>
          <w:szCs w:val="22"/>
        </w:rPr>
        <w:t xml:space="preserve"> Sections 13 and 14 of the Principal Act are repealed and the following section is substituted: </w:t>
      </w:r>
      <w:r w:rsidRPr="00D77A43">
        <w:rPr>
          <w:rFonts w:eastAsia="Times New Roman"/>
          <w:sz w:val="24"/>
          <w:szCs w:val="22"/>
        </w:rPr>
        <w:t>—</w:t>
      </w:r>
    </w:p>
    <w:p w14:paraId="2DF6BC1D" w14:textId="77777777" w:rsidR="00D426C1" w:rsidRPr="00D77A43" w:rsidRDefault="0092571C" w:rsidP="0058786C">
      <w:pPr>
        <w:shd w:val="clear" w:color="auto" w:fill="FFFFFF"/>
        <w:spacing w:before="120" w:after="60"/>
        <w:jc w:val="both"/>
        <w:rPr>
          <w:b/>
          <w:szCs w:val="22"/>
        </w:rPr>
      </w:pPr>
      <w:r w:rsidRPr="00D77A43">
        <w:rPr>
          <w:b/>
          <w:szCs w:val="22"/>
        </w:rPr>
        <w:t>Salaries and allowances of holders of judicial and certain other offices.</w:t>
      </w:r>
    </w:p>
    <w:p w14:paraId="6D9B7861" w14:textId="77777777" w:rsidR="00D426C1" w:rsidRPr="00D77A43" w:rsidRDefault="00FD3F73" w:rsidP="0058786C">
      <w:pPr>
        <w:shd w:val="clear" w:color="auto" w:fill="FFFFFF"/>
        <w:spacing w:after="60"/>
        <w:ind w:firstLine="288"/>
        <w:jc w:val="both"/>
        <w:rPr>
          <w:sz w:val="24"/>
          <w:szCs w:val="22"/>
        </w:rPr>
      </w:pPr>
      <w:r w:rsidRPr="00D77A43">
        <w:rPr>
          <w:sz w:val="24"/>
          <w:szCs w:val="22"/>
        </w:rPr>
        <w:t>“</w:t>
      </w:r>
      <w:r w:rsidR="0092571C" w:rsidRPr="00D77A43">
        <w:rPr>
          <w:sz w:val="24"/>
          <w:szCs w:val="22"/>
        </w:rPr>
        <w:t>13. (1) Notwithstanding anything in any Act passed before the commencement of this section</w:t>
      </w:r>
      <w:r w:rsidR="0092571C" w:rsidRPr="00D77A43">
        <w:rPr>
          <w:rFonts w:eastAsia="Times New Roman"/>
          <w:sz w:val="24"/>
          <w:szCs w:val="22"/>
        </w:rPr>
        <w:t>—</w:t>
      </w:r>
    </w:p>
    <w:p w14:paraId="006604E6" w14:textId="77777777" w:rsidR="00D426C1" w:rsidRPr="00D77A43" w:rsidRDefault="0092571C" w:rsidP="0058786C">
      <w:pPr>
        <w:shd w:val="clear" w:color="auto" w:fill="FFFFFF"/>
        <w:spacing w:before="60" w:after="60"/>
        <w:ind w:left="648" w:hanging="288"/>
        <w:jc w:val="both"/>
        <w:rPr>
          <w:sz w:val="24"/>
          <w:szCs w:val="22"/>
        </w:rPr>
      </w:pPr>
      <w:r w:rsidRPr="00D77A43">
        <w:rPr>
          <w:sz w:val="24"/>
          <w:szCs w:val="22"/>
        </w:rPr>
        <w:t>(a) the rate per annum of the salary applicable to a judicial or other office specified in column 1 of Schedule 3 is the rate per annum specified in column 2 of that Schedule in relation to that office;</w:t>
      </w:r>
    </w:p>
    <w:p w14:paraId="64D68F25" w14:textId="77777777" w:rsidR="00D426C1" w:rsidRPr="00D77A43" w:rsidRDefault="0092571C" w:rsidP="0058786C">
      <w:pPr>
        <w:shd w:val="clear" w:color="auto" w:fill="FFFFFF"/>
        <w:spacing w:before="60" w:after="60"/>
        <w:ind w:left="648" w:hanging="288"/>
        <w:jc w:val="both"/>
        <w:rPr>
          <w:sz w:val="24"/>
          <w:szCs w:val="22"/>
        </w:rPr>
      </w:pPr>
      <w:r w:rsidRPr="00D77A43">
        <w:rPr>
          <w:sz w:val="24"/>
          <w:szCs w:val="22"/>
        </w:rPr>
        <w:t>(b) the rate per annum of the annual allowance applicable to a judicial or other office specified in column 1 of Schedule 3 is the rate per annum specified in column 3 of that Schedule in relation to that office; and</w:t>
      </w:r>
    </w:p>
    <w:p w14:paraId="163E6300" w14:textId="77777777" w:rsidR="00D426C1" w:rsidRPr="00D77A43" w:rsidRDefault="0092571C" w:rsidP="0058786C">
      <w:pPr>
        <w:shd w:val="clear" w:color="auto" w:fill="FFFFFF"/>
        <w:spacing w:before="60" w:after="60"/>
        <w:ind w:left="648" w:hanging="288"/>
        <w:jc w:val="both"/>
        <w:rPr>
          <w:sz w:val="24"/>
          <w:szCs w:val="22"/>
        </w:rPr>
      </w:pPr>
      <w:r w:rsidRPr="00D77A43">
        <w:rPr>
          <w:sz w:val="24"/>
          <w:szCs w:val="22"/>
        </w:rPr>
        <w:t>(c) the rate per day of the travelling allowance applicable to a judicial or other office specified in column 1 of Schedule 3 is the rate per day specified in column 4 of that Schedule in relation to that office.</w:t>
      </w:r>
    </w:p>
    <w:p w14:paraId="352A12F1" w14:textId="36FC2DAB" w:rsidR="00D426C1" w:rsidRPr="00D77A43" w:rsidRDefault="00FD3F73" w:rsidP="00A617DB">
      <w:pPr>
        <w:shd w:val="clear" w:color="auto" w:fill="FFFFFF"/>
        <w:spacing w:after="60"/>
        <w:ind w:firstLine="288"/>
        <w:jc w:val="both"/>
        <w:rPr>
          <w:sz w:val="24"/>
          <w:szCs w:val="22"/>
        </w:rPr>
      </w:pPr>
      <w:r w:rsidRPr="00D77A43">
        <w:rPr>
          <w:sz w:val="24"/>
          <w:szCs w:val="22"/>
        </w:rPr>
        <w:t>“</w:t>
      </w:r>
      <w:r w:rsidR="0092571C" w:rsidRPr="00D77A43">
        <w:rPr>
          <w:sz w:val="24"/>
          <w:szCs w:val="22"/>
        </w:rPr>
        <w:t>(2) On and after the date of commencement of this section, sub</w:t>
      </w:r>
      <w:r w:rsidR="00A617DB">
        <w:rPr>
          <w:sz w:val="24"/>
          <w:szCs w:val="22"/>
        </w:rPr>
        <w:t>-</w:t>
      </w:r>
      <w:r w:rsidR="0092571C" w:rsidRPr="00D77A43">
        <w:rPr>
          <w:sz w:val="24"/>
          <w:szCs w:val="22"/>
        </w:rPr>
        <w:t xml:space="preserve">section 33(1) of the </w:t>
      </w:r>
      <w:r w:rsidR="0092571C" w:rsidRPr="00D77A43">
        <w:rPr>
          <w:i/>
          <w:iCs/>
          <w:sz w:val="24"/>
          <w:szCs w:val="22"/>
        </w:rPr>
        <w:t xml:space="preserve">Trade Practices Act </w:t>
      </w:r>
      <w:r w:rsidR="0092571C" w:rsidRPr="00D77A43">
        <w:rPr>
          <w:sz w:val="24"/>
          <w:szCs w:val="22"/>
        </w:rPr>
        <w:t>1974 as in force at that date</w:t>
      </w:r>
      <w:r w:rsidR="00A617DB">
        <w:rPr>
          <w:sz w:val="24"/>
          <w:szCs w:val="22"/>
        </w:rPr>
        <w:t xml:space="preserve"> </w:t>
      </w:r>
      <w:r w:rsidR="0092571C" w:rsidRPr="00D77A43">
        <w:rPr>
          <w:sz w:val="24"/>
          <w:szCs w:val="22"/>
        </w:rPr>
        <w:t>does not have any effect but, if the person for the time being holding, or acting in, the office of President of the Trade Practices Tribunal is not the Chief Judge of the Australian Industrial Court or the President of the Australian Conciliation and Arbitration Commission, he shall be paid additional remuneration at the rate of $1,000 per annum and an additional annual allowance at the rate of $250 per annum.</w:t>
      </w:r>
    </w:p>
    <w:p w14:paraId="2A256D03" w14:textId="77777777" w:rsidR="00D426C1" w:rsidRPr="00D77A43" w:rsidRDefault="00FD3F73" w:rsidP="008667BD">
      <w:pPr>
        <w:shd w:val="clear" w:color="auto" w:fill="FFFFFF"/>
        <w:spacing w:after="60"/>
        <w:ind w:firstLine="288"/>
        <w:jc w:val="both"/>
        <w:rPr>
          <w:sz w:val="24"/>
          <w:szCs w:val="22"/>
        </w:rPr>
      </w:pPr>
      <w:r w:rsidRPr="00D77A43">
        <w:rPr>
          <w:sz w:val="24"/>
          <w:szCs w:val="22"/>
        </w:rPr>
        <w:t>“</w:t>
      </w:r>
      <w:r w:rsidR="0092571C" w:rsidRPr="00D77A43">
        <w:rPr>
          <w:sz w:val="24"/>
          <w:szCs w:val="22"/>
        </w:rPr>
        <w:t>(3) If the person for the time being holding, or acting in, the office of President of the Trade Practices Tribunal, not being the Chief Judge of the Australian Industrial Court or the President of the Australian Conciliation and Arbitration Commission, dies or</w:t>
      </w:r>
      <w:r w:rsidR="0092571C" w:rsidRPr="00D77A43">
        <w:rPr>
          <w:rFonts w:eastAsia="Times New Roman"/>
          <w:sz w:val="24"/>
          <w:szCs w:val="22"/>
        </w:rPr>
        <w:t>—</w:t>
      </w:r>
    </w:p>
    <w:p w14:paraId="78D3CE2C" w14:textId="77777777" w:rsidR="00D426C1" w:rsidRPr="00D77A43" w:rsidRDefault="0092571C" w:rsidP="008667BD">
      <w:pPr>
        <w:shd w:val="clear" w:color="auto" w:fill="FFFFFF"/>
        <w:spacing w:before="60" w:after="60"/>
        <w:ind w:left="648" w:hanging="288"/>
        <w:jc w:val="both"/>
        <w:rPr>
          <w:sz w:val="24"/>
          <w:szCs w:val="22"/>
        </w:rPr>
      </w:pPr>
      <w:r w:rsidRPr="00D77A43">
        <w:rPr>
          <w:sz w:val="24"/>
          <w:szCs w:val="22"/>
        </w:rPr>
        <w:t>(a) being a Judge of a Federal Court or of the Supreme Court of a Territory, retires as such a Judge; or</w:t>
      </w:r>
    </w:p>
    <w:p w14:paraId="70997620" w14:textId="77777777" w:rsidR="00D426C1" w:rsidRPr="00D77A43" w:rsidRDefault="0092571C" w:rsidP="008667BD">
      <w:pPr>
        <w:shd w:val="clear" w:color="auto" w:fill="FFFFFF"/>
        <w:spacing w:before="60" w:after="60"/>
        <w:ind w:left="648" w:hanging="288"/>
        <w:jc w:val="both"/>
        <w:rPr>
          <w:sz w:val="24"/>
          <w:szCs w:val="22"/>
        </w:rPr>
      </w:pPr>
      <w:r w:rsidRPr="00D77A43">
        <w:rPr>
          <w:sz w:val="24"/>
          <w:szCs w:val="22"/>
        </w:rPr>
        <w:t>(b) being a person who has the status of a Judge of the Australian Industrial Court, retires from the office by virtue of which he has that status,</w:t>
      </w:r>
    </w:p>
    <w:p w14:paraId="4A55AB7A" w14:textId="77777777" w:rsidR="00D426C1" w:rsidRPr="00D77A43" w:rsidRDefault="0092571C" w:rsidP="008667BD">
      <w:pPr>
        <w:shd w:val="clear" w:color="auto" w:fill="FFFFFF"/>
        <w:spacing w:after="60"/>
        <w:jc w:val="both"/>
        <w:rPr>
          <w:sz w:val="24"/>
          <w:szCs w:val="22"/>
        </w:rPr>
      </w:pPr>
      <w:r w:rsidRPr="00D77A43">
        <w:rPr>
          <w:sz w:val="24"/>
          <w:szCs w:val="22"/>
        </w:rPr>
        <w:t xml:space="preserve">the </w:t>
      </w:r>
      <w:r w:rsidRPr="00D77A43">
        <w:rPr>
          <w:i/>
          <w:iCs/>
          <w:sz w:val="24"/>
          <w:szCs w:val="22"/>
        </w:rPr>
        <w:t>Judges</w:t>
      </w:r>
      <w:r w:rsidR="00FD3F73" w:rsidRPr="00D77A43">
        <w:rPr>
          <w:i/>
          <w:iCs/>
          <w:sz w:val="24"/>
          <w:szCs w:val="22"/>
        </w:rPr>
        <w:t>’</w:t>
      </w:r>
      <w:r w:rsidRPr="00D77A43">
        <w:rPr>
          <w:i/>
          <w:iCs/>
          <w:sz w:val="24"/>
          <w:szCs w:val="22"/>
        </w:rPr>
        <w:t xml:space="preserve"> Pensions Act </w:t>
      </w:r>
      <w:r w:rsidRPr="00D77A43">
        <w:rPr>
          <w:sz w:val="24"/>
          <w:szCs w:val="22"/>
        </w:rPr>
        <w:t>1968 applies to or in relation to him as if he had been the Chief Judge of the Australian Industrial Court immediately before his death or retirement.</w:t>
      </w:r>
    </w:p>
    <w:p w14:paraId="63B7150F" w14:textId="77777777" w:rsidR="00A617DB" w:rsidRDefault="00A617DB">
      <w:pPr>
        <w:widowControl/>
        <w:autoSpaceDE/>
        <w:autoSpaceDN/>
        <w:adjustRightInd/>
        <w:spacing w:after="200" w:line="276" w:lineRule="auto"/>
        <w:rPr>
          <w:sz w:val="24"/>
          <w:szCs w:val="22"/>
        </w:rPr>
      </w:pPr>
      <w:r>
        <w:rPr>
          <w:sz w:val="24"/>
          <w:szCs w:val="22"/>
        </w:rPr>
        <w:br w:type="page"/>
      </w:r>
    </w:p>
    <w:p w14:paraId="53A038EB" w14:textId="17C7B6A8" w:rsidR="00D426C1" w:rsidRPr="00D77A43" w:rsidRDefault="00FD3F73" w:rsidP="008667BD">
      <w:pPr>
        <w:shd w:val="clear" w:color="auto" w:fill="FFFFFF"/>
        <w:spacing w:after="60"/>
        <w:ind w:firstLine="288"/>
        <w:jc w:val="both"/>
        <w:rPr>
          <w:sz w:val="24"/>
          <w:szCs w:val="22"/>
        </w:rPr>
      </w:pPr>
      <w:r w:rsidRPr="00D77A43">
        <w:rPr>
          <w:sz w:val="24"/>
          <w:szCs w:val="22"/>
        </w:rPr>
        <w:lastRenderedPageBreak/>
        <w:t>“</w:t>
      </w:r>
      <w:r w:rsidR="0092571C" w:rsidRPr="00D77A43">
        <w:rPr>
          <w:sz w:val="24"/>
          <w:szCs w:val="22"/>
        </w:rPr>
        <w:t xml:space="preserve">(4) On the date of commencement of this section, sub-sections 8(2), (3) and (4) of the </w:t>
      </w:r>
      <w:r w:rsidR="0092571C" w:rsidRPr="00D77A43">
        <w:rPr>
          <w:i/>
          <w:iCs/>
          <w:sz w:val="24"/>
          <w:szCs w:val="22"/>
        </w:rPr>
        <w:t xml:space="preserve">Prices Justification Act </w:t>
      </w:r>
      <w:r w:rsidR="0092571C" w:rsidRPr="00D77A43">
        <w:rPr>
          <w:sz w:val="24"/>
          <w:szCs w:val="22"/>
        </w:rPr>
        <w:t xml:space="preserve">1973 as in force at that date shall be deemed to be repealed but, if the person for the time being holding, or acting in, the office of Chairman of the Prices Justification Tribunal is a Judge within the meaning of the </w:t>
      </w:r>
      <w:r w:rsidR="0092571C" w:rsidRPr="00D77A43">
        <w:rPr>
          <w:i/>
          <w:iCs/>
          <w:sz w:val="24"/>
          <w:szCs w:val="22"/>
        </w:rPr>
        <w:t xml:space="preserve">Prices Justification Act </w:t>
      </w:r>
      <w:r w:rsidR="0092571C" w:rsidRPr="00D77A43">
        <w:rPr>
          <w:sz w:val="24"/>
          <w:szCs w:val="22"/>
        </w:rPr>
        <w:t>1973 but is not the Chief Judge of the Australian Industrial Court or the President of the Australian Conciliation and Arbitration Commission, he shall be paid additional remuneration at the rate of $ 1,000 per annum and an additional annual allowance at the rate of $250 per annum.</w:t>
      </w:r>
    </w:p>
    <w:p w14:paraId="44B461CB" w14:textId="77777777" w:rsidR="00D426C1" w:rsidRPr="00D77A43" w:rsidRDefault="00FD3F73" w:rsidP="008667BD">
      <w:pPr>
        <w:shd w:val="clear" w:color="auto" w:fill="FFFFFF"/>
        <w:spacing w:after="60"/>
        <w:ind w:firstLine="288"/>
        <w:jc w:val="both"/>
        <w:rPr>
          <w:sz w:val="24"/>
          <w:szCs w:val="22"/>
        </w:rPr>
      </w:pPr>
      <w:r w:rsidRPr="00D77A43">
        <w:rPr>
          <w:sz w:val="24"/>
          <w:szCs w:val="22"/>
        </w:rPr>
        <w:t>“</w:t>
      </w:r>
      <w:r w:rsidR="0092571C" w:rsidRPr="00D77A43">
        <w:rPr>
          <w:sz w:val="24"/>
          <w:szCs w:val="22"/>
        </w:rPr>
        <w:t xml:space="preserve">(5) If the person for the time being holding, or acting in, the office of Chairman of the Prices Justification Tribunal is a Judge within the meaning of the </w:t>
      </w:r>
      <w:r w:rsidR="0092571C" w:rsidRPr="00D77A43">
        <w:rPr>
          <w:i/>
          <w:iCs/>
          <w:sz w:val="24"/>
          <w:szCs w:val="22"/>
        </w:rPr>
        <w:t xml:space="preserve">Prices Justification Act </w:t>
      </w:r>
      <w:r w:rsidR="0092571C" w:rsidRPr="00D77A43">
        <w:rPr>
          <w:sz w:val="24"/>
          <w:szCs w:val="22"/>
        </w:rPr>
        <w:t>1973 but is not the Chief Judge of the Australian Industrial Court or the President of the Australian Conciliation and Arbitration Commission, and that person dies or</w:t>
      </w:r>
      <w:r w:rsidR="0092571C" w:rsidRPr="00D77A43">
        <w:rPr>
          <w:rFonts w:eastAsia="Times New Roman"/>
          <w:sz w:val="24"/>
          <w:szCs w:val="22"/>
        </w:rPr>
        <w:t>—</w:t>
      </w:r>
    </w:p>
    <w:p w14:paraId="57187B17" w14:textId="77777777" w:rsidR="00D426C1" w:rsidRPr="00D77A43" w:rsidRDefault="0092571C" w:rsidP="008667BD">
      <w:pPr>
        <w:shd w:val="clear" w:color="auto" w:fill="FFFFFF"/>
        <w:spacing w:before="60" w:after="60"/>
        <w:ind w:left="648" w:hanging="288"/>
        <w:jc w:val="both"/>
        <w:rPr>
          <w:sz w:val="24"/>
          <w:szCs w:val="22"/>
        </w:rPr>
      </w:pPr>
      <w:r w:rsidRPr="00D77A43">
        <w:rPr>
          <w:sz w:val="24"/>
          <w:szCs w:val="22"/>
        </w:rPr>
        <w:t>(a) being a Justice or Judge of a Federal Court (other than the High Court) or of the Supreme Court of a Territory, retires as such a Justice or Judge; or</w:t>
      </w:r>
    </w:p>
    <w:p w14:paraId="61371318" w14:textId="77777777" w:rsidR="00D426C1" w:rsidRPr="00D77A43" w:rsidRDefault="0092571C" w:rsidP="008667BD">
      <w:pPr>
        <w:shd w:val="clear" w:color="auto" w:fill="FFFFFF"/>
        <w:spacing w:before="60" w:after="60"/>
        <w:ind w:left="648" w:hanging="288"/>
        <w:jc w:val="both"/>
        <w:rPr>
          <w:sz w:val="24"/>
          <w:szCs w:val="22"/>
        </w:rPr>
      </w:pPr>
      <w:r w:rsidRPr="00D77A43">
        <w:rPr>
          <w:sz w:val="24"/>
          <w:szCs w:val="22"/>
        </w:rPr>
        <w:t>(b) being a person who has the status of a Justice or Judge of such a Court, retires from the office by virtue of which he has that status,</w:t>
      </w:r>
    </w:p>
    <w:p w14:paraId="18E47595" w14:textId="77777777" w:rsidR="00D426C1" w:rsidRPr="00D77A43" w:rsidRDefault="0092571C" w:rsidP="008667BD">
      <w:pPr>
        <w:shd w:val="clear" w:color="auto" w:fill="FFFFFF"/>
        <w:spacing w:after="60"/>
        <w:jc w:val="both"/>
        <w:rPr>
          <w:sz w:val="24"/>
          <w:szCs w:val="22"/>
        </w:rPr>
      </w:pPr>
      <w:r w:rsidRPr="00D77A43">
        <w:rPr>
          <w:sz w:val="24"/>
          <w:szCs w:val="22"/>
        </w:rPr>
        <w:t xml:space="preserve">the </w:t>
      </w:r>
      <w:r w:rsidRPr="00D77A43">
        <w:rPr>
          <w:i/>
          <w:iCs/>
          <w:sz w:val="24"/>
          <w:szCs w:val="22"/>
        </w:rPr>
        <w:t>Judges</w:t>
      </w:r>
      <w:r w:rsidR="00FD3F73" w:rsidRPr="00D77A43">
        <w:rPr>
          <w:i/>
          <w:iCs/>
          <w:sz w:val="24"/>
          <w:szCs w:val="22"/>
        </w:rPr>
        <w:t>’</w:t>
      </w:r>
      <w:r w:rsidRPr="00D77A43">
        <w:rPr>
          <w:i/>
          <w:iCs/>
          <w:sz w:val="24"/>
          <w:szCs w:val="22"/>
        </w:rPr>
        <w:t xml:space="preserve"> Pensions Act </w:t>
      </w:r>
      <w:r w:rsidRPr="00D77A43">
        <w:rPr>
          <w:sz w:val="24"/>
          <w:szCs w:val="22"/>
        </w:rPr>
        <w:t>1968 applies to or in relation to him as if he had been Chief Judge of the Australian Industrial Court immediately before his death or retirement.</w:t>
      </w:r>
    </w:p>
    <w:p w14:paraId="2ECD2443" w14:textId="357DB5E7" w:rsidR="00D426C1" w:rsidRPr="00D77A43" w:rsidRDefault="00FD3F73" w:rsidP="00A617DB">
      <w:pPr>
        <w:shd w:val="clear" w:color="auto" w:fill="FFFFFF"/>
        <w:spacing w:after="60"/>
        <w:ind w:firstLine="288"/>
        <w:jc w:val="both"/>
        <w:rPr>
          <w:sz w:val="24"/>
          <w:szCs w:val="22"/>
        </w:rPr>
      </w:pPr>
      <w:r w:rsidRPr="00D77A43">
        <w:rPr>
          <w:sz w:val="24"/>
          <w:szCs w:val="22"/>
        </w:rPr>
        <w:t>“</w:t>
      </w:r>
      <w:r w:rsidR="0092571C" w:rsidRPr="00D77A43">
        <w:rPr>
          <w:sz w:val="24"/>
          <w:szCs w:val="22"/>
        </w:rPr>
        <w:t>(6) An additional annual allowance at the rate of $250 per annum is payable to the senior Judge of the Supreme Court of the Australian</w:t>
      </w:r>
      <w:r w:rsidR="00A617DB">
        <w:rPr>
          <w:sz w:val="24"/>
          <w:szCs w:val="22"/>
        </w:rPr>
        <w:t xml:space="preserve"> </w:t>
      </w:r>
      <w:r w:rsidR="0092571C" w:rsidRPr="00D77A43">
        <w:rPr>
          <w:sz w:val="24"/>
          <w:szCs w:val="22"/>
        </w:rPr>
        <w:t xml:space="preserve">Capital Territory appointed under sub-section 7(1) of the </w:t>
      </w:r>
      <w:r w:rsidR="0092571C" w:rsidRPr="00D77A43">
        <w:rPr>
          <w:i/>
          <w:iCs/>
          <w:sz w:val="24"/>
          <w:szCs w:val="22"/>
        </w:rPr>
        <w:t xml:space="preserve">Australian Capital Territory Supreme Court Act </w:t>
      </w:r>
      <w:r w:rsidR="0092571C" w:rsidRPr="00D77A43">
        <w:rPr>
          <w:sz w:val="24"/>
          <w:szCs w:val="22"/>
        </w:rPr>
        <w:t>1933.</w:t>
      </w:r>
    </w:p>
    <w:p w14:paraId="0EF4DF3B" w14:textId="77777777" w:rsidR="00D426C1" w:rsidRPr="00D77A43" w:rsidRDefault="00FD3F73" w:rsidP="006C43FC">
      <w:pPr>
        <w:shd w:val="clear" w:color="auto" w:fill="FFFFFF"/>
        <w:spacing w:after="60"/>
        <w:ind w:firstLine="288"/>
        <w:jc w:val="both"/>
        <w:rPr>
          <w:sz w:val="24"/>
          <w:szCs w:val="22"/>
        </w:rPr>
      </w:pPr>
      <w:r w:rsidRPr="00D77A43">
        <w:rPr>
          <w:sz w:val="24"/>
          <w:szCs w:val="22"/>
        </w:rPr>
        <w:t>“</w:t>
      </w:r>
      <w:r w:rsidR="0092571C" w:rsidRPr="00D77A43">
        <w:rPr>
          <w:sz w:val="24"/>
          <w:szCs w:val="22"/>
        </w:rPr>
        <w:t>(7) Sub-section (6) does not have effect on or after the day on which a person is appointed to be the Chief Judge of the Supreme Court of the Australian Capital Territory.</w:t>
      </w:r>
    </w:p>
    <w:p w14:paraId="63249972" w14:textId="77777777" w:rsidR="00D426C1" w:rsidRPr="00D77A43" w:rsidRDefault="00FD3F73" w:rsidP="006C43FC">
      <w:pPr>
        <w:shd w:val="clear" w:color="auto" w:fill="FFFFFF"/>
        <w:spacing w:after="60"/>
        <w:ind w:firstLine="288"/>
        <w:jc w:val="both"/>
        <w:rPr>
          <w:sz w:val="24"/>
          <w:szCs w:val="22"/>
        </w:rPr>
      </w:pPr>
      <w:r w:rsidRPr="00D77A43">
        <w:rPr>
          <w:sz w:val="24"/>
          <w:szCs w:val="22"/>
        </w:rPr>
        <w:t>“</w:t>
      </w:r>
      <w:r w:rsidR="0092571C" w:rsidRPr="00D77A43">
        <w:rPr>
          <w:sz w:val="24"/>
          <w:szCs w:val="22"/>
        </w:rPr>
        <w:t>(8) Notwithstanding any determination of the Remuneration Tribunal that would otherwise be applicable, in the case of the Chairman of the Grants Commission holding office on 1 June 1976 (who was, immediately before his appointment, a Judge of the Supreme Court of New South Wales), the rate of remuneration payable to him is $39,500 per annum and the rate of the annual allowance payable to him is $2,250 per annum, being rates recommended by that Tribunal.</w:t>
      </w:r>
      <w:r w:rsidRPr="00D77A43">
        <w:rPr>
          <w:sz w:val="24"/>
          <w:szCs w:val="22"/>
        </w:rPr>
        <w:t>”</w:t>
      </w:r>
      <w:r w:rsidR="0092571C" w:rsidRPr="00D77A43">
        <w:rPr>
          <w:sz w:val="24"/>
          <w:szCs w:val="22"/>
        </w:rPr>
        <w:t>.</w:t>
      </w:r>
    </w:p>
    <w:p w14:paraId="0E1FA167" w14:textId="7FB21E2E" w:rsidR="00D426C1" w:rsidRPr="00D77A43" w:rsidRDefault="0092571C" w:rsidP="006C43FC">
      <w:pPr>
        <w:shd w:val="clear" w:color="auto" w:fill="FFFFFF"/>
        <w:spacing w:after="60"/>
        <w:ind w:firstLine="288"/>
        <w:jc w:val="both"/>
        <w:rPr>
          <w:sz w:val="24"/>
          <w:szCs w:val="22"/>
        </w:rPr>
      </w:pPr>
      <w:r w:rsidRPr="00D77A43">
        <w:rPr>
          <w:b/>
          <w:bCs/>
          <w:sz w:val="24"/>
          <w:szCs w:val="22"/>
        </w:rPr>
        <w:t>4.</w:t>
      </w:r>
      <w:r w:rsidRPr="00D77A43">
        <w:rPr>
          <w:sz w:val="24"/>
          <w:szCs w:val="22"/>
        </w:rPr>
        <w:t xml:space="preserve"> After section 13 of the Principal Act the following se</w:t>
      </w:r>
      <w:r w:rsidR="00A617DB">
        <w:rPr>
          <w:sz w:val="24"/>
          <w:szCs w:val="22"/>
        </w:rPr>
        <w:t>ctions are inserted in Part IV:</w:t>
      </w:r>
      <w:r w:rsidRPr="00D77A43">
        <w:rPr>
          <w:rFonts w:eastAsia="Times New Roman"/>
          <w:sz w:val="24"/>
          <w:szCs w:val="22"/>
        </w:rPr>
        <w:t>—</w:t>
      </w:r>
    </w:p>
    <w:p w14:paraId="6E7FB0FA" w14:textId="77777777" w:rsidR="00D426C1" w:rsidRPr="00D77A43" w:rsidRDefault="0092571C" w:rsidP="006C43FC">
      <w:pPr>
        <w:shd w:val="clear" w:color="auto" w:fill="FFFFFF"/>
        <w:spacing w:before="120" w:after="60"/>
        <w:jc w:val="both"/>
        <w:rPr>
          <w:b/>
          <w:szCs w:val="22"/>
        </w:rPr>
      </w:pPr>
      <w:r w:rsidRPr="00D77A43">
        <w:rPr>
          <w:b/>
          <w:szCs w:val="22"/>
        </w:rPr>
        <w:t>Application of certain provisions of section 13.</w:t>
      </w:r>
    </w:p>
    <w:p w14:paraId="33B54861" w14:textId="6F3CD5DA" w:rsidR="00D426C1" w:rsidRPr="00D77A43" w:rsidRDefault="00FD3F73" w:rsidP="006C43FC">
      <w:pPr>
        <w:shd w:val="clear" w:color="auto" w:fill="FFFFFF"/>
        <w:spacing w:after="60"/>
        <w:ind w:firstLine="288"/>
        <w:jc w:val="both"/>
        <w:rPr>
          <w:sz w:val="24"/>
          <w:szCs w:val="22"/>
        </w:rPr>
      </w:pPr>
      <w:r w:rsidRPr="00D77A43">
        <w:rPr>
          <w:sz w:val="24"/>
          <w:szCs w:val="22"/>
        </w:rPr>
        <w:t>“</w:t>
      </w:r>
      <w:r w:rsidR="0092571C" w:rsidRPr="00D77A43">
        <w:rPr>
          <w:sz w:val="24"/>
          <w:szCs w:val="22"/>
        </w:rPr>
        <w:t>14. The provisions of sub-sections 13(2), (3), (4) and (5) do not apply to a person who is a Judge of the Federal Court of Australia.</w:t>
      </w:r>
    </w:p>
    <w:p w14:paraId="4CA677E5" w14:textId="77777777" w:rsidR="00D426C1" w:rsidRPr="00D77A43" w:rsidRDefault="0092571C" w:rsidP="006C43FC">
      <w:pPr>
        <w:shd w:val="clear" w:color="auto" w:fill="FFFFFF"/>
        <w:spacing w:before="120" w:after="60"/>
        <w:jc w:val="both"/>
        <w:rPr>
          <w:b/>
          <w:szCs w:val="22"/>
        </w:rPr>
      </w:pPr>
      <w:r w:rsidRPr="00D77A43">
        <w:rPr>
          <w:b/>
          <w:szCs w:val="22"/>
        </w:rPr>
        <w:t>Salaries and allowances of holders of certain additional offices.</w:t>
      </w:r>
    </w:p>
    <w:p w14:paraId="2952710C" w14:textId="77777777" w:rsidR="00D426C1" w:rsidRPr="00D77A43" w:rsidRDefault="00FD3F73" w:rsidP="006C43FC">
      <w:pPr>
        <w:shd w:val="clear" w:color="auto" w:fill="FFFFFF"/>
        <w:spacing w:after="60"/>
        <w:ind w:firstLine="288"/>
        <w:jc w:val="both"/>
        <w:rPr>
          <w:sz w:val="24"/>
          <w:szCs w:val="22"/>
        </w:rPr>
      </w:pPr>
      <w:r w:rsidRPr="00D77A43">
        <w:rPr>
          <w:sz w:val="24"/>
          <w:szCs w:val="22"/>
        </w:rPr>
        <w:t>“</w:t>
      </w:r>
      <w:r w:rsidR="0092571C" w:rsidRPr="00D77A43">
        <w:rPr>
          <w:sz w:val="24"/>
          <w:szCs w:val="22"/>
        </w:rPr>
        <w:t>15. In respect of a judicial office specified in column 1 of Schedule 4</w:t>
      </w:r>
      <w:r w:rsidR="0092571C" w:rsidRPr="00D77A43">
        <w:rPr>
          <w:rFonts w:eastAsia="Times New Roman"/>
          <w:sz w:val="24"/>
          <w:szCs w:val="22"/>
        </w:rPr>
        <w:t>—</w:t>
      </w:r>
    </w:p>
    <w:p w14:paraId="5AC79F91" w14:textId="77777777" w:rsidR="00D426C1" w:rsidRPr="00D77A43" w:rsidRDefault="0092571C" w:rsidP="006C43FC">
      <w:pPr>
        <w:shd w:val="clear" w:color="auto" w:fill="FFFFFF"/>
        <w:ind w:left="648" w:hanging="288"/>
        <w:jc w:val="both"/>
        <w:rPr>
          <w:sz w:val="24"/>
          <w:szCs w:val="22"/>
        </w:rPr>
      </w:pPr>
      <w:r w:rsidRPr="00D77A43">
        <w:rPr>
          <w:sz w:val="24"/>
          <w:szCs w:val="22"/>
        </w:rPr>
        <w:t>(a) the rate per annum of the salary applicable to the office is the rate per annum specified in column 2 of that Schedule in relation to the office;</w:t>
      </w:r>
    </w:p>
    <w:p w14:paraId="37415F15" w14:textId="77777777" w:rsidR="00D426C1" w:rsidRPr="00D77A43" w:rsidRDefault="0092571C" w:rsidP="006C43FC">
      <w:pPr>
        <w:shd w:val="clear" w:color="auto" w:fill="FFFFFF"/>
        <w:ind w:left="648" w:hanging="288"/>
        <w:jc w:val="both"/>
        <w:rPr>
          <w:sz w:val="24"/>
          <w:szCs w:val="22"/>
        </w:rPr>
      </w:pPr>
      <w:r w:rsidRPr="00D77A43">
        <w:rPr>
          <w:sz w:val="24"/>
          <w:szCs w:val="22"/>
        </w:rPr>
        <w:t>(b) the rate per annum of the annual allowance applicable to the office is the rate per annum specified in column 3 of that Schedule in relation to the office; and</w:t>
      </w:r>
    </w:p>
    <w:p w14:paraId="61E98790" w14:textId="77777777" w:rsidR="00D426C1" w:rsidRPr="00D77A43" w:rsidRDefault="0092571C" w:rsidP="006C43FC">
      <w:pPr>
        <w:shd w:val="clear" w:color="auto" w:fill="FFFFFF"/>
        <w:ind w:left="648" w:hanging="288"/>
        <w:jc w:val="both"/>
        <w:rPr>
          <w:sz w:val="24"/>
          <w:szCs w:val="22"/>
        </w:rPr>
      </w:pPr>
      <w:r w:rsidRPr="00D77A43">
        <w:rPr>
          <w:sz w:val="24"/>
          <w:szCs w:val="22"/>
        </w:rPr>
        <w:t>(c) the rate per day of the travelling allowance applicable to the office is the rate per day specified in column 4 of that Schedule in relation to the office.</w:t>
      </w:r>
    </w:p>
    <w:p w14:paraId="57027E78" w14:textId="77777777" w:rsidR="00D426C1" w:rsidRPr="00D77A43" w:rsidRDefault="0092571C" w:rsidP="006C43FC">
      <w:pPr>
        <w:shd w:val="clear" w:color="auto" w:fill="FFFFFF"/>
        <w:spacing w:before="120" w:after="60"/>
        <w:jc w:val="both"/>
        <w:rPr>
          <w:b/>
          <w:szCs w:val="22"/>
        </w:rPr>
      </w:pPr>
      <w:r w:rsidRPr="00D77A43">
        <w:rPr>
          <w:b/>
          <w:szCs w:val="22"/>
        </w:rPr>
        <w:t>Judges of other courts appointed to Federal Court of Australia.</w:t>
      </w:r>
    </w:p>
    <w:p w14:paraId="15BAB5A9" w14:textId="77777777" w:rsidR="00D426C1" w:rsidRPr="00D77A43" w:rsidRDefault="00FD3F73" w:rsidP="006C43FC">
      <w:pPr>
        <w:shd w:val="clear" w:color="auto" w:fill="FFFFFF"/>
        <w:spacing w:after="60"/>
        <w:ind w:firstLine="288"/>
        <w:jc w:val="both"/>
        <w:rPr>
          <w:sz w:val="24"/>
          <w:szCs w:val="22"/>
        </w:rPr>
      </w:pPr>
      <w:r w:rsidRPr="00D77A43">
        <w:rPr>
          <w:sz w:val="24"/>
          <w:szCs w:val="22"/>
        </w:rPr>
        <w:t>“</w:t>
      </w:r>
      <w:r w:rsidR="0092571C" w:rsidRPr="00D77A43">
        <w:rPr>
          <w:sz w:val="24"/>
          <w:szCs w:val="22"/>
        </w:rPr>
        <w:t>16. (1) Notwithstanding the foregoing provisions of this Act but subject to sub-sections (2) and (3), a Judge of the Federal Court of Australia who holds office by virtue of an appointment that took effect while he was a Judge (including the Chief Judge) of any other court or courts created by the Parliament shall, while he continues to hold office both as a Judge of the Federal Court of Australia and as a Judge (including the Chief Judge) of that other court or of any of those other courts, be remunerated with the salary and annual allowance to which he is from time to time entitled as a Judge of the other court or courts, and, if he continues to be a Judge of the Federal Court of Australia after he no longer holds any other judicial office referred to in this sub-section, other than an office as an additional Judge of the Supreme Court of a Territory or as a Judge of the Supreme Court of an external Territory, he shall receive such salary and annual allowances as are applicable to the office held by him as a Judge of the Federal Court of Australia.</w:t>
      </w:r>
    </w:p>
    <w:p w14:paraId="36D7D5BC" w14:textId="77777777" w:rsidR="00D426C1" w:rsidRPr="00D77A43" w:rsidRDefault="005C6740" w:rsidP="006C43FC">
      <w:pPr>
        <w:shd w:val="clear" w:color="auto" w:fill="FFFFFF"/>
        <w:spacing w:after="60"/>
        <w:ind w:firstLine="288"/>
        <w:jc w:val="both"/>
        <w:rPr>
          <w:sz w:val="24"/>
          <w:szCs w:val="22"/>
        </w:rPr>
      </w:pPr>
      <w:r w:rsidRPr="00D77A43">
        <w:rPr>
          <w:sz w:val="24"/>
          <w:szCs w:val="22"/>
        </w:rPr>
        <w:br w:type="page"/>
      </w:r>
      <w:r w:rsidR="00FD3F73" w:rsidRPr="00D77A43">
        <w:rPr>
          <w:sz w:val="24"/>
          <w:szCs w:val="22"/>
        </w:rPr>
        <w:lastRenderedPageBreak/>
        <w:t>“</w:t>
      </w:r>
      <w:r w:rsidR="0092571C" w:rsidRPr="00D77A43">
        <w:rPr>
          <w:sz w:val="24"/>
          <w:szCs w:val="22"/>
        </w:rPr>
        <w:t>(2) In the case of a Judge of the Federal Court of Australia to whom sub-section (1) applies, if the salary or annual allowance to which he would be entitled as a Judge of that Court if that sub-section were not applicable exceeds the salary or annual allowance, as the case may be, by which he is remunerated in accordance with that sub-section, he shall receive, in respect of his office as a Judge of that Court, an additional amount by way of salary or annual allowance, as the case may be, equal to the excess.</w:t>
      </w:r>
    </w:p>
    <w:p w14:paraId="112F4FC3" w14:textId="77777777" w:rsidR="00D426C1" w:rsidRPr="00D77A43" w:rsidRDefault="00FD3F73" w:rsidP="006C43FC">
      <w:pPr>
        <w:shd w:val="clear" w:color="auto" w:fill="FFFFFF"/>
        <w:spacing w:after="60"/>
        <w:ind w:firstLine="288"/>
        <w:jc w:val="both"/>
        <w:rPr>
          <w:sz w:val="24"/>
          <w:szCs w:val="22"/>
        </w:rPr>
      </w:pPr>
      <w:r w:rsidRPr="00D77A43">
        <w:rPr>
          <w:sz w:val="24"/>
          <w:szCs w:val="22"/>
        </w:rPr>
        <w:t>“</w:t>
      </w:r>
      <w:r w:rsidR="0092571C" w:rsidRPr="00D77A43">
        <w:rPr>
          <w:sz w:val="24"/>
          <w:szCs w:val="22"/>
        </w:rPr>
        <w:t>(3) Where sub-section (1) applies to a Judge of the Federal Court of Australia who also holds the office of Chief Judge of the Supreme Court of the Australian Capital Territory or of the Supreme Court of the Northern Territory of Australia, sub-section (2) does not apply, but he shall, while he continues to hold both those offices, receive, in respect of his office as a Judge of the Federal Court of Australia, in addition to the salary and annual allowance by which he is remunerated in accordance with sub-section (1), salary at the annual rate of $2,500.</w:t>
      </w:r>
      <w:r w:rsidRPr="00D77A43">
        <w:rPr>
          <w:sz w:val="24"/>
          <w:szCs w:val="22"/>
        </w:rPr>
        <w:t>”</w:t>
      </w:r>
      <w:r w:rsidR="0092571C" w:rsidRPr="00D77A43">
        <w:rPr>
          <w:sz w:val="24"/>
          <w:szCs w:val="22"/>
        </w:rPr>
        <w:t>.</w:t>
      </w:r>
    </w:p>
    <w:p w14:paraId="5F13A3BC" w14:textId="77777777" w:rsidR="00D426C1" w:rsidRPr="00D77A43" w:rsidRDefault="0092571C" w:rsidP="006C43FC">
      <w:pPr>
        <w:shd w:val="clear" w:color="auto" w:fill="FFFFFF"/>
        <w:spacing w:before="120" w:after="60"/>
        <w:jc w:val="both"/>
        <w:rPr>
          <w:b/>
          <w:szCs w:val="22"/>
        </w:rPr>
      </w:pPr>
      <w:r w:rsidRPr="00D77A43">
        <w:rPr>
          <w:b/>
          <w:szCs w:val="22"/>
        </w:rPr>
        <w:t>Schedule 3.</w:t>
      </w:r>
    </w:p>
    <w:p w14:paraId="0F7D5078" w14:textId="77777777" w:rsidR="00D426C1" w:rsidRPr="00D77A43" w:rsidRDefault="0092571C" w:rsidP="006C43FC">
      <w:pPr>
        <w:shd w:val="clear" w:color="auto" w:fill="FFFFFF"/>
        <w:spacing w:after="60"/>
        <w:ind w:firstLine="288"/>
        <w:jc w:val="both"/>
        <w:rPr>
          <w:sz w:val="24"/>
          <w:szCs w:val="22"/>
        </w:rPr>
      </w:pPr>
      <w:r w:rsidRPr="00D77A43">
        <w:rPr>
          <w:b/>
          <w:bCs/>
          <w:sz w:val="24"/>
          <w:szCs w:val="22"/>
        </w:rPr>
        <w:t>5.</w:t>
      </w:r>
      <w:r w:rsidRPr="00D77A43">
        <w:rPr>
          <w:sz w:val="24"/>
          <w:szCs w:val="22"/>
        </w:rPr>
        <w:t xml:space="preserve"> Schedule 3 to the Principal Act is repealed and the following Schedule substituted:</w:t>
      </w:r>
      <w:r w:rsidRPr="00D77A43">
        <w:rPr>
          <w:rFonts w:eastAsia="Times New Roman"/>
          <w:sz w:val="24"/>
          <w:szCs w:val="22"/>
        </w:rPr>
        <w:t>—</w:t>
      </w:r>
    </w:p>
    <w:p w14:paraId="5584D805" w14:textId="77777777" w:rsidR="00D426C1" w:rsidRPr="00D77A43" w:rsidRDefault="0092571C" w:rsidP="006C43FC">
      <w:pPr>
        <w:shd w:val="clear" w:color="auto" w:fill="FFFFFF"/>
        <w:tabs>
          <w:tab w:val="left" w:pos="4680"/>
        </w:tabs>
        <w:spacing w:before="240" w:after="120"/>
        <w:jc w:val="right"/>
        <w:rPr>
          <w:sz w:val="24"/>
          <w:szCs w:val="22"/>
        </w:rPr>
      </w:pPr>
      <w:r w:rsidRPr="00D77A43">
        <w:rPr>
          <w:sz w:val="28"/>
          <w:szCs w:val="22"/>
        </w:rPr>
        <w:t>SCHEDULE 3</w:t>
      </w:r>
      <w:r w:rsidR="006C43FC" w:rsidRPr="00D77A43">
        <w:rPr>
          <w:sz w:val="24"/>
          <w:szCs w:val="22"/>
        </w:rPr>
        <w:tab/>
      </w:r>
      <w:r w:rsidRPr="00D77A43">
        <w:rPr>
          <w:sz w:val="24"/>
          <w:szCs w:val="22"/>
        </w:rPr>
        <w:t>Section 13</w:t>
      </w:r>
    </w:p>
    <w:tbl>
      <w:tblPr>
        <w:tblW w:w="5000" w:type="pct"/>
        <w:jc w:val="center"/>
        <w:tblLayout w:type="fixed"/>
        <w:tblCellMar>
          <w:left w:w="40" w:type="dxa"/>
          <w:right w:w="40" w:type="dxa"/>
        </w:tblCellMar>
        <w:tblLook w:val="0000" w:firstRow="0" w:lastRow="0" w:firstColumn="0" w:lastColumn="0" w:noHBand="0" w:noVBand="0"/>
      </w:tblPr>
      <w:tblGrid>
        <w:gridCol w:w="5980"/>
        <w:gridCol w:w="1234"/>
        <w:gridCol w:w="1367"/>
        <w:gridCol w:w="1248"/>
      </w:tblGrid>
      <w:tr w:rsidR="00D426C1" w:rsidRPr="00D77A43" w14:paraId="22D31884" w14:textId="77777777" w:rsidTr="003D7CBC">
        <w:trPr>
          <w:trHeight w:val="307"/>
          <w:jc w:val="center"/>
        </w:trPr>
        <w:tc>
          <w:tcPr>
            <w:tcW w:w="5980" w:type="dxa"/>
            <w:tcBorders>
              <w:top w:val="single" w:sz="6" w:space="0" w:color="auto"/>
              <w:left w:val="nil"/>
              <w:bottom w:val="nil"/>
              <w:right w:val="nil"/>
            </w:tcBorders>
            <w:shd w:val="clear" w:color="auto" w:fill="FFFFFF"/>
            <w:vAlign w:val="bottom"/>
          </w:tcPr>
          <w:p w14:paraId="64601C25" w14:textId="77777777" w:rsidR="00D426C1" w:rsidRPr="00D77A43" w:rsidRDefault="0092571C" w:rsidP="005C6740">
            <w:pPr>
              <w:shd w:val="clear" w:color="auto" w:fill="FFFFFF"/>
              <w:jc w:val="both"/>
              <w:rPr>
                <w:sz w:val="22"/>
                <w:szCs w:val="22"/>
              </w:rPr>
            </w:pPr>
            <w:r w:rsidRPr="00D77A43">
              <w:rPr>
                <w:sz w:val="22"/>
                <w:szCs w:val="22"/>
              </w:rPr>
              <w:t>Column 1</w:t>
            </w:r>
          </w:p>
        </w:tc>
        <w:tc>
          <w:tcPr>
            <w:tcW w:w="1234" w:type="dxa"/>
            <w:tcBorders>
              <w:top w:val="single" w:sz="6" w:space="0" w:color="auto"/>
              <w:left w:val="nil"/>
              <w:bottom w:val="nil"/>
              <w:right w:val="nil"/>
            </w:tcBorders>
            <w:shd w:val="clear" w:color="auto" w:fill="FFFFFF"/>
            <w:vAlign w:val="bottom"/>
          </w:tcPr>
          <w:p w14:paraId="56249999" w14:textId="77777777" w:rsidR="00D426C1" w:rsidRPr="00D77A43" w:rsidRDefault="0092571C" w:rsidP="006C43FC">
            <w:pPr>
              <w:shd w:val="clear" w:color="auto" w:fill="FFFFFF"/>
              <w:ind w:right="144"/>
              <w:jc w:val="right"/>
              <w:rPr>
                <w:sz w:val="22"/>
                <w:szCs w:val="22"/>
              </w:rPr>
            </w:pPr>
            <w:r w:rsidRPr="00D77A43">
              <w:rPr>
                <w:sz w:val="22"/>
                <w:szCs w:val="22"/>
              </w:rPr>
              <w:t>Column 2</w:t>
            </w:r>
          </w:p>
        </w:tc>
        <w:tc>
          <w:tcPr>
            <w:tcW w:w="1367" w:type="dxa"/>
            <w:tcBorders>
              <w:top w:val="single" w:sz="6" w:space="0" w:color="auto"/>
              <w:left w:val="nil"/>
              <w:bottom w:val="nil"/>
              <w:right w:val="nil"/>
            </w:tcBorders>
            <w:shd w:val="clear" w:color="auto" w:fill="FFFFFF"/>
            <w:vAlign w:val="bottom"/>
          </w:tcPr>
          <w:p w14:paraId="55255A79" w14:textId="77777777" w:rsidR="00D426C1" w:rsidRPr="00D77A43" w:rsidRDefault="0092571C" w:rsidP="006C43FC">
            <w:pPr>
              <w:shd w:val="clear" w:color="auto" w:fill="FFFFFF"/>
              <w:ind w:right="144"/>
              <w:jc w:val="right"/>
              <w:rPr>
                <w:sz w:val="22"/>
                <w:szCs w:val="22"/>
              </w:rPr>
            </w:pPr>
            <w:r w:rsidRPr="00D77A43">
              <w:rPr>
                <w:sz w:val="22"/>
                <w:szCs w:val="22"/>
              </w:rPr>
              <w:t>Column 3</w:t>
            </w:r>
          </w:p>
        </w:tc>
        <w:tc>
          <w:tcPr>
            <w:tcW w:w="1248" w:type="dxa"/>
            <w:tcBorders>
              <w:top w:val="single" w:sz="6" w:space="0" w:color="auto"/>
              <w:left w:val="nil"/>
              <w:bottom w:val="nil"/>
              <w:right w:val="nil"/>
            </w:tcBorders>
            <w:shd w:val="clear" w:color="auto" w:fill="FFFFFF"/>
            <w:vAlign w:val="bottom"/>
          </w:tcPr>
          <w:p w14:paraId="150CB046" w14:textId="77777777" w:rsidR="00D426C1" w:rsidRPr="00D77A43" w:rsidRDefault="0092571C" w:rsidP="006C43FC">
            <w:pPr>
              <w:shd w:val="clear" w:color="auto" w:fill="FFFFFF"/>
              <w:ind w:right="144"/>
              <w:jc w:val="right"/>
              <w:rPr>
                <w:sz w:val="22"/>
                <w:szCs w:val="22"/>
              </w:rPr>
            </w:pPr>
            <w:r w:rsidRPr="00D77A43">
              <w:rPr>
                <w:sz w:val="22"/>
                <w:szCs w:val="22"/>
              </w:rPr>
              <w:t>Column 4</w:t>
            </w:r>
          </w:p>
        </w:tc>
      </w:tr>
      <w:tr w:rsidR="00D426C1" w:rsidRPr="00D77A43" w14:paraId="3FEE8644" w14:textId="77777777" w:rsidTr="003D7CBC">
        <w:trPr>
          <w:trHeight w:val="782"/>
          <w:jc w:val="center"/>
        </w:trPr>
        <w:tc>
          <w:tcPr>
            <w:tcW w:w="5980" w:type="dxa"/>
            <w:tcBorders>
              <w:top w:val="nil"/>
              <w:left w:val="nil"/>
              <w:bottom w:val="single" w:sz="6" w:space="0" w:color="auto"/>
              <w:right w:val="nil"/>
            </w:tcBorders>
            <w:shd w:val="clear" w:color="auto" w:fill="FFFFFF"/>
            <w:vAlign w:val="bottom"/>
          </w:tcPr>
          <w:p w14:paraId="17604471" w14:textId="77777777" w:rsidR="00D426C1" w:rsidRPr="00D77A43" w:rsidRDefault="0092571C" w:rsidP="005C6740">
            <w:pPr>
              <w:shd w:val="clear" w:color="auto" w:fill="FFFFFF"/>
              <w:jc w:val="both"/>
              <w:rPr>
                <w:sz w:val="22"/>
                <w:szCs w:val="22"/>
              </w:rPr>
            </w:pPr>
            <w:r w:rsidRPr="00D77A43">
              <w:rPr>
                <w:sz w:val="22"/>
                <w:szCs w:val="22"/>
              </w:rPr>
              <w:t>Office</w:t>
            </w:r>
          </w:p>
        </w:tc>
        <w:tc>
          <w:tcPr>
            <w:tcW w:w="1234" w:type="dxa"/>
            <w:tcBorders>
              <w:top w:val="nil"/>
              <w:left w:val="nil"/>
              <w:bottom w:val="single" w:sz="6" w:space="0" w:color="auto"/>
              <w:right w:val="nil"/>
            </w:tcBorders>
            <w:shd w:val="clear" w:color="auto" w:fill="FFFFFF"/>
            <w:vAlign w:val="bottom"/>
          </w:tcPr>
          <w:p w14:paraId="632E5746" w14:textId="77777777" w:rsidR="00D426C1" w:rsidRPr="00D77A43" w:rsidRDefault="0092571C" w:rsidP="006C43FC">
            <w:pPr>
              <w:shd w:val="clear" w:color="auto" w:fill="FFFFFF"/>
              <w:ind w:right="144"/>
              <w:jc w:val="right"/>
              <w:rPr>
                <w:sz w:val="22"/>
                <w:szCs w:val="22"/>
              </w:rPr>
            </w:pPr>
            <w:r w:rsidRPr="00D77A43">
              <w:rPr>
                <w:sz w:val="22"/>
                <w:szCs w:val="22"/>
              </w:rPr>
              <w:t>Rate per annum of Salary</w:t>
            </w:r>
          </w:p>
        </w:tc>
        <w:tc>
          <w:tcPr>
            <w:tcW w:w="1367" w:type="dxa"/>
            <w:tcBorders>
              <w:top w:val="nil"/>
              <w:left w:val="nil"/>
              <w:bottom w:val="single" w:sz="6" w:space="0" w:color="auto"/>
              <w:right w:val="nil"/>
            </w:tcBorders>
            <w:shd w:val="clear" w:color="auto" w:fill="FFFFFF"/>
            <w:vAlign w:val="bottom"/>
          </w:tcPr>
          <w:p w14:paraId="03D7096D" w14:textId="77777777" w:rsidR="00D426C1" w:rsidRPr="00D77A43" w:rsidRDefault="0092571C" w:rsidP="006C43FC">
            <w:pPr>
              <w:shd w:val="clear" w:color="auto" w:fill="FFFFFF"/>
              <w:ind w:right="144"/>
              <w:jc w:val="right"/>
              <w:rPr>
                <w:sz w:val="22"/>
                <w:szCs w:val="22"/>
              </w:rPr>
            </w:pPr>
            <w:r w:rsidRPr="00D77A43">
              <w:rPr>
                <w:sz w:val="22"/>
                <w:szCs w:val="22"/>
              </w:rPr>
              <w:t>Rate per annum of Annual Allowance</w:t>
            </w:r>
          </w:p>
        </w:tc>
        <w:tc>
          <w:tcPr>
            <w:tcW w:w="1248" w:type="dxa"/>
            <w:tcBorders>
              <w:top w:val="nil"/>
              <w:left w:val="nil"/>
              <w:bottom w:val="single" w:sz="6" w:space="0" w:color="auto"/>
              <w:right w:val="nil"/>
            </w:tcBorders>
            <w:shd w:val="clear" w:color="auto" w:fill="FFFFFF"/>
            <w:vAlign w:val="bottom"/>
          </w:tcPr>
          <w:p w14:paraId="6B914AC6" w14:textId="77777777" w:rsidR="00D426C1" w:rsidRPr="00D77A43" w:rsidRDefault="0092571C" w:rsidP="006C43FC">
            <w:pPr>
              <w:shd w:val="clear" w:color="auto" w:fill="FFFFFF"/>
              <w:ind w:right="144"/>
              <w:jc w:val="right"/>
              <w:rPr>
                <w:sz w:val="22"/>
                <w:szCs w:val="22"/>
              </w:rPr>
            </w:pPr>
            <w:r w:rsidRPr="00D77A43">
              <w:rPr>
                <w:sz w:val="22"/>
                <w:szCs w:val="22"/>
              </w:rPr>
              <w:t>Rate per day of Travelling Allowance</w:t>
            </w:r>
          </w:p>
        </w:tc>
      </w:tr>
      <w:tr w:rsidR="00D426C1" w:rsidRPr="00D77A43" w14:paraId="5602C00B" w14:textId="77777777" w:rsidTr="003D7CBC">
        <w:trPr>
          <w:trHeight w:val="259"/>
          <w:jc w:val="center"/>
        </w:trPr>
        <w:tc>
          <w:tcPr>
            <w:tcW w:w="5980" w:type="dxa"/>
            <w:tcBorders>
              <w:top w:val="single" w:sz="6" w:space="0" w:color="auto"/>
              <w:left w:val="nil"/>
              <w:right w:val="nil"/>
            </w:tcBorders>
            <w:shd w:val="clear" w:color="auto" w:fill="FFFFFF"/>
            <w:vAlign w:val="bottom"/>
          </w:tcPr>
          <w:p w14:paraId="3CA1ADC1" w14:textId="77777777" w:rsidR="00D426C1" w:rsidRPr="00D77A43" w:rsidRDefault="00D426C1" w:rsidP="005C6740">
            <w:pPr>
              <w:shd w:val="clear" w:color="auto" w:fill="FFFFFF"/>
              <w:jc w:val="both"/>
              <w:rPr>
                <w:sz w:val="22"/>
                <w:szCs w:val="22"/>
              </w:rPr>
            </w:pPr>
          </w:p>
        </w:tc>
        <w:tc>
          <w:tcPr>
            <w:tcW w:w="1234" w:type="dxa"/>
            <w:tcBorders>
              <w:top w:val="single" w:sz="6" w:space="0" w:color="auto"/>
              <w:left w:val="nil"/>
              <w:bottom w:val="nil"/>
              <w:right w:val="nil"/>
            </w:tcBorders>
            <w:shd w:val="clear" w:color="auto" w:fill="FFFFFF"/>
            <w:vAlign w:val="bottom"/>
          </w:tcPr>
          <w:p w14:paraId="219390CB" w14:textId="77777777" w:rsidR="00D426C1" w:rsidRPr="00D77A43" w:rsidRDefault="0092571C" w:rsidP="006C43FC">
            <w:pPr>
              <w:shd w:val="clear" w:color="auto" w:fill="FFFFFF"/>
              <w:ind w:right="144"/>
              <w:jc w:val="center"/>
              <w:rPr>
                <w:sz w:val="22"/>
                <w:szCs w:val="22"/>
              </w:rPr>
            </w:pPr>
            <w:r w:rsidRPr="00D77A43">
              <w:rPr>
                <w:sz w:val="22"/>
                <w:szCs w:val="22"/>
              </w:rPr>
              <w:t>$</w:t>
            </w:r>
          </w:p>
        </w:tc>
        <w:tc>
          <w:tcPr>
            <w:tcW w:w="1367" w:type="dxa"/>
            <w:tcBorders>
              <w:top w:val="single" w:sz="6" w:space="0" w:color="auto"/>
              <w:left w:val="nil"/>
              <w:bottom w:val="nil"/>
              <w:right w:val="nil"/>
            </w:tcBorders>
            <w:shd w:val="clear" w:color="auto" w:fill="FFFFFF"/>
            <w:vAlign w:val="bottom"/>
          </w:tcPr>
          <w:p w14:paraId="352680C2" w14:textId="77777777" w:rsidR="00D426C1" w:rsidRPr="00D77A43" w:rsidRDefault="0092571C" w:rsidP="006C43FC">
            <w:pPr>
              <w:shd w:val="clear" w:color="auto" w:fill="FFFFFF"/>
              <w:ind w:right="144"/>
              <w:jc w:val="center"/>
              <w:rPr>
                <w:sz w:val="22"/>
                <w:szCs w:val="22"/>
              </w:rPr>
            </w:pPr>
            <w:r w:rsidRPr="00D77A43">
              <w:rPr>
                <w:sz w:val="22"/>
                <w:szCs w:val="22"/>
              </w:rPr>
              <w:t>$</w:t>
            </w:r>
          </w:p>
        </w:tc>
        <w:tc>
          <w:tcPr>
            <w:tcW w:w="1248" w:type="dxa"/>
            <w:tcBorders>
              <w:top w:val="single" w:sz="6" w:space="0" w:color="auto"/>
              <w:left w:val="nil"/>
              <w:bottom w:val="nil"/>
              <w:right w:val="nil"/>
            </w:tcBorders>
            <w:shd w:val="clear" w:color="auto" w:fill="FFFFFF"/>
            <w:vAlign w:val="bottom"/>
          </w:tcPr>
          <w:p w14:paraId="2126511E" w14:textId="77777777" w:rsidR="00D426C1" w:rsidRPr="00D77A43" w:rsidRDefault="0092571C" w:rsidP="006C43FC">
            <w:pPr>
              <w:shd w:val="clear" w:color="auto" w:fill="FFFFFF"/>
              <w:ind w:right="144"/>
              <w:jc w:val="center"/>
              <w:rPr>
                <w:sz w:val="22"/>
                <w:szCs w:val="22"/>
              </w:rPr>
            </w:pPr>
            <w:r w:rsidRPr="00D77A43">
              <w:rPr>
                <w:sz w:val="22"/>
                <w:szCs w:val="22"/>
              </w:rPr>
              <w:t>$</w:t>
            </w:r>
          </w:p>
        </w:tc>
      </w:tr>
      <w:tr w:rsidR="00D426C1" w:rsidRPr="00D77A43" w14:paraId="6C3DF416" w14:textId="77777777" w:rsidTr="003D7CBC">
        <w:trPr>
          <w:trHeight w:val="163"/>
          <w:jc w:val="center"/>
        </w:trPr>
        <w:tc>
          <w:tcPr>
            <w:tcW w:w="5980" w:type="dxa"/>
            <w:tcBorders>
              <w:top w:val="nil"/>
              <w:left w:val="nil"/>
              <w:right w:val="nil"/>
            </w:tcBorders>
            <w:shd w:val="clear" w:color="auto" w:fill="FFFFFF"/>
            <w:vAlign w:val="bottom"/>
          </w:tcPr>
          <w:p w14:paraId="428E3F29" w14:textId="4D0E994D" w:rsidR="00D426C1" w:rsidRPr="00D77A43" w:rsidRDefault="00A617DB" w:rsidP="005C6740">
            <w:pPr>
              <w:shd w:val="clear" w:color="auto" w:fill="FFFFFF"/>
              <w:jc w:val="both"/>
              <w:rPr>
                <w:sz w:val="22"/>
                <w:szCs w:val="22"/>
              </w:rPr>
            </w:pPr>
            <w:r>
              <w:rPr>
                <w:sz w:val="22"/>
                <w:szCs w:val="22"/>
              </w:rPr>
              <w:t>Chief Justice of the High Court......................................................</w:t>
            </w:r>
          </w:p>
        </w:tc>
        <w:tc>
          <w:tcPr>
            <w:tcW w:w="1234" w:type="dxa"/>
            <w:tcBorders>
              <w:top w:val="nil"/>
              <w:left w:val="nil"/>
              <w:bottom w:val="nil"/>
              <w:right w:val="nil"/>
            </w:tcBorders>
            <w:shd w:val="clear" w:color="auto" w:fill="FFFFFF"/>
            <w:vAlign w:val="bottom"/>
          </w:tcPr>
          <w:p w14:paraId="6619E793" w14:textId="77777777" w:rsidR="00D426C1" w:rsidRPr="00D77A43" w:rsidRDefault="0092571C" w:rsidP="006C43FC">
            <w:pPr>
              <w:shd w:val="clear" w:color="auto" w:fill="FFFFFF"/>
              <w:ind w:right="144"/>
              <w:jc w:val="right"/>
              <w:rPr>
                <w:sz w:val="22"/>
                <w:szCs w:val="22"/>
              </w:rPr>
            </w:pPr>
            <w:r w:rsidRPr="00D77A43">
              <w:rPr>
                <w:sz w:val="22"/>
                <w:szCs w:val="22"/>
              </w:rPr>
              <w:t>52,500</w:t>
            </w:r>
          </w:p>
        </w:tc>
        <w:tc>
          <w:tcPr>
            <w:tcW w:w="1367" w:type="dxa"/>
            <w:tcBorders>
              <w:top w:val="nil"/>
              <w:left w:val="nil"/>
              <w:bottom w:val="nil"/>
              <w:right w:val="nil"/>
            </w:tcBorders>
            <w:shd w:val="clear" w:color="auto" w:fill="FFFFFF"/>
            <w:vAlign w:val="bottom"/>
          </w:tcPr>
          <w:p w14:paraId="0AD5F0E3" w14:textId="77777777" w:rsidR="00D426C1" w:rsidRPr="00D77A43" w:rsidRDefault="0092571C" w:rsidP="006C43FC">
            <w:pPr>
              <w:shd w:val="clear" w:color="auto" w:fill="FFFFFF"/>
              <w:ind w:right="144"/>
              <w:jc w:val="right"/>
              <w:rPr>
                <w:sz w:val="22"/>
                <w:szCs w:val="22"/>
              </w:rPr>
            </w:pPr>
            <w:r w:rsidRPr="00D77A43">
              <w:rPr>
                <w:sz w:val="22"/>
                <w:szCs w:val="22"/>
              </w:rPr>
              <w:t>3,300</w:t>
            </w:r>
          </w:p>
        </w:tc>
        <w:tc>
          <w:tcPr>
            <w:tcW w:w="1248" w:type="dxa"/>
            <w:tcBorders>
              <w:top w:val="nil"/>
              <w:left w:val="nil"/>
              <w:bottom w:val="nil"/>
              <w:right w:val="nil"/>
            </w:tcBorders>
            <w:shd w:val="clear" w:color="auto" w:fill="FFFFFF"/>
            <w:vAlign w:val="bottom"/>
          </w:tcPr>
          <w:p w14:paraId="4C86D8F4" w14:textId="77777777" w:rsidR="00D426C1" w:rsidRPr="00D77A43" w:rsidRDefault="0092571C" w:rsidP="006C43FC">
            <w:pPr>
              <w:shd w:val="clear" w:color="auto" w:fill="FFFFFF"/>
              <w:ind w:right="144"/>
              <w:jc w:val="right"/>
              <w:rPr>
                <w:sz w:val="22"/>
                <w:szCs w:val="22"/>
              </w:rPr>
            </w:pPr>
            <w:r w:rsidRPr="00D77A43">
              <w:rPr>
                <w:sz w:val="22"/>
                <w:szCs w:val="22"/>
              </w:rPr>
              <w:t>52</w:t>
            </w:r>
          </w:p>
        </w:tc>
      </w:tr>
      <w:tr w:rsidR="00D426C1" w:rsidRPr="00D77A43" w14:paraId="28BEB018" w14:textId="77777777" w:rsidTr="003D7CBC">
        <w:trPr>
          <w:trHeight w:val="254"/>
          <w:jc w:val="center"/>
        </w:trPr>
        <w:tc>
          <w:tcPr>
            <w:tcW w:w="5980" w:type="dxa"/>
            <w:tcBorders>
              <w:left w:val="nil"/>
              <w:bottom w:val="nil"/>
              <w:right w:val="nil"/>
            </w:tcBorders>
            <w:shd w:val="clear" w:color="auto" w:fill="FFFFFF"/>
            <w:vAlign w:val="bottom"/>
          </w:tcPr>
          <w:p w14:paraId="1FC9DBF7" w14:textId="77777777" w:rsidR="00D426C1" w:rsidRPr="00D77A43" w:rsidRDefault="0092571C" w:rsidP="003D7CBC">
            <w:pPr>
              <w:shd w:val="clear" w:color="auto" w:fill="FFFFFF"/>
              <w:tabs>
                <w:tab w:val="left" w:leader="dot" w:pos="5760"/>
              </w:tabs>
              <w:ind w:left="216" w:hanging="216"/>
              <w:jc w:val="both"/>
              <w:rPr>
                <w:sz w:val="22"/>
                <w:szCs w:val="22"/>
              </w:rPr>
            </w:pPr>
            <w:r w:rsidRPr="00D77A43">
              <w:rPr>
                <w:sz w:val="22"/>
                <w:szCs w:val="22"/>
              </w:rPr>
              <w:t>Justice (other than the Chief Justice) of the High Court</w:t>
            </w:r>
            <w:r w:rsidR="003D7CBC" w:rsidRPr="00D77A43">
              <w:rPr>
                <w:sz w:val="22"/>
                <w:szCs w:val="22"/>
              </w:rPr>
              <w:tab/>
            </w:r>
          </w:p>
        </w:tc>
        <w:tc>
          <w:tcPr>
            <w:tcW w:w="1234" w:type="dxa"/>
            <w:tcBorders>
              <w:top w:val="nil"/>
              <w:left w:val="nil"/>
              <w:bottom w:val="nil"/>
              <w:right w:val="nil"/>
            </w:tcBorders>
            <w:shd w:val="clear" w:color="auto" w:fill="FFFFFF"/>
            <w:vAlign w:val="bottom"/>
          </w:tcPr>
          <w:p w14:paraId="1E0862D5" w14:textId="77777777" w:rsidR="00D426C1" w:rsidRPr="00D77A43" w:rsidRDefault="0092571C" w:rsidP="006C43FC">
            <w:pPr>
              <w:shd w:val="clear" w:color="auto" w:fill="FFFFFF"/>
              <w:ind w:right="144"/>
              <w:jc w:val="right"/>
              <w:rPr>
                <w:sz w:val="22"/>
                <w:szCs w:val="22"/>
              </w:rPr>
            </w:pPr>
            <w:r w:rsidRPr="00D77A43">
              <w:rPr>
                <w:sz w:val="22"/>
                <w:szCs w:val="22"/>
              </w:rPr>
              <w:t>47,500</w:t>
            </w:r>
          </w:p>
        </w:tc>
        <w:tc>
          <w:tcPr>
            <w:tcW w:w="1367" w:type="dxa"/>
            <w:tcBorders>
              <w:top w:val="nil"/>
              <w:left w:val="nil"/>
              <w:bottom w:val="nil"/>
              <w:right w:val="nil"/>
            </w:tcBorders>
            <w:shd w:val="clear" w:color="auto" w:fill="FFFFFF"/>
            <w:vAlign w:val="bottom"/>
          </w:tcPr>
          <w:p w14:paraId="42C43F86" w14:textId="77777777" w:rsidR="00D426C1" w:rsidRPr="00D77A43" w:rsidRDefault="0092571C" w:rsidP="006C43FC">
            <w:pPr>
              <w:shd w:val="clear" w:color="auto" w:fill="FFFFFF"/>
              <w:ind w:right="144"/>
              <w:jc w:val="right"/>
              <w:rPr>
                <w:sz w:val="22"/>
                <w:szCs w:val="22"/>
              </w:rPr>
            </w:pPr>
            <w:r w:rsidRPr="00D77A43">
              <w:rPr>
                <w:sz w:val="22"/>
                <w:szCs w:val="22"/>
              </w:rPr>
              <w:t>2,750</w:t>
            </w:r>
          </w:p>
        </w:tc>
        <w:tc>
          <w:tcPr>
            <w:tcW w:w="1248" w:type="dxa"/>
            <w:tcBorders>
              <w:top w:val="nil"/>
              <w:left w:val="nil"/>
              <w:bottom w:val="nil"/>
              <w:right w:val="nil"/>
            </w:tcBorders>
            <w:shd w:val="clear" w:color="auto" w:fill="FFFFFF"/>
            <w:vAlign w:val="bottom"/>
          </w:tcPr>
          <w:p w14:paraId="7DC5CFB8" w14:textId="77777777" w:rsidR="00D426C1" w:rsidRPr="00D77A43" w:rsidRDefault="0092571C" w:rsidP="006C43FC">
            <w:pPr>
              <w:shd w:val="clear" w:color="auto" w:fill="FFFFFF"/>
              <w:ind w:right="144"/>
              <w:jc w:val="right"/>
              <w:rPr>
                <w:sz w:val="22"/>
                <w:szCs w:val="22"/>
              </w:rPr>
            </w:pPr>
            <w:r w:rsidRPr="00D77A43">
              <w:rPr>
                <w:sz w:val="22"/>
                <w:szCs w:val="22"/>
              </w:rPr>
              <w:t>52</w:t>
            </w:r>
          </w:p>
        </w:tc>
      </w:tr>
      <w:tr w:rsidR="00D426C1" w:rsidRPr="00D77A43" w14:paraId="07CC1924" w14:textId="77777777" w:rsidTr="003D7CBC">
        <w:trPr>
          <w:trHeight w:val="298"/>
          <w:jc w:val="center"/>
        </w:trPr>
        <w:tc>
          <w:tcPr>
            <w:tcW w:w="5980" w:type="dxa"/>
            <w:tcBorders>
              <w:top w:val="nil"/>
              <w:left w:val="nil"/>
              <w:bottom w:val="nil"/>
              <w:right w:val="nil"/>
            </w:tcBorders>
            <w:shd w:val="clear" w:color="auto" w:fill="FFFFFF"/>
            <w:vAlign w:val="bottom"/>
          </w:tcPr>
          <w:p w14:paraId="36765213" w14:textId="77777777" w:rsidR="00D426C1" w:rsidRPr="00D77A43" w:rsidRDefault="0092571C" w:rsidP="003D7CBC">
            <w:pPr>
              <w:shd w:val="clear" w:color="auto" w:fill="FFFFFF"/>
              <w:tabs>
                <w:tab w:val="left" w:leader="dot" w:pos="5760"/>
              </w:tabs>
              <w:ind w:left="216" w:hanging="216"/>
              <w:jc w:val="both"/>
              <w:rPr>
                <w:sz w:val="22"/>
                <w:szCs w:val="22"/>
              </w:rPr>
            </w:pPr>
            <w:r w:rsidRPr="00D77A43">
              <w:rPr>
                <w:sz w:val="22"/>
                <w:szCs w:val="22"/>
              </w:rPr>
              <w:t>Chief Judge of the Australian Industrial Court</w:t>
            </w:r>
            <w:r w:rsidR="003D7CBC" w:rsidRPr="00D77A43">
              <w:rPr>
                <w:sz w:val="22"/>
                <w:szCs w:val="22"/>
              </w:rPr>
              <w:tab/>
            </w:r>
          </w:p>
        </w:tc>
        <w:tc>
          <w:tcPr>
            <w:tcW w:w="1234" w:type="dxa"/>
            <w:tcBorders>
              <w:top w:val="nil"/>
              <w:left w:val="nil"/>
              <w:bottom w:val="nil"/>
              <w:right w:val="nil"/>
            </w:tcBorders>
            <w:shd w:val="clear" w:color="auto" w:fill="FFFFFF"/>
            <w:vAlign w:val="bottom"/>
          </w:tcPr>
          <w:p w14:paraId="74377612" w14:textId="77777777" w:rsidR="00D426C1" w:rsidRPr="00D77A43" w:rsidRDefault="0092571C" w:rsidP="006C43FC">
            <w:pPr>
              <w:shd w:val="clear" w:color="auto" w:fill="FFFFFF"/>
              <w:ind w:right="144"/>
              <w:jc w:val="right"/>
              <w:rPr>
                <w:sz w:val="22"/>
                <w:szCs w:val="22"/>
              </w:rPr>
            </w:pPr>
            <w:r w:rsidRPr="00D77A43">
              <w:rPr>
                <w:sz w:val="22"/>
                <w:szCs w:val="22"/>
              </w:rPr>
              <w:t>40,500</w:t>
            </w:r>
          </w:p>
        </w:tc>
        <w:tc>
          <w:tcPr>
            <w:tcW w:w="1367" w:type="dxa"/>
            <w:tcBorders>
              <w:top w:val="nil"/>
              <w:left w:val="nil"/>
              <w:bottom w:val="nil"/>
              <w:right w:val="nil"/>
            </w:tcBorders>
            <w:shd w:val="clear" w:color="auto" w:fill="FFFFFF"/>
            <w:vAlign w:val="bottom"/>
          </w:tcPr>
          <w:p w14:paraId="0EB98235" w14:textId="77777777" w:rsidR="00D426C1" w:rsidRPr="00D77A43" w:rsidRDefault="0092571C" w:rsidP="006C43FC">
            <w:pPr>
              <w:shd w:val="clear" w:color="auto" w:fill="FFFFFF"/>
              <w:ind w:right="144"/>
              <w:jc w:val="right"/>
              <w:rPr>
                <w:sz w:val="22"/>
                <w:szCs w:val="22"/>
              </w:rPr>
            </w:pPr>
            <w:r w:rsidRPr="00D77A43">
              <w:rPr>
                <w:sz w:val="22"/>
                <w:szCs w:val="22"/>
              </w:rPr>
              <w:t>2,500</w:t>
            </w:r>
          </w:p>
        </w:tc>
        <w:tc>
          <w:tcPr>
            <w:tcW w:w="1248" w:type="dxa"/>
            <w:tcBorders>
              <w:top w:val="nil"/>
              <w:left w:val="nil"/>
              <w:bottom w:val="nil"/>
              <w:right w:val="nil"/>
            </w:tcBorders>
            <w:shd w:val="clear" w:color="auto" w:fill="FFFFFF"/>
            <w:vAlign w:val="bottom"/>
          </w:tcPr>
          <w:p w14:paraId="7DC4F3DB" w14:textId="77777777" w:rsidR="00D426C1" w:rsidRPr="00D77A43" w:rsidRDefault="0092571C" w:rsidP="006C43FC">
            <w:pPr>
              <w:shd w:val="clear" w:color="auto" w:fill="FFFFFF"/>
              <w:ind w:right="144"/>
              <w:jc w:val="right"/>
              <w:rPr>
                <w:sz w:val="22"/>
                <w:szCs w:val="22"/>
              </w:rPr>
            </w:pPr>
            <w:r w:rsidRPr="00D77A43">
              <w:rPr>
                <w:sz w:val="22"/>
                <w:szCs w:val="22"/>
              </w:rPr>
              <w:t>46</w:t>
            </w:r>
          </w:p>
        </w:tc>
      </w:tr>
      <w:tr w:rsidR="00D426C1" w:rsidRPr="00D77A43" w14:paraId="39076411" w14:textId="77777777" w:rsidTr="003D7CBC">
        <w:trPr>
          <w:trHeight w:val="514"/>
          <w:jc w:val="center"/>
        </w:trPr>
        <w:tc>
          <w:tcPr>
            <w:tcW w:w="5980" w:type="dxa"/>
            <w:tcBorders>
              <w:top w:val="nil"/>
              <w:left w:val="nil"/>
              <w:bottom w:val="nil"/>
              <w:right w:val="nil"/>
            </w:tcBorders>
            <w:shd w:val="clear" w:color="auto" w:fill="FFFFFF"/>
            <w:vAlign w:val="bottom"/>
          </w:tcPr>
          <w:p w14:paraId="3BED21DE" w14:textId="77777777" w:rsidR="00D426C1" w:rsidRPr="00D77A43" w:rsidRDefault="0092571C" w:rsidP="003D7CBC">
            <w:pPr>
              <w:shd w:val="clear" w:color="auto" w:fill="FFFFFF"/>
              <w:tabs>
                <w:tab w:val="left" w:leader="dot" w:pos="5760"/>
              </w:tabs>
              <w:ind w:left="216" w:hanging="216"/>
              <w:jc w:val="both"/>
              <w:rPr>
                <w:sz w:val="22"/>
                <w:szCs w:val="22"/>
              </w:rPr>
            </w:pPr>
            <w:r w:rsidRPr="00D77A43">
              <w:rPr>
                <w:sz w:val="22"/>
                <w:szCs w:val="22"/>
              </w:rPr>
              <w:t>President of the Australian Conciliation and Arbitration Commission</w:t>
            </w:r>
            <w:r w:rsidR="003D7CBC" w:rsidRPr="00D77A43">
              <w:rPr>
                <w:sz w:val="22"/>
                <w:szCs w:val="22"/>
              </w:rPr>
              <w:tab/>
            </w:r>
          </w:p>
        </w:tc>
        <w:tc>
          <w:tcPr>
            <w:tcW w:w="1234" w:type="dxa"/>
            <w:tcBorders>
              <w:top w:val="nil"/>
              <w:left w:val="nil"/>
              <w:bottom w:val="nil"/>
              <w:right w:val="nil"/>
            </w:tcBorders>
            <w:shd w:val="clear" w:color="auto" w:fill="FFFFFF"/>
            <w:vAlign w:val="bottom"/>
          </w:tcPr>
          <w:p w14:paraId="13390670" w14:textId="77777777" w:rsidR="00D426C1" w:rsidRPr="00D77A43" w:rsidRDefault="0092571C" w:rsidP="006C43FC">
            <w:pPr>
              <w:shd w:val="clear" w:color="auto" w:fill="FFFFFF"/>
              <w:ind w:right="144"/>
              <w:jc w:val="right"/>
              <w:rPr>
                <w:sz w:val="22"/>
                <w:szCs w:val="22"/>
              </w:rPr>
            </w:pPr>
            <w:r w:rsidRPr="00D77A43">
              <w:rPr>
                <w:sz w:val="22"/>
                <w:szCs w:val="22"/>
              </w:rPr>
              <w:t>40,500</w:t>
            </w:r>
          </w:p>
        </w:tc>
        <w:tc>
          <w:tcPr>
            <w:tcW w:w="1367" w:type="dxa"/>
            <w:tcBorders>
              <w:top w:val="nil"/>
              <w:left w:val="nil"/>
              <w:bottom w:val="nil"/>
              <w:right w:val="nil"/>
            </w:tcBorders>
            <w:shd w:val="clear" w:color="auto" w:fill="FFFFFF"/>
            <w:vAlign w:val="bottom"/>
          </w:tcPr>
          <w:p w14:paraId="0DB8A06D" w14:textId="77777777" w:rsidR="00D426C1" w:rsidRPr="00D77A43" w:rsidRDefault="0092571C" w:rsidP="006C43FC">
            <w:pPr>
              <w:shd w:val="clear" w:color="auto" w:fill="FFFFFF"/>
              <w:ind w:right="144"/>
              <w:jc w:val="right"/>
              <w:rPr>
                <w:sz w:val="22"/>
                <w:szCs w:val="22"/>
              </w:rPr>
            </w:pPr>
            <w:r w:rsidRPr="00D77A43">
              <w:rPr>
                <w:sz w:val="22"/>
                <w:szCs w:val="22"/>
              </w:rPr>
              <w:t>2,500</w:t>
            </w:r>
          </w:p>
        </w:tc>
        <w:tc>
          <w:tcPr>
            <w:tcW w:w="1248" w:type="dxa"/>
            <w:tcBorders>
              <w:top w:val="nil"/>
              <w:left w:val="nil"/>
              <w:bottom w:val="nil"/>
              <w:right w:val="nil"/>
            </w:tcBorders>
            <w:shd w:val="clear" w:color="auto" w:fill="FFFFFF"/>
            <w:vAlign w:val="bottom"/>
          </w:tcPr>
          <w:p w14:paraId="7EEF2FBD" w14:textId="77777777" w:rsidR="00D426C1" w:rsidRPr="00D77A43" w:rsidRDefault="0092571C" w:rsidP="006C43FC">
            <w:pPr>
              <w:shd w:val="clear" w:color="auto" w:fill="FFFFFF"/>
              <w:ind w:right="144"/>
              <w:jc w:val="right"/>
              <w:rPr>
                <w:sz w:val="22"/>
                <w:szCs w:val="22"/>
              </w:rPr>
            </w:pPr>
            <w:r w:rsidRPr="00D77A43">
              <w:rPr>
                <w:sz w:val="22"/>
                <w:szCs w:val="22"/>
              </w:rPr>
              <w:t>46</w:t>
            </w:r>
          </w:p>
        </w:tc>
      </w:tr>
      <w:tr w:rsidR="00D426C1" w:rsidRPr="00D77A43" w14:paraId="0AD0F400" w14:textId="77777777" w:rsidTr="003D7CBC">
        <w:trPr>
          <w:trHeight w:val="278"/>
          <w:jc w:val="center"/>
        </w:trPr>
        <w:tc>
          <w:tcPr>
            <w:tcW w:w="5980" w:type="dxa"/>
            <w:tcBorders>
              <w:top w:val="nil"/>
              <w:left w:val="nil"/>
              <w:bottom w:val="nil"/>
              <w:right w:val="nil"/>
            </w:tcBorders>
            <w:shd w:val="clear" w:color="auto" w:fill="FFFFFF"/>
            <w:vAlign w:val="bottom"/>
          </w:tcPr>
          <w:p w14:paraId="6B96A422" w14:textId="77777777" w:rsidR="00D426C1" w:rsidRPr="00D77A43" w:rsidRDefault="0092571C" w:rsidP="003D7CBC">
            <w:pPr>
              <w:shd w:val="clear" w:color="auto" w:fill="FFFFFF"/>
              <w:tabs>
                <w:tab w:val="left" w:leader="dot" w:pos="5760"/>
              </w:tabs>
              <w:ind w:left="216" w:hanging="216"/>
              <w:jc w:val="both"/>
              <w:rPr>
                <w:sz w:val="22"/>
                <w:szCs w:val="22"/>
              </w:rPr>
            </w:pPr>
            <w:r w:rsidRPr="00D77A43">
              <w:rPr>
                <w:sz w:val="22"/>
                <w:szCs w:val="22"/>
              </w:rPr>
              <w:t>President of the Administrative Appeals Tribunal</w:t>
            </w:r>
            <w:r w:rsidR="003D7CBC" w:rsidRPr="00D77A43">
              <w:rPr>
                <w:sz w:val="22"/>
                <w:szCs w:val="22"/>
              </w:rPr>
              <w:tab/>
            </w:r>
          </w:p>
        </w:tc>
        <w:tc>
          <w:tcPr>
            <w:tcW w:w="1234" w:type="dxa"/>
            <w:tcBorders>
              <w:top w:val="nil"/>
              <w:left w:val="nil"/>
              <w:bottom w:val="nil"/>
              <w:right w:val="nil"/>
            </w:tcBorders>
            <w:shd w:val="clear" w:color="auto" w:fill="FFFFFF"/>
            <w:vAlign w:val="bottom"/>
          </w:tcPr>
          <w:p w14:paraId="0D23A2E4" w14:textId="77777777" w:rsidR="00D426C1" w:rsidRPr="00D77A43" w:rsidRDefault="0092571C" w:rsidP="006C43FC">
            <w:pPr>
              <w:shd w:val="clear" w:color="auto" w:fill="FFFFFF"/>
              <w:ind w:right="144"/>
              <w:jc w:val="right"/>
              <w:rPr>
                <w:sz w:val="22"/>
                <w:szCs w:val="22"/>
              </w:rPr>
            </w:pPr>
            <w:r w:rsidRPr="00D77A43">
              <w:rPr>
                <w:sz w:val="22"/>
                <w:szCs w:val="22"/>
              </w:rPr>
              <w:t>40,500</w:t>
            </w:r>
          </w:p>
        </w:tc>
        <w:tc>
          <w:tcPr>
            <w:tcW w:w="1367" w:type="dxa"/>
            <w:tcBorders>
              <w:top w:val="nil"/>
              <w:left w:val="nil"/>
              <w:bottom w:val="nil"/>
              <w:right w:val="nil"/>
            </w:tcBorders>
            <w:shd w:val="clear" w:color="auto" w:fill="FFFFFF"/>
            <w:vAlign w:val="bottom"/>
          </w:tcPr>
          <w:p w14:paraId="2B2CC618" w14:textId="77777777" w:rsidR="00D426C1" w:rsidRPr="00D77A43" w:rsidRDefault="0092571C" w:rsidP="006C43FC">
            <w:pPr>
              <w:shd w:val="clear" w:color="auto" w:fill="FFFFFF"/>
              <w:ind w:right="144"/>
              <w:jc w:val="right"/>
              <w:rPr>
                <w:sz w:val="22"/>
                <w:szCs w:val="22"/>
              </w:rPr>
            </w:pPr>
            <w:r w:rsidRPr="00D77A43">
              <w:rPr>
                <w:sz w:val="22"/>
                <w:szCs w:val="22"/>
              </w:rPr>
              <w:t>2,500</w:t>
            </w:r>
          </w:p>
        </w:tc>
        <w:tc>
          <w:tcPr>
            <w:tcW w:w="1248" w:type="dxa"/>
            <w:tcBorders>
              <w:top w:val="nil"/>
              <w:left w:val="nil"/>
              <w:bottom w:val="nil"/>
              <w:right w:val="nil"/>
            </w:tcBorders>
            <w:shd w:val="clear" w:color="auto" w:fill="FFFFFF"/>
            <w:vAlign w:val="bottom"/>
          </w:tcPr>
          <w:p w14:paraId="6FB84236" w14:textId="77777777" w:rsidR="00D426C1" w:rsidRPr="00D77A43" w:rsidRDefault="0092571C" w:rsidP="006C43FC">
            <w:pPr>
              <w:shd w:val="clear" w:color="auto" w:fill="FFFFFF"/>
              <w:ind w:right="144"/>
              <w:jc w:val="right"/>
              <w:rPr>
                <w:sz w:val="22"/>
                <w:szCs w:val="22"/>
              </w:rPr>
            </w:pPr>
            <w:r w:rsidRPr="00D77A43">
              <w:rPr>
                <w:sz w:val="22"/>
                <w:szCs w:val="22"/>
              </w:rPr>
              <w:t>46</w:t>
            </w:r>
          </w:p>
        </w:tc>
      </w:tr>
      <w:tr w:rsidR="00D426C1" w:rsidRPr="00D77A43" w14:paraId="50607F06" w14:textId="77777777" w:rsidTr="003D7CBC">
        <w:trPr>
          <w:trHeight w:val="485"/>
          <w:jc w:val="center"/>
        </w:trPr>
        <w:tc>
          <w:tcPr>
            <w:tcW w:w="5980" w:type="dxa"/>
            <w:tcBorders>
              <w:top w:val="nil"/>
              <w:left w:val="nil"/>
              <w:bottom w:val="nil"/>
              <w:right w:val="nil"/>
            </w:tcBorders>
            <w:shd w:val="clear" w:color="auto" w:fill="FFFFFF"/>
            <w:vAlign w:val="bottom"/>
          </w:tcPr>
          <w:p w14:paraId="0D2D6A83" w14:textId="77777777" w:rsidR="00D426C1" w:rsidRPr="00D77A43" w:rsidRDefault="0092571C" w:rsidP="003D7CBC">
            <w:pPr>
              <w:shd w:val="clear" w:color="auto" w:fill="FFFFFF"/>
              <w:tabs>
                <w:tab w:val="left" w:leader="dot" w:pos="5760"/>
              </w:tabs>
              <w:ind w:left="216" w:hanging="216"/>
              <w:jc w:val="both"/>
              <w:rPr>
                <w:sz w:val="22"/>
                <w:szCs w:val="22"/>
              </w:rPr>
            </w:pPr>
            <w:r w:rsidRPr="00D77A43">
              <w:rPr>
                <w:sz w:val="22"/>
                <w:szCs w:val="22"/>
              </w:rPr>
              <w:t>Judge (other than the Chief Judge) of the Australian Industrial Court</w:t>
            </w:r>
            <w:r w:rsidR="003D7CBC" w:rsidRPr="00D77A43">
              <w:rPr>
                <w:sz w:val="22"/>
                <w:szCs w:val="22"/>
              </w:rPr>
              <w:tab/>
            </w:r>
          </w:p>
        </w:tc>
        <w:tc>
          <w:tcPr>
            <w:tcW w:w="1234" w:type="dxa"/>
            <w:tcBorders>
              <w:top w:val="nil"/>
              <w:left w:val="nil"/>
              <w:bottom w:val="nil"/>
              <w:right w:val="nil"/>
            </w:tcBorders>
            <w:shd w:val="clear" w:color="auto" w:fill="FFFFFF"/>
            <w:vAlign w:val="bottom"/>
          </w:tcPr>
          <w:p w14:paraId="225BD425" w14:textId="77777777" w:rsidR="00D426C1" w:rsidRPr="00D77A43" w:rsidRDefault="0092571C" w:rsidP="006C43FC">
            <w:pPr>
              <w:shd w:val="clear" w:color="auto" w:fill="FFFFFF"/>
              <w:ind w:right="144"/>
              <w:jc w:val="right"/>
              <w:rPr>
                <w:sz w:val="22"/>
                <w:szCs w:val="22"/>
              </w:rPr>
            </w:pPr>
            <w:r w:rsidRPr="00D77A43">
              <w:rPr>
                <w:sz w:val="22"/>
                <w:szCs w:val="22"/>
              </w:rPr>
              <w:t>39,500</w:t>
            </w:r>
          </w:p>
        </w:tc>
        <w:tc>
          <w:tcPr>
            <w:tcW w:w="1367" w:type="dxa"/>
            <w:tcBorders>
              <w:top w:val="nil"/>
              <w:left w:val="nil"/>
              <w:bottom w:val="nil"/>
              <w:right w:val="nil"/>
            </w:tcBorders>
            <w:shd w:val="clear" w:color="auto" w:fill="FFFFFF"/>
            <w:vAlign w:val="bottom"/>
          </w:tcPr>
          <w:p w14:paraId="37E65DE4" w14:textId="77777777" w:rsidR="00D426C1" w:rsidRPr="00D77A43" w:rsidRDefault="0092571C" w:rsidP="006C43FC">
            <w:pPr>
              <w:shd w:val="clear" w:color="auto" w:fill="FFFFFF"/>
              <w:ind w:right="144"/>
              <w:jc w:val="right"/>
              <w:rPr>
                <w:sz w:val="22"/>
                <w:szCs w:val="22"/>
              </w:rPr>
            </w:pPr>
            <w:r w:rsidRPr="00D77A43">
              <w:rPr>
                <w:sz w:val="22"/>
                <w:szCs w:val="22"/>
              </w:rPr>
              <w:t>2,250</w:t>
            </w:r>
          </w:p>
        </w:tc>
        <w:tc>
          <w:tcPr>
            <w:tcW w:w="1248" w:type="dxa"/>
            <w:tcBorders>
              <w:top w:val="nil"/>
              <w:left w:val="nil"/>
              <w:bottom w:val="nil"/>
              <w:right w:val="nil"/>
            </w:tcBorders>
            <w:shd w:val="clear" w:color="auto" w:fill="FFFFFF"/>
            <w:vAlign w:val="bottom"/>
          </w:tcPr>
          <w:p w14:paraId="1BACD47D" w14:textId="77777777" w:rsidR="00D426C1" w:rsidRPr="00D77A43" w:rsidRDefault="0092571C" w:rsidP="006C43FC">
            <w:pPr>
              <w:shd w:val="clear" w:color="auto" w:fill="FFFFFF"/>
              <w:ind w:right="144"/>
              <w:jc w:val="right"/>
              <w:rPr>
                <w:sz w:val="22"/>
                <w:szCs w:val="22"/>
              </w:rPr>
            </w:pPr>
            <w:r w:rsidRPr="00D77A43">
              <w:rPr>
                <w:sz w:val="22"/>
                <w:szCs w:val="22"/>
              </w:rPr>
              <w:t>46</w:t>
            </w:r>
          </w:p>
        </w:tc>
      </w:tr>
      <w:tr w:rsidR="00D426C1" w:rsidRPr="00D77A43" w14:paraId="25055C01" w14:textId="77777777" w:rsidTr="003D7CBC">
        <w:trPr>
          <w:trHeight w:val="283"/>
          <w:jc w:val="center"/>
        </w:trPr>
        <w:tc>
          <w:tcPr>
            <w:tcW w:w="5980" w:type="dxa"/>
            <w:tcBorders>
              <w:top w:val="nil"/>
              <w:left w:val="nil"/>
              <w:bottom w:val="nil"/>
              <w:right w:val="nil"/>
            </w:tcBorders>
            <w:shd w:val="clear" w:color="auto" w:fill="FFFFFF"/>
            <w:vAlign w:val="bottom"/>
          </w:tcPr>
          <w:p w14:paraId="20F5EB30" w14:textId="77777777" w:rsidR="00D426C1" w:rsidRPr="00D77A43" w:rsidRDefault="0092571C" w:rsidP="003D7CBC">
            <w:pPr>
              <w:shd w:val="clear" w:color="auto" w:fill="FFFFFF"/>
              <w:tabs>
                <w:tab w:val="left" w:leader="dot" w:pos="5760"/>
              </w:tabs>
              <w:ind w:left="216" w:hanging="216"/>
              <w:jc w:val="both"/>
              <w:rPr>
                <w:sz w:val="22"/>
                <w:szCs w:val="22"/>
              </w:rPr>
            </w:pPr>
            <w:r w:rsidRPr="00D77A43">
              <w:rPr>
                <w:sz w:val="22"/>
                <w:szCs w:val="22"/>
              </w:rPr>
              <w:t>Chief Judge of the Family Court of Australia</w:t>
            </w:r>
            <w:r w:rsidR="003D7CBC" w:rsidRPr="00D77A43">
              <w:rPr>
                <w:sz w:val="22"/>
                <w:szCs w:val="22"/>
              </w:rPr>
              <w:tab/>
            </w:r>
          </w:p>
        </w:tc>
        <w:tc>
          <w:tcPr>
            <w:tcW w:w="1234" w:type="dxa"/>
            <w:tcBorders>
              <w:top w:val="nil"/>
              <w:left w:val="nil"/>
              <w:bottom w:val="nil"/>
              <w:right w:val="nil"/>
            </w:tcBorders>
            <w:shd w:val="clear" w:color="auto" w:fill="FFFFFF"/>
            <w:vAlign w:val="bottom"/>
          </w:tcPr>
          <w:p w14:paraId="154C5A65" w14:textId="77777777" w:rsidR="00D426C1" w:rsidRPr="00D77A43" w:rsidRDefault="0092571C" w:rsidP="006C43FC">
            <w:pPr>
              <w:shd w:val="clear" w:color="auto" w:fill="FFFFFF"/>
              <w:ind w:right="144"/>
              <w:jc w:val="right"/>
              <w:rPr>
                <w:sz w:val="22"/>
                <w:szCs w:val="22"/>
              </w:rPr>
            </w:pPr>
            <w:r w:rsidRPr="00D77A43">
              <w:rPr>
                <w:sz w:val="22"/>
                <w:szCs w:val="22"/>
              </w:rPr>
              <w:t>39,500</w:t>
            </w:r>
          </w:p>
        </w:tc>
        <w:tc>
          <w:tcPr>
            <w:tcW w:w="1367" w:type="dxa"/>
            <w:tcBorders>
              <w:top w:val="nil"/>
              <w:left w:val="nil"/>
              <w:bottom w:val="nil"/>
              <w:right w:val="nil"/>
            </w:tcBorders>
            <w:shd w:val="clear" w:color="auto" w:fill="FFFFFF"/>
            <w:vAlign w:val="bottom"/>
          </w:tcPr>
          <w:p w14:paraId="2D3492E2" w14:textId="77777777" w:rsidR="00D426C1" w:rsidRPr="00D77A43" w:rsidRDefault="0092571C" w:rsidP="006C43FC">
            <w:pPr>
              <w:shd w:val="clear" w:color="auto" w:fill="FFFFFF"/>
              <w:ind w:right="144"/>
              <w:jc w:val="right"/>
              <w:rPr>
                <w:sz w:val="22"/>
                <w:szCs w:val="22"/>
              </w:rPr>
            </w:pPr>
            <w:r w:rsidRPr="00D77A43">
              <w:rPr>
                <w:sz w:val="22"/>
                <w:szCs w:val="22"/>
              </w:rPr>
              <w:t>2,250</w:t>
            </w:r>
          </w:p>
        </w:tc>
        <w:tc>
          <w:tcPr>
            <w:tcW w:w="1248" w:type="dxa"/>
            <w:tcBorders>
              <w:top w:val="nil"/>
              <w:left w:val="nil"/>
              <w:bottom w:val="nil"/>
              <w:right w:val="nil"/>
            </w:tcBorders>
            <w:shd w:val="clear" w:color="auto" w:fill="FFFFFF"/>
            <w:vAlign w:val="bottom"/>
          </w:tcPr>
          <w:p w14:paraId="54F3B8CC" w14:textId="77777777" w:rsidR="00D426C1" w:rsidRPr="00D77A43" w:rsidRDefault="0092571C" w:rsidP="006C43FC">
            <w:pPr>
              <w:shd w:val="clear" w:color="auto" w:fill="FFFFFF"/>
              <w:ind w:right="144"/>
              <w:jc w:val="right"/>
              <w:rPr>
                <w:sz w:val="22"/>
                <w:szCs w:val="22"/>
              </w:rPr>
            </w:pPr>
            <w:r w:rsidRPr="00D77A43">
              <w:rPr>
                <w:sz w:val="22"/>
                <w:szCs w:val="22"/>
              </w:rPr>
              <w:t>46</w:t>
            </w:r>
          </w:p>
        </w:tc>
      </w:tr>
      <w:tr w:rsidR="00D426C1" w:rsidRPr="00D77A43" w14:paraId="2B864CF1" w14:textId="77777777" w:rsidTr="003D7CBC">
        <w:trPr>
          <w:trHeight w:val="302"/>
          <w:jc w:val="center"/>
        </w:trPr>
        <w:tc>
          <w:tcPr>
            <w:tcW w:w="5980" w:type="dxa"/>
            <w:tcBorders>
              <w:top w:val="nil"/>
              <w:left w:val="nil"/>
              <w:right w:val="nil"/>
            </w:tcBorders>
            <w:shd w:val="clear" w:color="auto" w:fill="FFFFFF"/>
            <w:vAlign w:val="bottom"/>
          </w:tcPr>
          <w:p w14:paraId="59A7496F" w14:textId="77777777" w:rsidR="00D426C1" w:rsidRPr="00D77A43" w:rsidRDefault="0092571C" w:rsidP="003D7CBC">
            <w:pPr>
              <w:shd w:val="clear" w:color="auto" w:fill="FFFFFF"/>
              <w:tabs>
                <w:tab w:val="left" w:leader="dot" w:pos="5760"/>
              </w:tabs>
              <w:ind w:left="216" w:hanging="216"/>
              <w:jc w:val="both"/>
              <w:rPr>
                <w:sz w:val="22"/>
                <w:szCs w:val="22"/>
              </w:rPr>
            </w:pPr>
            <w:r w:rsidRPr="00D77A43">
              <w:rPr>
                <w:sz w:val="22"/>
                <w:szCs w:val="22"/>
              </w:rPr>
              <w:t>Judge of the Federal Court of Bankruptcy</w:t>
            </w:r>
            <w:r w:rsidR="003D7CBC" w:rsidRPr="00D77A43">
              <w:rPr>
                <w:sz w:val="22"/>
                <w:szCs w:val="22"/>
              </w:rPr>
              <w:tab/>
            </w:r>
          </w:p>
        </w:tc>
        <w:tc>
          <w:tcPr>
            <w:tcW w:w="1234" w:type="dxa"/>
            <w:tcBorders>
              <w:top w:val="nil"/>
              <w:left w:val="nil"/>
              <w:bottom w:val="nil"/>
              <w:right w:val="nil"/>
            </w:tcBorders>
            <w:shd w:val="clear" w:color="auto" w:fill="FFFFFF"/>
            <w:vAlign w:val="bottom"/>
          </w:tcPr>
          <w:p w14:paraId="01B91493" w14:textId="77777777" w:rsidR="00D426C1" w:rsidRPr="00D77A43" w:rsidRDefault="0092571C" w:rsidP="006C43FC">
            <w:pPr>
              <w:shd w:val="clear" w:color="auto" w:fill="FFFFFF"/>
              <w:ind w:right="144"/>
              <w:jc w:val="right"/>
              <w:rPr>
                <w:sz w:val="22"/>
                <w:szCs w:val="22"/>
              </w:rPr>
            </w:pPr>
            <w:r w:rsidRPr="00D77A43">
              <w:rPr>
                <w:sz w:val="22"/>
                <w:szCs w:val="22"/>
              </w:rPr>
              <w:t>39,500</w:t>
            </w:r>
          </w:p>
        </w:tc>
        <w:tc>
          <w:tcPr>
            <w:tcW w:w="1367" w:type="dxa"/>
            <w:tcBorders>
              <w:top w:val="nil"/>
              <w:left w:val="nil"/>
              <w:bottom w:val="nil"/>
              <w:right w:val="nil"/>
            </w:tcBorders>
            <w:shd w:val="clear" w:color="auto" w:fill="FFFFFF"/>
            <w:vAlign w:val="bottom"/>
          </w:tcPr>
          <w:p w14:paraId="3456F86F" w14:textId="77777777" w:rsidR="00D426C1" w:rsidRPr="00D77A43" w:rsidRDefault="0092571C" w:rsidP="006C43FC">
            <w:pPr>
              <w:shd w:val="clear" w:color="auto" w:fill="FFFFFF"/>
              <w:ind w:right="144"/>
              <w:jc w:val="right"/>
              <w:rPr>
                <w:sz w:val="22"/>
                <w:szCs w:val="22"/>
              </w:rPr>
            </w:pPr>
            <w:r w:rsidRPr="00D77A43">
              <w:rPr>
                <w:sz w:val="22"/>
                <w:szCs w:val="22"/>
              </w:rPr>
              <w:t>2,250</w:t>
            </w:r>
          </w:p>
        </w:tc>
        <w:tc>
          <w:tcPr>
            <w:tcW w:w="1248" w:type="dxa"/>
            <w:tcBorders>
              <w:top w:val="nil"/>
              <w:left w:val="nil"/>
              <w:bottom w:val="nil"/>
              <w:right w:val="nil"/>
            </w:tcBorders>
            <w:shd w:val="clear" w:color="auto" w:fill="FFFFFF"/>
            <w:vAlign w:val="bottom"/>
          </w:tcPr>
          <w:p w14:paraId="07859A8A" w14:textId="77777777" w:rsidR="00D426C1" w:rsidRPr="00D77A43" w:rsidRDefault="0092571C" w:rsidP="006C43FC">
            <w:pPr>
              <w:shd w:val="clear" w:color="auto" w:fill="FFFFFF"/>
              <w:ind w:right="144"/>
              <w:jc w:val="right"/>
              <w:rPr>
                <w:sz w:val="22"/>
                <w:szCs w:val="22"/>
              </w:rPr>
            </w:pPr>
            <w:r w:rsidRPr="00D77A43">
              <w:rPr>
                <w:sz w:val="22"/>
                <w:szCs w:val="22"/>
              </w:rPr>
              <w:t>46</w:t>
            </w:r>
          </w:p>
        </w:tc>
      </w:tr>
      <w:tr w:rsidR="00D426C1" w:rsidRPr="00D77A43" w14:paraId="1298A9C2" w14:textId="77777777" w:rsidTr="003D7CBC">
        <w:trPr>
          <w:trHeight w:val="437"/>
          <w:jc w:val="center"/>
        </w:trPr>
        <w:tc>
          <w:tcPr>
            <w:tcW w:w="5980" w:type="dxa"/>
            <w:tcBorders>
              <w:top w:val="nil"/>
              <w:left w:val="nil"/>
              <w:right w:val="nil"/>
            </w:tcBorders>
            <w:shd w:val="clear" w:color="auto" w:fill="FFFFFF"/>
            <w:vAlign w:val="bottom"/>
          </w:tcPr>
          <w:p w14:paraId="5A4284DA" w14:textId="77777777" w:rsidR="00D426C1" w:rsidRPr="00D77A43" w:rsidRDefault="0092571C" w:rsidP="003D7CBC">
            <w:pPr>
              <w:shd w:val="clear" w:color="auto" w:fill="FFFFFF"/>
              <w:tabs>
                <w:tab w:val="left" w:leader="dot" w:pos="5760"/>
              </w:tabs>
              <w:ind w:left="216" w:hanging="216"/>
              <w:jc w:val="both"/>
              <w:rPr>
                <w:sz w:val="22"/>
                <w:szCs w:val="22"/>
              </w:rPr>
            </w:pPr>
            <w:r w:rsidRPr="00D77A43">
              <w:rPr>
                <w:sz w:val="22"/>
                <w:szCs w:val="22"/>
              </w:rPr>
              <w:t>Judge of the Supreme Court of the Australian Capital Territory</w:t>
            </w:r>
            <w:r w:rsidR="003D7CBC" w:rsidRPr="00D77A43">
              <w:rPr>
                <w:sz w:val="22"/>
                <w:szCs w:val="22"/>
              </w:rPr>
              <w:tab/>
            </w:r>
          </w:p>
        </w:tc>
        <w:tc>
          <w:tcPr>
            <w:tcW w:w="1234" w:type="dxa"/>
            <w:tcBorders>
              <w:top w:val="nil"/>
              <w:left w:val="nil"/>
              <w:bottom w:val="nil"/>
              <w:right w:val="nil"/>
            </w:tcBorders>
            <w:shd w:val="clear" w:color="auto" w:fill="FFFFFF"/>
            <w:vAlign w:val="bottom"/>
          </w:tcPr>
          <w:p w14:paraId="44EF8E17" w14:textId="77777777" w:rsidR="00D426C1" w:rsidRPr="00D77A43" w:rsidRDefault="0092571C" w:rsidP="006C43FC">
            <w:pPr>
              <w:shd w:val="clear" w:color="auto" w:fill="FFFFFF"/>
              <w:ind w:right="144"/>
              <w:jc w:val="right"/>
              <w:rPr>
                <w:sz w:val="22"/>
                <w:szCs w:val="22"/>
              </w:rPr>
            </w:pPr>
            <w:r w:rsidRPr="00D77A43">
              <w:rPr>
                <w:sz w:val="22"/>
                <w:szCs w:val="22"/>
              </w:rPr>
              <w:t>39,500</w:t>
            </w:r>
          </w:p>
        </w:tc>
        <w:tc>
          <w:tcPr>
            <w:tcW w:w="1367" w:type="dxa"/>
            <w:tcBorders>
              <w:top w:val="nil"/>
              <w:left w:val="nil"/>
              <w:bottom w:val="nil"/>
              <w:right w:val="nil"/>
            </w:tcBorders>
            <w:shd w:val="clear" w:color="auto" w:fill="FFFFFF"/>
            <w:vAlign w:val="bottom"/>
          </w:tcPr>
          <w:p w14:paraId="352ADB9A" w14:textId="77777777" w:rsidR="00D426C1" w:rsidRPr="00D77A43" w:rsidRDefault="0092571C" w:rsidP="006C43FC">
            <w:pPr>
              <w:shd w:val="clear" w:color="auto" w:fill="FFFFFF"/>
              <w:ind w:right="144"/>
              <w:jc w:val="right"/>
              <w:rPr>
                <w:sz w:val="22"/>
                <w:szCs w:val="22"/>
              </w:rPr>
            </w:pPr>
            <w:r w:rsidRPr="00D77A43">
              <w:rPr>
                <w:sz w:val="22"/>
                <w:szCs w:val="22"/>
              </w:rPr>
              <w:t>2,250</w:t>
            </w:r>
          </w:p>
        </w:tc>
        <w:tc>
          <w:tcPr>
            <w:tcW w:w="1248" w:type="dxa"/>
            <w:tcBorders>
              <w:top w:val="nil"/>
              <w:left w:val="nil"/>
              <w:bottom w:val="nil"/>
              <w:right w:val="nil"/>
            </w:tcBorders>
            <w:shd w:val="clear" w:color="auto" w:fill="FFFFFF"/>
            <w:vAlign w:val="bottom"/>
          </w:tcPr>
          <w:p w14:paraId="48377537" w14:textId="77777777" w:rsidR="00D426C1" w:rsidRPr="00D77A43" w:rsidRDefault="0092571C" w:rsidP="006C43FC">
            <w:pPr>
              <w:shd w:val="clear" w:color="auto" w:fill="FFFFFF"/>
              <w:ind w:right="144"/>
              <w:jc w:val="right"/>
              <w:rPr>
                <w:sz w:val="22"/>
                <w:szCs w:val="22"/>
              </w:rPr>
            </w:pPr>
            <w:r w:rsidRPr="00D77A43">
              <w:rPr>
                <w:sz w:val="22"/>
                <w:szCs w:val="22"/>
              </w:rPr>
              <w:t>46</w:t>
            </w:r>
          </w:p>
        </w:tc>
      </w:tr>
      <w:tr w:rsidR="00D426C1" w:rsidRPr="00D77A43" w14:paraId="3FDEB846" w14:textId="77777777" w:rsidTr="003D7CBC">
        <w:trPr>
          <w:trHeight w:val="341"/>
          <w:jc w:val="center"/>
        </w:trPr>
        <w:tc>
          <w:tcPr>
            <w:tcW w:w="5980" w:type="dxa"/>
            <w:tcBorders>
              <w:left w:val="nil"/>
              <w:bottom w:val="nil"/>
              <w:right w:val="nil"/>
            </w:tcBorders>
            <w:shd w:val="clear" w:color="auto" w:fill="FFFFFF"/>
            <w:vAlign w:val="bottom"/>
          </w:tcPr>
          <w:p w14:paraId="05B524BD" w14:textId="77777777" w:rsidR="00D426C1" w:rsidRPr="00D77A43" w:rsidRDefault="0092571C" w:rsidP="003D7CBC">
            <w:pPr>
              <w:shd w:val="clear" w:color="auto" w:fill="FFFFFF"/>
              <w:tabs>
                <w:tab w:val="left" w:leader="dot" w:pos="5760"/>
              </w:tabs>
              <w:ind w:left="216" w:hanging="216"/>
              <w:jc w:val="both"/>
              <w:rPr>
                <w:sz w:val="22"/>
                <w:szCs w:val="22"/>
              </w:rPr>
            </w:pPr>
            <w:r w:rsidRPr="00D77A43">
              <w:rPr>
                <w:sz w:val="22"/>
                <w:szCs w:val="22"/>
              </w:rPr>
              <w:t>Judge of the Supreme Court of the Northern Territory</w:t>
            </w:r>
            <w:r w:rsidR="003D7CBC" w:rsidRPr="00D77A43">
              <w:rPr>
                <w:sz w:val="22"/>
                <w:szCs w:val="22"/>
              </w:rPr>
              <w:tab/>
            </w:r>
          </w:p>
        </w:tc>
        <w:tc>
          <w:tcPr>
            <w:tcW w:w="1234" w:type="dxa"/>
            <w:tcBorders>
              <w:top w:val="nil"/>
              <w:left w:val="nil"/>
              <w:bottom w:val="nil"/>
              <w:right w:val="nil"/>
            </w:tcBorders>
            <w:shd w:val="clear" w:color="auto" w:fill="FFFFFF"/>
            <w:vAlign w:val="bottom"/>
          </w:tcPr>
          <w:p w14:paraId="114F0F0D" w14:textId="77777777" w:rsidR="00D426C1" w:rsidRPr="00D77A43" w:rsidRDefault="0092571C" w:rsidP="006C43FC">
            <w:pPr>
              <w:shd w:val="clear" w:color="auto" w:fill="FFFFFF"/>
              <w:ind w:right="144"/>
              <w:jc w:val="right"/>
              <w:rPr>
                <w:sz w:val="22"/>
                <w:szCs w:val="22"/>
              </w:rPr>
            </w:pPr>
            <w:r w:rsidRPr="00D77A43">
              <w:rPr>
                <w:sz w:val="22"/>
                <w:szCs w:val="22"/>
              </w:rPr>
              <w:t>39,500</w:t>
            </w:r>
          </w:p>
        </w:tc>
        <w:tc>
          <w:tcPr>
            <w:tcW w:w="1367" w:type="dxa"/>
            <w:tcBorders>
              <w:top w:val="nil"/>
              <w:left w:val="nil"/>
              <w:bottom w:val="nil"/>
              <w:right w:val="nil"/>
            </w:tcBorders>
            <w:shd w:val="clear" w:color="auto" w:fill="FFFFFF"/>
            <w:vAlign w:val="bottom"/>
          </w:tcPr>
          <w:p w14:paraId="21011587" w14:textId="77777777" w:rsidR="00D426C1" w:rsidRPr="00D77A43" w:rsidRDefault="0092571C" w:rsidP="006C43FC">
            <w:pPr>
              <w:shd w:val="clear" w:color="auto" w:fill="FFFFFF"/>
              <w:ind w:right="144"/>
              <w:jc w:val="right"/>
              <w:rPr>
                <w:sz w:val="22"/>
                <w:szCs w:val="22"/>
              </w:rPr>
            </w:pPr>
            <w:r w:rsidRPr="00D77A43">
              <w:rPr>
                <w:sz w:val="22"/>
                <w:szCs w:val="22"/>
              </w:rPr>
              <w:t>2,250</w:t>
            </w:r>
          </w:p>
        </w:tc>
        <w:tc>
          <w:tcPr>
            <w:tcW w:w="1248" w:type="dxa"/>
            <w:tcBorders>
              <w:top w:val="nil"/>
              <w:left w:val="nil"/>
              <w:bottom w:val="nil"/>
              <w:right w:val="nil"/>
            </w:tcBorders>
            <w:shd w:val="clear" w:color="auto" w:fill="FFFFFF"/>
            <w:vAlign w:val="bottom"/>
          </w:tcPr>
          <w:p w14:paraId="41A3B189" w14:textId="77777777" w:rsidR="00D426C1" w:rsidRPr="00D77A43" w:rsidRDefault="0092571C" w:rsidP="006C43FC">
            <w:pPr>
              <w:shd w:val="clear" w:color="auto" w:fill="FFFFFF"/>
              <w:ind w:right="144"/>
              <w:jc w:val="right"/>
              <w:rPr>
                <w:sz w:val="22"/>
                <w:szCs w:val="22"/>
              </w:rPr>
            </w:pPr>
            <w:r w:rsidRPr="00D77A43">
              <w:rPr>
                <w:sz w:val="22"/>
                <w:szCs w:val="22"/>
              </w:rPr>
              <w:t>46</w:t>
            </w:r>
          </w:p>
        </w:tc>
      </w:tr>
      <w:tr w:rsidR="00D426C1" w:rsidRPr="00D77A43" w14:paraId="4C4DE25B" w14:textId="77777777" w:rsidTr="003D7CBC">
        <w:trPr>
          <w:trHeight w:val="451"/>
          <w:jc w:val="center"/>
        </w:trPr>
        <w:tc>
          <w:tcPr>
            <w:tcW w:w="5980" w:type="dxa"/>
            <w:tcBorders>
              <w:top w:val="nil"/>
              <w:left w:val="nil"/>
              <w:bottom w:val="nil"/>
              <w:right w:val="nil"/>
            </w:tcBorders>
            <w:shd w:val="clear" w:color="auto" w:fill="FFFFFF"/>
            <w:vAlign w:val="bottom"/>
          </w:tcPr>
          <w:p w14:paraId="5E5037A9" w14:textId="77777777" w:rsidR="00D426C1" w:rsidRPr="00D77A43" w:rsidRDefault="0092571C" w:rsidP="003D7CBC">
            <w:pPr>
              <w:shd w:val="clear" w:color="auto" w:fill="FFFFFF"/>
              <w:tabs>
                <w:tab w:val="left" w:leader="dot" w:pos="5760"/>
              </w:tabs>
              <w:ind w:left="216" w:hanging="216"/>
              <w:jc w:val="both"/>
              <w:rPr>
                <w:sz w:val="22"/>
                <w:szCs w:val="22"/>
              </w:rPr>
            </w:pPr>
            <w:r w:rsidRPr="00D77A43">
              <w:rPr>
                <w:sz w:val="22"/>
                <w:szCs w:val="22"/>
              </w:rPr>
              <w:t>Deputy President of the Australian Conciliation and Arbitration Commission</w:t>
            </w:r>
            <w:r w:rsidR="003D7CBC" w:rsidRPr="00D77A43">
              <w:rPr>
                <w:sz w:val="22"/>
                <w:szCs w:val="22"/>
              </w:rPr>
              <w:tab/>
            </w:r>
          </w:p>
        </w:tc>
        <w:tc>
          <w:tcPr>
            <w:tcW w:w="1234" w:type="dxa"/>
            <w:tcBorders>
              <w:top w:val="nil"/>
              <w:left w:val="nil"/>
              <w:bottom w:val="nil"/>
              <w:right w:val="nil"/>
            </w:tcBorders>
            <w:shd w:val="clear" w:color="auto" w:fill="FFFFFF"/>
            <w:vAlign w:val="bottom"/>
          </w:tcPr>
          <w:p w14:paraId="46742D41" w14:textId="77777777" w:rsidR="00D426C1" w:rsidRPr="00D77A43" w:rsidRDefault="0092571C" w:rsidP="006C43FC">
            <w:pPr>
              <w:shd w:val="clear" w:color="auto" w:fill="FFFFFF"/>
              <w:ind w:right="144"/>
              <w:jc w:val="right"/>
              <w:rPr>
                <w:sz w:val="22"/>
                <w:szCs w:val="22"/>
              </w:rPr>
            </w:pPr>
            <w:r w:rsidRPr="00D77A43">
              <w:rPr>
                <w:sz w:val="22"/>
                <w:szCs w:val="22"/>
              </w:rPr>
              <w:t>39,500</w:t>
            </w:r>
          </w:p>
        </w:tc>
        <w:tc>
          <w:tcPr>
            <w:tcW w:w="1367" w:type="dxa"/>
            <w:tcBorders>
              <w:top w:val="nil"/>
              <w:left w:val="nil"/>
              <w:bottom w:val="nil"/>
              <w:right w:val="nil"/>
            </w:tcBorders>
            <w:shd w:val="clear" w:color="auto" w:fill="FFFFFF"/>
            <w:vAlign w:val="bottom"/>
          </w:tcPr>
          <w:p w14:paraId="71F8EECD" w14:textId="77777777" w:rsidR="00D426C1" w:rsidRPr="00D77A43" w:rsidRDefault="0092571C" w:rsidP="006C43FC">
            <w:pPr>
              <w:shd w:val="clear" w:color="auto" w:fill="FFFFFF"/>
              <w:ind w:right="144"/>
              <w:jc w:val="right"/>
              <w:rPr>
                <w:sz w:val="22"/>
                <w:szCs w:val="22"/>
              </w:rPr>
            </w:pPr>
            <w:r w:rsidRPr="00D77A43">
              <w:rPr>
                <w:sz w:val="22"/>
                <w:szCs w:val="22"/>
              </w:rPr>
              <w:t>2,250</w:t>
            </w:r>
          </w:p>
        </w:tc>
        <w:tc>
          <w:tcPr>
            <w:tcW w:w="1248" w:type="dxa"/>
            <w:tcBorders>
              <w:top w:val="nil"/>
              <w:left w:val="nil"/>
              <w:bottom w:val="nil"/>
              <w:right w:val="nil"/>
            </w:tcBorders>
            <w:shd w:val="clear" w:color="auto" w:fill="FFFFFF"/>
            <w:vAlign w:val="bottom"/>
          </w:tcPr>
          <w:p w14:paraId="75EE26A8" w14:textId="77777777" w:rsidR="00D426C1" w:rsidRPr="00D77A43" w:rsidRDefault="0092571C" w:rsidP="006C43FC">
            <w:pPr>
              <w:shd w:val="clear" w:color="auto" w:fill="FFFFFF"/>
              <w:ind w:right="144"/>
              <w:jc w:val="right"/>
              <w:rPr>
                <w:sz w:val="22"/>
                <w:szCs w:val="22"/>
              </w:rPr>
            </w:pPr>
            <w:r w:rsidRPr="00D77A43">
              <w:rPr>
                <w:sz w:val="22"/>
                <w:szCs w:val="22"/>
              </w:rPr>
              <w:t>46</w:t>
            </w:r>
          </w:p>
        </w:tc>
      </w:tr>
      <w:tr w:rsidR="00D426C1" w:rsidRPr="00D77A43" w14:paraId="66DA8DDA" w14:textId="77777777" w:rsidTr="003D7CBC">
        <w:trPr>
          <w:trHeight w:val="317"/>
          <w:jc w:val="center"/>
        </w:trPr>
        <w:tc>
          <w:tcPr>
            <w:tcW w:w="5980" w:type="dxa"/>
            <w:tcBorders>
              <w:top w:val="nil"/>
              <w:left w:val="nil"/>
              <w:bottom w:val="nil"/>
              <w:right w:val="nil"/>
            </w:tcBorders>
            <w:shd w:val="clear" w:color="auto" w:fill="FFFFFF"/>
            <w:vAlign w:val="bottom"/>
          </w:tcPr>
          <w:p w14:paraId="62F1A97A" w14:textId="77777777" w:rsidR="00D426C1" w:rsidRPr="00D77A43" w:rsidRDefault="0092571C" w:rsidP="003D7CBC">
            <w:pPr>
              <w:shd w:val="clear" w:color="auto" w:fill="FFFFFF"/>
              <w:tabs>
                <w:tab w:val="left" w:leader="dot" w:pos="5760"/>
              </w:tabs>
              <w:ind w:left="216" w:hanging="216"/>
              <w:jc w:val="both"/>
              <w:rPr>
                <w:sz w:val="22"/>
                <w:szCs w:val="22"/>
              </w:rPr>
            </w:pPr>
            <w:r w:rsidRPr="00D77A43">
              <w:rPr>
                <w:sz w:val="22"/>
                <w:szCs w:val="22"/>
              </w:rPr>
              <w:t>Senior Judge of the Family Court of Australia</w:t>
            </w:r>
            <w:r w:rsidR="003D7CBC" w:rsidRPr="00D77A43">
              <w:rPr>
                <w:sz w:val="22"/>
                <w:szCs w:val="22"/>
              </w:rPr>
              <w:tab/>
            </w:r>
          </w:p>
        </w:tc>
        <w:tc>
          <w:tcPr>
            <w:tcW w:w="1234" w:type="dxa"/>
            <w:tcBorders>
              <w:top w:val="nil"/>
              <w:left w:val="nil"/>
              <w:bottom w:val="nil"/>
              <w:right w:val="nil"/>
            </w:tcBorders>
            <w:shd w:val="clear" w:color="auto" w:fill="FFFFFF"/>
            <w:vAlign w:val="bottom"/>
          </w:tcPr>
          <w:p w14:paraId="6BFFA727" w14:textId="77777777" w:rsidR="00D426C1" w:rsidRPr="00D77A43" w:rsidRDefault="0092571C" w:rsidP="006C43FC">
            <w:pPr>
              <w:shd w:val="clear" w:color="auto" w:fill="FFFFFF"/>
              <w:ind w:right="144"/>
              <w:jc w:val="right"/>
              <w:rPr>
                <w:sz w:val="22"/>
                <w:szCs w:val="22"/>
              </w:rPr>
            </w:pPr>
            <w:r w:rsidRPr="00D77A43">
              <w:rPr>
                <w:sz w:val="22"/>
                <w:szCs w:val="22"/>
              </w:rPr>
              <w:t>38,000</w:t>
            </w:r>
          </w:p>
        </w:tc>
        <w:tc>
          <w:tcPr>
            <w:tcW w:w="1367" w:type="dxa"/>
            <w:tcBorders>
              <w:top w:val="nil"/>
              <w:left w:val="nil"/>
              <w:bottom w:val="nil"/>
              <w:right w:val="nil"/>
            </w:tcBorders>
            <w:shd w:val="clear" w:color="auto" w:fill="FFFFFF"/>
            <w:vAlign w:val="bottom"/>
          </w:tcPr>
          <w:p w14:paraId="49BC6A58" w14:textId="77777777" w:rsidR="00D426C1" w:rsidRPr="00D77A43" w:rsidRDefault="0092571C" w:rsidP="006C43FC">
            <w:pPr>
              <w:shd w:val="clear" w:color="auto" w:fill="FFFFFF"/>
              <w:ind w:right="144"/>
              <w:jc w:val="right"/>
              <w:rPr>
                <w:sz w:val="22"/>
                <w:szCs w:val="22"/>
              </w:rPr>
            </w:pPr>
            <w:r w:rsidRPr="00D77A43">
              <w:rPr>
                <w:sz w:val="22"/>
                <w:szCs w:val="22"/>
              </w:rPr>
              <w:t>2,000</w:t>
            </w:r>
          </w:p>
        </w:tc>
        <w:tc>
          <w:tcPr>
            <w:tcW w:w="1248" w:type="dxa"/>
            <w:tcBorders>
              <w:top w:val="nil"/>
              <w:left w:val="nil"/>
              <w:bottom w:val="nil"/>
              <w:right w:val="nil"/>
            </w:tcBorders>
            <w:shd w:val="clear" w:color="auto" w:fill="FFFFFF"/>
            <w:vAlign w:val="bottom"/>
          </w:tcPr>
          <w:p w14:paraId="5C489074" w14:textId="77777777" w:rsidR="00D426C1" w:rsidRPr="00D77A43" w:rsidRDefault="0092571C" w:rsidP="006C43FC">
            <w:pPr>
              <w:shd w:val="clear" w:color="auto" w:fill="FFFFFF"/>
              <w:ind w:right="144"/>
              <w:jc w:val="right"/>
              <w:rPr>
                <w:sz w:val="22"/>
                <w:szCs w:val="22"/>
              </w:rPr>
            </w:pPr>
            <w:r w:rsidRPr="00D77A43">
              <w:rPr>
                <w:sz w:val="22"/>
                <w:szCs w:val="22"/>
              </w:rPr>
              <w:t>46</w:t>
            </w:r>
          </w:p>
        </w:tc>
      </w:tr>
      <w:tr w:rsidR="00D426C1" w:rsidRPr="00D77A43" w14:paraId="0612690A" w14:textId="77777777" w:rsidTr="00D77A43">
        <w:trPr>
          <w:trHeight w:val="612"/>
          <w:jc w:val="center"/>
        </w:trPr>
        <w:tc>
          <w:tcPr>
            <w:tcW w:w="5980" w:type="dxa"/>
            <w:tcBorders>
              <w:top w:val="nil"/>
              <w:left w:val="nil"/>
              <w:bottom w:val="single" w:sz="6" w:space="0" w:color="auto"/>
              <w:right w:val="nil"/>
            </w:tcBorders>
            <w:shd w:val="clear" w:color="auto" w:fill="FFFFFF"/>
            <w:vAlign w:val="bottom"/>
          </w:tcPr>
          <w:p w14:paraId="6980CA9F" w14:textId="77777777" w:rsidR="00D426C1" w:rsidRPr="00D77A43" w:rsidRDefault="0092571C" w:rsidP="003D7CBC">
            <w:pPr>
              <w:shd w:val="clear" w:color="auto" w:fill="FFFFFF"/>
              <w:tabs>
                <w:tab w:val="left" w:leader="dot" w:pos="5760"/>
              </w:tabs>
              <w:ind w:left="216" w:hanging="216"/>
              <w:jc w:val="both"/>
              <w:rPr>
                <w:sz w:val="22"/>
                <w:szCs w:val="22"/>
              </w:rPr>
            </w:pPr>
            <w:r w:rsidRPr="00D77A43">
              <w:rPr>
                <w:sz w:val="22"/>
                <w:szCs w:val="22"/>
              </w:rPr>
              <w:t>Judge (other than the Chief Judge or a Senior Judge) of the Family Court of Australia</w:t>
            </w:r>
            <w:r w:rsidR="003D7CBC" w:rsidRPr="00D77A43">
              <w:rPr>
                <w:sz w:val="22"/>
                <w:szCs w:val="22"/>
              </w:rPr>
              <w:tab/>
            </w:r>
          </w:p>
        </w:tc>
        <w:tc>
          <w:tcPr>
            <w:tcW w:w="1234" w:type="dxa"/>
            <w:tcBorders>
              <w:top w:val="nil"/>
              <w:left w:val="nil"/>
              <w:bottom w:val="single" w:sz="6" w:space="0" w:color="auto"/>
              <w:right w:val="nil"/>
            </w:tcBorders>
            <w:shd w:val="clear" w:color="auto" w:fill="FFFFFF"/>
            <w:vAlign w:val="bottom"/>
          </w:tcPr>
          <w:p w14:paraId="0CEA1B38" w14:textId="77777777" w:rsidR="00D426C1" w:rsidRPr="00D77A43" w:rsidRDefault="0092571C" w:rsidP="006C43FC">
            <w:pPr>
              <w:shd w:val="clear" w:color="auto" w:fill="FFFFFF"/>
              <w:ind w:right="144"/>
              <w:jc w:val="right"/>
              <w:rPr>
                <w:sz w:val="22"/>
                <w:szCs w:val="22"/>
              </w:rPr>
            </w:pPr>
            <w:r w:rsidRPr="00D77A43">
              <w:rPr>
                <w:sz w:val="22"/>
                <w:szCs w:val="22"/>
              </w:rPr>
              <w:t>33,000</w:t>
            </w:r>
          </w:p>
        </w:tc>
        <w:tc>
          <w:tcPr>
            <w:tcW w:w="1367" w:type="dxa"/>
            <w:tcBorders>
              <w:top w:val="nil"/>
              <w:left w:val="nil"/>
              <w:bottom w:val="single" w:sz="6" w:space="0" w:color="auto"/>
              <w:right w:val="nil"/>
            </w:tcBorders>
            <w:shd w:val="clear" w:color="auto" w:fill="FFFFFF"/>
            <w:vAlign w:val="bottom"/>
          </w:tcPr>
          <w:p w14:paraId="0C22E493" w14:textId="77777777" w:rsidR="00D426C1" w:rsidRPr="00D77A43" w:rsidRDefault="0092571C" w:rsidP="006C43FC">
            <w:pPr>
              <w:shd w:val="clear" w:color="auto" w:fill="FFFFFF"/>
              <w:ind w:right="144"/>
              <w:jc w:val="right"/>
              <w:rPr>
                <w:sz w:val="22"/>
                <w:szCs w:val="22"/>
              </w:rPr>
            </w:pPr>
            <w:r w:rsidRPr="00D77A43">
              <w:rPr>
                <w:sz w:val="22"/>
                <w:szCs w:val="22"/>
              </w:rPr>
              <w:t>2,000</w:t>
            </w:r>
          </w:p>
        </w:tc>
        <w:tc>
          <w:tcPr>
            <w:tcW w:w="1248" w:type="dxa"/>
            <w:tcBorders>
              <w:top w:val="nil"/>
              <w:left w:val="nil"/>
              <w:bottom w:val="single" w:sz="6" w:space="0" w:color="auto"/>
              <w:right w:val="nil"/>
            </w:tcBorders>
            <w:shd w:val="clear" w:color="auto" w:fill="FFFFFF"/>
            <w:vAlign w:val="bottom"/>
          </w:tcPr>
          <w:p w14:paraId="31A79BD8" w14:textId="77777777" w:rsidR="00D426C1" w:rsidRPr="00D77A43" w:rsidRDefault="0092571C" w:rsidP="006C43FC">
            <w:pPr>
              <w:shd w:val="clear" w:color="auto" w:fill="FFFFFF"/>
              <w:ind w:right="144"/>
              <w:jc w:val="right"/>
              <w:rPr>
                <w:sz w:val="22"/>
                <w:szCs w:val="22"/>
              </w:rPr>
            </w:pPr>
            <w:r w:rsidRPr="00D77A43">
              <w:rPr>
                <w:sz w:val="22"/>
                <w:szCs w:val="22"/>
              </w:rPr>
              <w:t>46</w:t>
            </w:r>
          </w:p>
        </w:tc>
      </w:tr>
    </w:tbl>
    <w:p w14:paraId="0B54679F" w14:textId="77777777" w:rsidR="00D426C1" w:rsidRPr="00D77A43" w:rsidRDefault="005C6740" w:rsidP="00272CA7">
      <w:pPr>
        <w:shd w:val="clear" w:color="auto" w:fill="FFFFFF"/>
        <w:spacing w:before="120" w:after="60"/>
        <w:jc w:val="both"/>
        <w:rPr>
          <w:b/>
          <w:szCs w:val="22"/>
        </w:rPr>
      </w:pPr>
      <w:r w:rsidRPr="00D77A43">
        <w:rPr>
          <w:sz w:val="24"/>
          <w:szCs w:val="22"/>
        </w:rPr>
        <w:br w:type="page"/>
      </w:r>
      <w:r w:rsidR="0092571C" w:rsidRPr="00D77A43">
        <w:rPr>
          <w:b/>
          <w:szCs w:val="22"/>
        </w:rPr>
        <w:lastRenderedPageBreak/>
        <w:t>Schedule 4.</w:t>
      </w:r>
    </w:p>
    <w:p w14:paraId="40180113" w14:textId="77777777" w:rsidR="00D426C1" w:rsidRPr="00D77A43" w:rsidRDefault="0092571C" w:rsidP="00272CA7">
      <w:pPr>
        <w:shd w:val="clear" w:color="auto" w:fill="FFFFFF"/>
        <w:spacing w:after="60"/>
        <w:ind w:firstLine="288"/>
        <w:jc w:val="both"/>
        <w:rPr>
          <w:sz w:val="24"/>
          <w:szCs w:val="22"/>
        </w:rPr>
      </w:pPr>
      <w:r w:rsidRPr="00D77A43">
        <w:rPr>
          <w:b/>
          <w:bCs/>
          <w:sz w:val="24"/>
          <w:szCs w:val="22"/>
        </w:rPr>
        <w:t>6.</w:t>
      </w:r>
      <w:r w:rsidRPr="00D77A43">
        <w:rPr>
          <w:sz w:val="24"/>
          <w:szCs w:val="22"/>
        </w:rPr>
        <w:t xml:space="preserve"> The Principal Act is amended by adding at the end thereof the following Schedule:</w:t>
      </w:r>
      <w:r w:rsidRPr="00D77A43">
        <w:rPr>
          <w:rFonts w:eastAsia="Times New Roman"/>
          <w:sz w:val="24"/>
          <w:szCs w:val="22"/>
        </w:rPr>
        <w:t>—</w:t>
      </w:r>
    </w:p>
    <w:p w14:paraId="73EE0639" w14:textId="77777777" w:rsidR="00D426C1" w:rsidRPr="00D77A43" w:rsidRDefault="0092571C" w:rsidP="00272CA7">
      <w:pPr>
        <w:shd w:val="clear" w:color="auto" w:fill="FFFFFF"/>
        <w:tabs>
          <w:tab w:val="left" w:pos="4500"/>
        </w:tabs>
        <w:spacing w:before="120" w:after="120"/>
        <w:jc w:val="right"/>
        <w:rPr>
          <w:sz w:val="24"/>
          <w:szCs w:val="22"/>
        </w:rPr>
      </w:pPr>
      <w:r w:rsidRPr="00D77A43">
        <w:rPr>
          <w:sz w:val="28"/>
          <w:szCs w:val="22"/>
        </w:rPr>
        <w:t>SCHEDULE 4</w:t>
      </w:r>
      <w:r w:rsidR="00272CA7" w:rsidRPr="00D77A43">
        <w:rPr>
          <w:sz w:val="24"/>
          <w:szCs w:val="22"/>
        </w:rPr>
        <w:tab/>
      </w:r>
      <w:r w:rsidRPr="00D77A43">
        <w:rPr>
          <w:sz w:val="24"/>
          <w:szCs w:val="22"/>
        </w:rPr>
        <w:t>Section 15</w:t>
      </w:r>
    </w:p>
    <w:tbl>
      <w:tblPr>
        <w:tblW w:w="4751" w:type="pct"/>
        <w:jc w:val="right"/>
        <w:tblLayout w:type="fixed"/>
        <w:tblCellMar>
          <w:left w:w="40" w:type="dxa"/>
          <w:right w:w="40" w:type="dxa"/>
        </w:tblCellMar>
        <w:tblLook w:val="0000" w:firstRow="0" w:lastRow="0" w:firstColumn="0" w:lastColumn="0" w:noHBand="0" w:noVBand="0"/>
      </w:tblPr>
      <w:tblGrid>
        <w:gridCol w:w="5491"/>
        <w:gridCol w:w="1222"/>
        <w:gridCol w:w="1366"/>
        <w:gridCol w:w="1261"/>
      </w:tblGrid>
      <w:tr w:rsidR="00D426C1" w:rsidRPr="00D77A43" w14:paraId="0E052EFE" w14:textId="77777777" w:rsidTr="00023127">
        <w:trPr>
          <w:trHeight w:val="221"/>
          <w:jc w:val="right"/>
        </w:trPr>
        <w:tc>
          <w:tcPr>
            <w:tcW w:w="5490" w:type="dxa"/>
            <w:tcBorders>
              <w:top w:val="single" w:sz="6" w:space="0" w:color="auto"/>
              <w:left w:val="nil"/>
              <w:bottom w:val="nil"/>
              <w:right w:val="nil"/>
            </w:tcBorders>
            <w:shd w:val="clear" w:color="auto" w:fill="FFFFFF"/>
            <w:vAlign w:val="bottom"/>
          </w:tcPr>
          <w:p w14:paraId="0D71AE20" w14:textId="77777777" w:rsidR="00D426C1" w:rsidRPr="00D77A43" w:rsidRDefault="0092571C" w:rsidP="005C6740">
            <w:pPr>
              <w:shd w:val="clear" w:color="auto" w:fill="FFFFFF"/>
              <w:jc w:val="both"/>
              <w:rPr>
                <w:sz w:val="22"/>
                <w:szCs w:val="22"/>
              </w:rPr>
            </w:pPr>
            <w:r w:rsidRPr="00D77A43">
              <w:rPr>
                <w:sz w:val="22"/>
                <w:szCs w:val="22"/>
              </w:rPr>
              <w:t>Column 1</w:t>
            </w:r>
          </w:p>
        </w:tc>
        <w:tc>
          <w:tcPr>
            <w:tcW w:w="1222" w:type="dxa"/>
            <w:tcBorders>
              <w:top w:val="single" w:sz="6" w:space="0" w:color="auto"/>
              <w:left w:val="nil"/>
              <w:bottom w:val="nil"/>
              <w:right w:val="nil"/>
            </w:tcBorders>
            <w:shd w:val="clear" w:color="auto" w:fill="FFFFFF"/>
            <w:vAlign w:val="bottom"/>
          </w:tcPr>
          <w:p w14:paraId="5D31A703" w14:textId="77777777" w:rsidR="00D426C1" w:rsidRPr="00D77A43" w:rsidRDefault="0092571C" w:rsidP="00272CA7">
            <w:pPr>
              <w:shd w:val="clear" w:color="auto" w:fill="FFFFFF"/>
              <w:ind w:right="144"/>
              <w:jc w:val="right"/>
              <w:rPr>
                <w:sz w:val="22"/>
                <w:szCs w:val="22"/>
              </w:rPr>
            </w:pPr>
            <w:r w:rsidRPr="00D77A43">
              <w:rPr>
                <w:sz w:val="22"/>
                <w:szCs w:val="22"/>
              </w:rPr>
              <w:t>Column 2</w:t>
            </w:r>
          </w:p>
        </w:tc>
        <w:tc>
          <w:tcPr>
            <w:tcW w:w="1366" w:type="dxa"/>
            <w:tcBorders>
              <w:top w:val="single" w:sz="6" w:space="0" w:color="auto"/>
              <w:left w:val="nil"/>
              <w:bottom w:val="nil"/>
              <w:right w:val="nil"/>
            </w:tcBorders>
            <w:shd w:val="clear" w:color="auto" w:fill="FFFFFF"/>
            <w:vAlign w:val="bottom"/>
          </w:tcPr>
          <w:p w14:paraId="54E1106E" w14:textId="77777777" w:rsidR="00D426C1" w:rsidRPr="00D77A43" w:rsidRDefault="0092571C" w:rsidP="00272CA7">
            <w:pPr>
              <w:shd w:val="clear" w:color="auto" w:fill="FFFFFF"/>
              <w:ind w:right="144"/>
              <w:jc w:val="right"/>
              <w:rPr>
                <w:sz w:val="22"/>
                <w:szCs w:val="22"/>
              </w:rPr>
            </w:pPr>
            <w:r w:rsidRPr="00D77A43">
              <w:rPr>
                <w:sz w:val="22"/>
                <w:szCs w:val="22"/>
              </w:rPr>
              <w:t>Column 3</w:t>
            </w:r>
          </w:p>
        </w:tc>
        <w:tc>
          <w:tcPr>
            <w:tcW w:w="1261" w:type="dxa"/>
            <w:tcBorders>
              <w:top w:val="single" w:sz="6" w:space="0" w:color="auto"/>
              <w:left w:val="nil"/>
              <w:bottom w:val="nil"/>
              <w:right w:val="nil"/>
            </w:tcBorders>
            <w:shd w:val="clear" w:color="auto" w:fill="FFFFFF"/>
            <w:vAlign w:val="bottom"/>
          </w:tcPr>
          <w:p w14:paraId="59402CD8" w14:textId="77777777" w:rsidR="00D426C1" w:rsidRPr="00D77A43" w:rsidRDefault="0092571C" w:rsidP="00272CA7">
            <w:pPr>
              <w:shd w:val="clear" w:color="auto" w:fill="FFFFFF"/>
              <w:ind w:right="144"/>
              <w:jc w:val="right"/>
              <w:rPr>
                <w:sz w:val="22"/>
                <w:szCs w:val="22"/>
              </w:rPr>
            </w:pPr>
            <w:r w:rsidRPr="00D77A43">
              <w:rPr>
                <w:sz w:val="22"/>
                <w:szCs w:val="22"/>
              </w:rPr>
              <w:t>Column 4</w:t>
            </w:r>
          </w:p>
        </w:tc>
      </w:tr>
      <w:tr w:rsidR="00D426C1" w:rsidRPr="00D77A43" w14:paraId="0F79AB92" w14:textId="77777777" w:rsidTr="00023127">
        <w:trPr>
          <w:trHeight w:val="773"/>
          <w:jc w:val="right"/>
        </w:trPr>
        <w:tc>
          <w:tcPr>
            <w:tcW w:w="5490" w:type="dxa"/>
            <w:tcBorders>
              <w:top w:val="nil"/>
              <w:left w:val="nil"/>
              <w:bottom w:val="single" w:sz="6" w:space="0" w:color="auto"/>
              <w:right w:val="nil"/>
            </w:tcBorders>
            <w:shd w:val="clear" w:color="auto" w:fill="FFFFFF"/>
            <w:vAlign w:val="bottom"/>
          </w:tcPr>
          <w:p w14:paraId="77E8758D" w14:textId="77777777" w:rsidR="00D426C1" w:rsidRPr="00D77A43" w:rsidRDefault="0092571C" w:rsidP="005C6740">
            <w:pPr>
              <w:shd w:val="clear" w:color="auto" w:fill="FFFFFF"/>
              <w:jc w:val="both"/>
              <w:rPr>
                <w:sz w:val="22"/>
                <w:szCs w:val="22"/>
              </w:rPr>
            </w:pPr>
            <w:r w:rsidRPr="00D77A43">
              <w:rPr>
                <w:sz w:val="22"/>
                <w:szCs w:val="22"/>
              </w:rPr>
              <w:t>Office</w:t>
            </w:r>
          </w:p>
        </w:tc>
        <w:tc>
          <w:tcPr>
            <w:tcW w:w="1222" w:type="dxa"/>
            <w:tcBorders>
              <w:top w:val="nil"/>
              <w:left w:val="nil"/>
              <w:bottom w:val="single" w:sz="6" w:space="0" w:color="auto"/>
              <w:right w:val="nil"/>
            </w:tcBorders>
            <w:shd w:val="clear" w:color="auto" w:fill="FFFFFF"/>
            <w:vAlign w:val="bottom"/>
          </w:tcPr>
          <w:p w14:paraId="2BF293AA" w14:textId="77777777" w:rsidR="00D426C1" w:rsidRPr="00D77A43" w:rsidRDefault="0092571C" w:rsidP="00272CA7">
            <w:pPr>
              <w:shd w:val="clear" w:color="auto" w:fill="FFFFFF"/>
              <w:ind w:right="144"/>
              <w:jc w:val="right"/>
              <w:rPr>
                <w:sz w:val="22"/>
                <w:szCs w:val="22"/>
              </w:rPr>
            </w:pPr>
            <w:r w:rsidRPr="00D77A43">
              <w:rPr>
                <w:sz w:val="22"/>
                <w:szCs w:val="22"/>
              </w:rPr>
              <w:t>Rate per annum of Salary</w:t>
            </w:r>
          </w:p>
        </w:tc>
        <w:tc>
          <w:tcPr>
            <w:tcW w:w="1366" w:type="dxa"/>
            <w:tcBorders>
              <w:top w:val="nil"/>
              <w:left w:val="nil"/>
              <w:bottom w:val="single" w:sz="6" w:space="0" w:color="auto"/>
              <w:right w:val="nil"/>
            </w:tcBorders>
            <w:shd w:val="clear" w:color="auto" w:fill="FFFFFF"/>
            <w:vAlign w:val="bottom"/>
          </w:tcPr>
          <w:p w14:paraId="1417BAE6" w14:textId="77777777" w:rsidR="00D426C1" w:rsidRPr="00D77A43" w:rsidRDefault="0092571C" w:rsidP="00272CA7">
            <w:pPr>
              <w:shd w:val="clear" w:color="auto" w:fill="FFFFFF"/>
              <w:ind w:right="144"/>
              <w:jc w:val="right"/>
              <w:rPr>
                <w:sz w:val="22"/>
                <w:szCs w:val="22"/>
              </w:rPr>
            </w:pPr>
            <w:r w:rsidRPr="00D77A43">
              <w:rPr>
                <w:sz w:val="22"/>
                <w:szCs w:val="22"/>
              </w:rPr>
              <w:t>Rate per annum of Annual Allowance</w:t>
            </w:r>
          </w:p>
        </w:tc>
        <w:tc>
          <w:tcPr>
            <w:tcW w:w="1261" w:type="dxa"/>
            <w:tcBorders>
              <w:top w:val="nil"/>
              <w:left w:val="nil"/>
              <w:bottom w:val="single" w:sz="6" w:space="0" w:color="auto"/>
              <w:right w:val="nil"/>
            </w:tcBorders>
            <w:shd w:val="clear" w:color="auto" w:fill="FFFFFF"/>
            <w:vAlign w:val="bottom"/>
          </w:tcPr>
          <w:p w14:paraId="6D69D0BC" w14:textId="77777777" w:rsidR="00D426C1" w:rsidRPr="00D77A43" w:rsidRDefault="0092571C" w:rsidP="00272CA7">
            <w:pPr>
              <w:shd w:val="clear" w:color="auto" w:fill="FFFFFF"/>
              <w:ind w:right="144"/>
              <w:jc w:val="right"/>
              <w:rPr>
                <w:sz w:val="22"/>
                <w:szCs w:val="22"/>
              </w:rPr>
            </w:pPr>
            <w:r w:rsidRPr="00D77A43">
              <w:rPr>
                <w:sz w:val="22"/>
                <w:szCs w:val="22"/>
              </w:rPr>
              <w:t>Rate per day of Travelling Allowance</w:t>
            </w:r>
          </w:p>
        </w:tc>
      </w:tr>
      <w:tr w:rsidR="00D426C1" w:rsidRPr="00D77A43" w14:paraId="52D73E04" w14:textId="77777777" w:rsidTr="00023127">
        <w:trPr>
          <w:trHeight w:val="264"/>
          <w:jc w:val="right"/>
        </w:trPr>
        <w:tc>
          <w:tcPr>
            <w:tcW w:w="5490" w:type="dxa"/>
            <w:tcBorders>
              <w:top w:val="single" w:sz="6" w:space="0" w:color="auto"/>
              <w:left w:val="nil"/>
              <w:bottom w:val="nil"/>
              <w:right w:val="nil"/>
            </w:tcBorders>
            <w:shd w:val="clear" w:color="auto" w:fill="FFFFFF"/>
            <w:vAlign w:val="bottom"/>
          </w:tcPr>
          <w:p w14:paraId="49B7A979" w14:textId="77777777" w:rsidR="00D426C1" w:rsidRPr="00D77A43" w:rsidRDefault="00D426C1" w:rsidP="005C6740">
            <w:pPr>
              <w:shd w:val="clear" w:color="auto" w:fill="FFFFFF"/>
              <w:jc w:val="both"/>
              <w:rPr>
                <w:sz w:val="22"/>
                <w:szCs w:val="22"/>
              </w:rPr>
            </w:pPr>
          </w:p>
        </w:tc>
        <w:tc>
          <w:tcPr>
            <w:tcW w:w="1222" w:type="dxa"/>
            <w:tcBorders>
              <w:top w:val="single" w:sz="6" w:space="0" w:color="auto"/>
              <w:left w:val="nil"/>
              <w:bottom w:val="nil"/>
              <w:right w:val="nil"/>
            </w:tcBorders>
            <w:shd w:val="clear" w:color="auto" w:fill="FFFFFF"/>
            <w:vAlign w:val="bottom"/>
          </w:tcPr>
          <w:p w14:paraId="25ED71F5" w14:textId="77777777" w:rsidR="00D426C1" w:rsidRPr="00D77A43" w:rsidRDefault="0092571C" w:rsidP="00272CA7">
            <w:pPr>
              <w:shd w:val="clear" w:color="auto" w:fill="FFFFFF"/>
              <w:ind w:right="144"/>
              <w:jc w:val="right"/>
              <w:rPr>
                <w:sz w:val="22"/>
                <w:szCs w:val="22"/>
              </w:rPr>
            </w:pPr>
            <w:r w:rsidRPr="00D77A43">
              <w:rPr>
                <w:sz w:val="22"/>
                <w:szCs w:val="22"/>
              </w:rPr>
              <w:t>$</w:t>
            </w:r>
          </w:p>
        </w:tc>
        <w:tc>
          <w:tcPr>
            <w:tcW w:w="1366" w:type="dxa"/>
            <w:tcBorders>
              <w:top w:val="single" w:sz="6" w:space="0" w:color="auto"/>
              <w:left w:val="nil"/>
              <w:bottom w:val="nil"/>
              <w:right w:val="nil"/>
            </w:tcBorders>
            <w:shd w:val="clear" w:color="auto" w:fill="FFFFFF"/>
            <w:vAlign w:val="bottom"/>
          </w:tcPr>
          <w:p w14:paraId="2139862B" w14:textId="77777777" w:rsidR="00D426C1" w:rsidRPr="00D77A43" w:rsidRDefault="0092571C" w:rsidP="00272CA7">
            <w:pPr>
              <w:shd w:val="clear" w:color="auto" w:fill="FFFFFF"/>
              <w:ind w:right="144"/>
              <w:jc w:val="right"/>
              <w:rPr>
                <w:sz w:val="22"/>
                <w:szCs w:val="22"/>
              </w:rPr>
            </w:pPr>
            <w:r w:rsidRPr="00D77A43">
              <w:rPr>
                <w:sz w:val="22"/>
                <w:szCs w:val="22"/>
              </w:rPr>
              <w:t>$</w:t>
            </w:r>
          </w:p>
        </w:tc>
        <w:tc>
          <w:tcPr>
            <w:tcW w:w="1261" w:type="dxa"/>
            <w:tcBorders>
              <w:top w:val="single" w:sz="6" w:space="0" w:color="auto"/>
              <w:left w:val="nil"/>
              <w:bottom w:val="nil"/>
              <w:right w:val="nil"/>
            </w:tcBorders>
            <w:shd w:val="clear" w:color="auto" w:fill="FFFFFF"/>
            <w:vAlign w:val="bottom"/>
          </w:tcPr>
          <w:p w14:paraId="36DCE202" w14:textId="77777777" w:rsidR="00D426C1" w:rsidRPr="00D77A43" w:rsidRDefault="0092571C" w:rsidP="00272CA7">
            <w:pPr>
              <w:shd w:val="clear" w:color="auto" w:fill="FFFFFF"/>
              <w:ind w:right="144"/>
              <w:jc w:val="right"/>
              <w:rPr>
                <w:sz w:val="22"/>
                <w:szCs w:val="22"/>
              </w:rPr>
            </w:pPr>
            <w:r w:rsidRPr="00D77A43">
              <w:rPr>
                <w:sz w:val="22"/>
                <w:szCs w:val="22"/>
              </w:rPr>
              <w:t>$</w:t>
            </w:r>
          </w:p>
        </w:tc>
      </w:tr>
      <w:tr w:rsidR="00D426C1" w:rsidRPr="00D77A43" w14:paraId="3806546D" w14:textId="77777777" w:rsidTr="00023127">
        <w:trPr>
          <w:trHeight w:val="163"/>
          <w:jc w:val="right"/>
        </w:trPr>
        <w:tc>
          <w:tcPr>
            <w:tcW w:w="5490" w:type="dxa"/>
            <w:tcBorders>
              <w:top w:val="nil"/>
              <w:left w:val="nil"/>
              <w:right w:val="nil"/>
            </w:tcBorders>
            <w:shd w:val="clear" w:color="auto" w:fill="FFFFFF"/>
            <w:vAlign w:val="bottom"/>
          </w:tcPr>
          <w:p w14:paraId="267310BF" w14:textId="77777777" w:rsidR="00D426C1" w:rsidRPr="00D77A43" w:rsidRDefault="0092571C" w:rsidP="00023127">
            <w:pPr>
              <w:shd w:val="clear" w:color="auto" w:fill="FFFFFF"/>
              <w:tabs>
                <w:tab w:val="left" w:leader="dot" w:pos="5271"/>
              </w:tabs>
              <w:jc w:val="both"/>
              <w:rPr>
                <w:sz w:val="22"/>
                <w:szCs w:val="22"/>
              </w:rPr>
            </w:pPr>
            <w:r w:rsidRPr="00D77A43">
              <w:rPr>
                <w:sz w:val="22"/>
                <w:szCs w:val="22"/>
              </w:rPr>
              <w:t>Chief Judge of the Federal Court of Australia</w:t>
            </w:r>
            <w:r w:rsidR="003D7CBC" w:rsidRPr="00D77A43">
              <w:rPr>
                <w:sz w:val="22"/>
                <w:szCs w:val="22"/>
              </w:rPr>
              <w:tab/>
            </w:r>
          </w:p>
        </w:tc>
        <w:tc>
          <w:tcPr>
            <w:tcW w:w="1222" w:type="dxa"/>
            <w:tcBorders>
              <w:top w:val="nil"/>
              <w:left w:val="nil"/>
              <w:bottom w:val="nil"/>
              <w:right w:val="nil"/>
            </w:tcBorders>
            <w:shd w:val="clear" w:color="auto" w:fill="FFFFFF"/>
            <w:vAlign w:val="bottom"/>
          </w:tcPr>
          <w:p w14:paraId="27563B71" w14:textId="77777777" w:rsidR="00D426C1" w:rsidRPr="00D77A43" w:rsidRDefault="0092571C" w:rsidP="00272CA7">
            <w:pPr>
              <w:shd w:val="clear" w:color="auto" w:fill="FFFFFF"/>
              <w:ind w:right="144"/>
              <w:jc w:val="right"/>
              <w:rPr>
                <w:sz w:val="22"/>
                <w:szCs w:val="22"/>
              </w:rPr>
            </w:pPr>
            <w:r w:rsidRPr="00D77A43">
              <w:rPr>
                <w:sz w:val="22"/>
                <w:szCs w:val="22"/>
              </w:rPr>
              <w:t>46,000</w:t>
            </w:r>
          </w:p>
        </w:tc>
        <w:tc>
          <w:tcPr>
            <w:tcW w:w="1366" w:type="dxa"/>
            <w:tcBorders>
              <w:top w:val="nil"/>
              <w:left w:val="nil"/>
              <w:bottom w:val="nil"/>
              <w:right w:val="nil"/>
            </w:tcBorders>
            <w:shd w:val="clear" w:color="auto" w:fill="FFFFFF"/>
            <w:vAlign w:val="bottom"/>
          </w:tcPr>
          <w:p w14:paraId="32331F8A" w14:textId="77777777" w:rsidR="00D426C1" w:rsidRPr="00D77A43" w:rsidRDefault="0092571C" w:rsidP="00272CA7">
            <w:pPr>
              <w:shd w:val="clear" w:color="auto" w:fill="FFFFFF"/>
              <w:ind w:right="144"/>
              <w:jc w:val="right"/>
              <w:rPr>
                <w:sz w:val="22"/>
                <w:szCs w:val="22"/>
              </w:rPr>
            </w:pPr>
            <w:r w:rsidRPr="00D77A43">
              <w:rPr>
                <w:sz w:val="22"/>
                <w:szCs w:val="22"/>
              </w:rPr>
              <w:t>2,500</w:t>
            </w:r>
          </w:p>
        </w:tc>
        <w:tc>
          <w:tcPr>
            <w:tcW w:w="1261" w:type="dxa"/>
            <w:tcBorders>
              <w:top w:val="nil"/>
              <w:left w:val="nil"/>
              <w:bottom w:val="nil"/>
              <w:right w:val="nil"/>
            </w:tcBorders>
            <w:shd w:val="clear" w:color="auto" w:fill="FFFFFF"/>
            <w:vAlign w:val="bottom"/>
          </w:tcPr>
          <w:p w14:paraId="6E4DC187" w14:textId="77777777" w:rsidR="00D426C1" w:rsidRPr="00D77A43" w:rsidRDefault="0092571C" w:rsidP="00272CA7">
            <w:pPr>
              <w:shd w:val="clear" w:color="auto" w:fill="FFFFFF"/>
              <w:ind w:right="144"/>
              <w:jc w:val="right"/>
              <w:rPr>
                <w:sz w:val="22"/>
                <w:szCs w:val="22"/>
              </w:rPr>
            </w:pPr>
            <w:r w:rsidRPr="00D77A43">
              <w:rPr>
                <w:sz w:val="22"/>
                <w:szCs w:val="22"/>
              </w:rPr>
              <w:t>46</w:t>
            </w:r>
          </w:p>
        </w:tc>
      </w:tr>
      <w:tr w:rsidR="00D426C1" w:rsidRPr="00D77A43" w14:paraId="717C9719" w14:textId="77777777" w:rsidTr="00023127">
        <w:trPr>
          <w:trHeight w:val="346"/>
          <w:jc w:val="right"/>
        </w:trPr>
        <w:tc>
          <w:tcPr>
            <w:tcW w:w="5490" w:type="dxa"/>
            <w:tcBorders>
              <w:top w:val="nil"/>
              <w:left w:val="nil"/>
              <w:right w:val="nil"/>
            </w:tcBorders>
            <w:shd w:val="clear" w:color="auto" w:fill="FFFFFF"/>
            <w:vAlign w:val="bottom"/>
          </w:tcPr>
          <w:p w14:paraId="65E1A127" w14:textId="77777777" w:rsidR="00D426C1" w:rsidRPr="00D77A43" w:rsidRDefault="0092571C" w:rsidP="00023127">
            <w:pPr>
              <w:shd w:val="clear" w:color="auto" w:fill="FFFFFF"/>
              <w:tabs>
                <w:tab w:val="left" w:leader="dot" w:pos="5271"/>
              </w:tabs>
              <w:jc w:val="both"/>
              <w:rPr>
                <w:sz w:val="22"/>
                <w:szCs w:val="22"/>
              </w:rPr>
            </w:pPr>
            <w:r w:rsidRPr="00D77A43">
              <w:rPr>
                <w:sz w:val="22"/>
                <w:szCs w:val="22"/>
              </w:rPr>
              <w:t>Judge (other than the Chief Judge) of the Federal Court</w:t>
            </w:r>
            <w:r w:rsidR="003D7CBC" w:rsidRPr="00D77A43">
              <w:rPr>
                <w:sz w:val="22"/>
                <w:szCs w:val="22"/>
              </w:rPr>
              <w:tab/>
            </w:r>
          </w:p>
        </w:tc>
        <w:tc>
          <w:tcPr>
            <w:tcW w:w="1222" w:type="dxa"/>
            <w:tcBorders>
              <w:top w:val="nil"/>
              <w:left w:val="nil"/>
              <w:bottom w:val="nil"/>
              <w:right w:val="nil"/>
            </w:tcBorders>
            <w:shd w:val="clear" w:color="auto" w:fill="FFFFFF"/>
            <w:vAlign w:val="bottom"/>
          </w:tcPr>
          <w:p w14:paraId="1BF040EB" w14:textId="77777777" w:rsidR="00D426C1" w:rsidRPr="00D77A43" w:rsidRDefault="0092571C" w:rsidP="00272CA7">
            <w:pPr>
              <w:shd w:val="clear" w:color="auto" w:fill="FFFFFF"/>
              <w:ind w:right="144"/>
              <w:jc w:val="right"/>
              <w:rPr>
                <w:sz w:val="22"/>
                <w:szCs w:val="22"/>
              </w:rPr>
            </w:pPr>
            <w:r w:rsidRPr="00D77A43">
              <w:rPr>
                <w:sz w:val="22"/>
                <w:szCs w:val="22"/>
              </w:rPr>
              <w:t>42,000</w:t>
            </w:r>
          </w:p>
        </w:tc>
        <w:tc>
          <w:tcPr>
            <w:tcW w:w="1366" w:type="dxa"/>
            <w:tcBorders>
              <w:top w:val="nil"/>
              <w:left w:val="nil"/>
              <w:bottom w:val="nil"/>
              <w:right w:val="nil"/>
            </w:tcBorders>
            <w:shd w:val="clear" w:color="auto" w:fill="FFFFFF"/>
            <w:vAlign w:val="bottom"/>
          </w:tcPr>
          <w:p w14:paraId="6AF7327D" w14:textId="77777777" w:rsidR="00D426C1" w:rsidRPr="00D77A43" w:rsidRDefault="0092571C" w:rsidP="00272CA7">
            <w:pPr>
              <w:shd w:val="clear" w:color="auto" w:fill="FFFFFF"/>
              <w:ind w:right="144"/>
              <w:jc w:val="right"/>
              <w:rPr>
                <w:sz w:val="22"/>
                <w:szCs w:val="22"/>
              </w:rPr>
            </w:pPr>
            <w:r w:rsidRPr="00D77A43">
              <w:rPr>
                <w:sz w:val="22"/>
                <w:szCs w:val="22"/>
              </w:rPr>
              <w:t>2,250</w:t>
            </w:r>
          </w:p>
        </w:tc>
        <w:tc>
          <w:tcPr>
            <w:tcW w:w="1261" w:type="dxa"/>
            <w:tcBorders>
              <w:top w:val="nil"/>
              <w:left w:val="nil"/>
              <w:bottom w:val="nil"/>
              <w:right w:val="nil"/>
            </w:tcBorders>
            <w:shd w:val="clear" w:color="auto" w:fill="FFFFFF"/>
            <w:vAlign w:val="bottom"/>
          </w:tcPr>
          <w:p w14:paraId="2858CB50" w14:textId="77777777" w:rsidR="00D426C1" w:rsidRPr="00D77A43" w:rsidRDefault="0092571C" w:rsidP="00272CA7">
            <w:pPr>
              <w:shd w:val="clear" w:color="auto" w:fill="FFFFFF"/>
              <w:ind w:right="144"/>
              <w:jc w:val="right"/>
              <w:rPr>
                <w:sz w:val="22"/>
                <w:szCs w:val="22"/>
              </w:rPr>
            </w:pPr>
            <w:r w:rsidRPr="00D77A43">
              <w:rPr>
                <w:sz w:val="22"/>
                <w:szCs w:val="22"/>
              </w:rPr>
              <w:t>46</w:t>
            </w:r>
          </w:p>
        </w:tc>
      </w:tr>
      <w:tr w:rsidR="00D426C1" w:rsidRPr="00D77A43" w14:paraId="02C72ED9" w14:textId="77777777" w:rsidTr="00023127">
        <w:trPr>
          <w:trHeight w:val="360"/>
          <w:jc w:val="right"/>
        </w:trPr>
        <w:tc>
          <w:tcPr>
            <w:tcW w:w="5490" w:type="dxa"/>
            <w:tcBorders>
              <w:left w:val="nil"/>
              <w:right w:val="nil"/>
            </w:tcBorders>
            <w:shd w:val="clear" w:color="auto" w:fill="FFFFFF"/>
            <w:vAlign w:val="bottom"/>
          </w:tcPr>
          <w:p w14:paraId="53BD8E85" w14:textId="77777777" w:rsidR="00D426C1" w:rsidRPr="00D77A43" w:rsidRDefault="0092571C" w:rsidP="00023127">
            <w:pPr>
              <w:shd w:val="clear" w:color="auto" w:fill="FFFFFF"/>
              <w:tabs>
                <w:tab w:val="left" w:leader="dot" w:pos="5271"/>
              </w:tabs>
              <w:jc w:val="both"/>
              <w:rPr>
                <w:sz w:val="22"/>
                <w:szCs w:val="22"/>
              </w:rPr>
            </w:pPr>
            <w:r w:rsidRPr="00D77A43">
              <w:rPr>
                <w:sz w:val="22"/>
                <w:szCs w:val="22"/>
              </w:rPr>
              <w:t>Chief Judge of the Supreme Court of the Australian</w:t>
            </w:r>
            <w:r w:rsidR="003D7CBC" w:rsidRPr="00D77A43">
              <w:rPr>
                <w:sz w:val="22"/>
                <w:szCs w:val="22"/>
              </w:rPr>
              <w:tab/>
            </w:r>
          </w:p>
        </w:tc>
        <w:tc>
          <w:tcPr>
            <w:tcW w:w="1222" w:type="dxa"/>
            <w:tcBorders>
              <w:top w:val="nil"/>
              <w:left w:val="nil"/>
              <w:bottom w:val="nil"/>
              <w:right w:val="nil"/>
            </w:tcBorders>
            <w:shd w:val="clear" w:color="auto" w:fill="FFFFFF"/>
            <w:vAlign w:val="bottom"/>
          </w:tcPr>
          <w:p w14:paraId="2A1168A6" w14:textId="77777777" w:rsidR="00D426C1" w:rsidRPr="00D77A43" w:rsidRDefault="0092571C" w:rsidP="00272CA7">
            <w:pPr>
              <w:shd w:val="clear" w:color="auto" w:fill="FFFFFF"/>
              <w:ind w:right="144"/>
              <w:jc w:val="right"/>
              <w:rPr>
                <w:sz w:val="22"/>
                <w:szCs w:val="22"/>
              </w:rPr>
            </w:pPr>
            <w:r w:rsidRPr="00D77A43">
              <w:rPr>
                <w:sz w:val="22"/>
                <w:szCs w:val="22"/>
              </w:rPr>
              <w:t>40,500</w:t>
            </w:r>
          </w:p>
        </w:tc>
        <w:tc>
          <w:tcPr>
            <w:tcW w:w="1366" w:type="dxa"/>
            <w:tcBorders>
              <w:top w:val="nil"/>
              <w:left w:val="nil"/>
              <w:bottom w:val="nil"/>
              <w:right w:val="nil"/>
            </w:tcBorders>
            <w:shd w:val="clear" w:color="auto" w:fill="FFFFFF"/>
            <w:vAlign w:val="bottom"/>
          </w:tcPr>
          <w:p w14:paraId="78E86418" w14:textId="77777777" w:rsidR="00D426C1" w:rsidRPr="00D77A43" w:rsidRDefault="0092571C" w:rsidP="00272CA7">
            <w:pPr>
              <w:shd w:val="clear" w:color="auto" w:fill="FFFFFF"/>
              <w:ind w:right="144"/>
              <w:jc w:val="right"/>
              <w:rPr>
                <w:sz w:val="22"/>
                <w:szCs w:val="22"/>
              </w:rPr>
            </w:pPr>
            <w:r w:rsidRPr="00D77A43">
              <w:rPr>
                <w:sz w:val="22"/>
                <w:szCs w:val="22"/>
              </w:rPr>
              <w:t>2,500</w:t>
            </w:r>
          </w:p>
        </w:tc>
        <w:tc>
          <w:tcPr>
            <w:tcW w:w="1261" w:type="dxa"/>
            <w:tcBorders>
              <w:top w:val="nil"/>
              <w:left w:val="nil"/>
              <w:bottom w:val="nil"/>
              <w:right w:val="nil"/>
            </w:tcBorders>
            <w:shd w:val="clear" w:color="auto" w:fill="FFFFFF"/>
            <w:vAlign w:val="bottom"/>
          </w:tcPr>
          <w:p w14:paraId="0654EAFA" w14:textId="77777777" w:rsidR="00D426C1" w:rsidRPr="00D77A43" w:rsidRDefault="0092571C" w:rsidP="00272CA7">
            <w:pPr>
              <w:shd w:val="clear" w:color="auto" w:fill="FFFFFF"/>
              <w:ind w:right="144"/>
              <w:jc w:val="right"/>
              <w:rPr>
                <w:sz w:val="22"/>
                <w:szCs w:val="22"/>
              </w:rPr>
            </w:pPr>
            <w:r w:rsidRPr="00D77A43">
              <w:rPr>
                <w:sz w:val="22"/>
                <w:szCs w:val="22"/>
              </w:rPr>
              <w:t>46</w:t>
            </w:r>
          </w:p>
        </w:tc>
      </w:tr>
      <w:tr w:rsidR="00D426C1" w:rsidRPr="00D77A43" w14:paraId="77F5A69D" w14:textId="77777777" w:rsidTr="00023127">
        <w:trPr>
          <w:trHeight w:val="394"/>
          <w:jc w:val="right"/>
        </w:trPr>
        <w:tc>
          <w:tcPr>
            <w:tcW w:w="5490" w:type="dxa"/>
            <w:tcBorders>
              <w:left w:val="nil"/>
              <w:bottom w:val="single" w:sz="4" w:space="0" w:color="auto"/>
              <w:right w:val="nil"/>
            </w:tcBorders>
            <w:shd w:val="clear" w:color="auto" w:fill="FFFFFF"/>
            <w:vAlign w:val="bottom"/>
          </w:tcPr>
          <w:p w14:paraId="2E5CECE3" w14:textId="77777777" w:rsidR="00D426C1" w:rsidRPr="00D77A43" w:rsidRDefault="0092571C" w:rsidP="00023127">
            <w:pPr>
              <w:shd w:val="clear" w:color="auto" w:fill="FFFFFF"/>
              <w:tabs>
                <w:tab w:val="left" w:leader="dot" w:pos="5271"/>
              </w:tabs>
              <w:ind w:left="216" w:hanging="216"/>
              <w:jc w:val="both"/>
              <w:rPr>
                <w:sz w:val="22"/>
                <w:szCs w:val="22"/>
              </w:rPr>
            </w:pPr>
            <w:r w:rsidRPr="00D77A43">
              <w:rPr>
                <w:sz w:val="22"/>
                <w:szCs w:val="22"/>
              </w:rPr>
              <w:t>Chief Judge of the Supreme Court of the Northern Territory of Australia</w:t>
            </w:r>
            <w:r w:rsidR="003D7CBC" w:rsidRPr="00D77A43">
              <w:rPr>
                <w:sz w:val="22"/>
                <w:szCs w:val="22"/>
              </w:rPr>
              <w:tab/>
            </w:r>
          </w:p>
        </w:tc>
        <w:tc>
          <w:tcPr>
            <w:tcW w:w="1222" w:type="dxa"/>
            <w:tcBorders>
              <w:top w:val="nil"/>
              <w:left w:val="nil"/>
              <w:bottom w:val="single" w:sz="6" w:space="0" w:color="auto"/>
              <w:right w:val="nil"/>
            </w:tcBorders>
            <w:shd w:val="clear" w:color="auto" w:fill="FFFFFF"/>
            <w:vAlign w:val="bottom"/>
          </w:tcPr>
          <w:p w14:paraId="3DF880D5" w14:textId="77777777" w:rsidR="00D426C1" w:rsidRPr="00D77A43" w:rsidRDefault="0092571C" w:rsidP="00272CA7">
            <w:pPr>
              <w:shd w:val="clear" w:color="auto" w:fill="FFFFFF"/>
              <w:ind w:right="144"/>
              <w:jc w:val="right"/>
              <w:rPr>
                <w:sz w:val="22"/>
                <w:szCs w:val="22"/>
              </w:rPr>
            </w:pPr>
            <w:r w:rsidRPr="00D77A43">
              <w:rPr>
                <w:sz w:val="22"/>
                <w:szCs w:val="22"/>
              </w:rPr>
              <w:t>40,500</w:t>
            </w:r>
          </w:p>
        </w:tc>
        <w:tc>
          <w:tcPr>
            <w:tcW w:w="1366" w:type="dxa"/>
            <w:tcBorders>
              <w:top w:val="nil"/>
              <w:left w:val="nil"/>
              <w:bottom w:val="single" w:sz="6" w:space="0" w:color="auto"/>
              <w:right w:val="nil"/>
            </w:tcBorders>
            <w:shd w:val="clear" w:color="auto" w:fill="FFFFFF"/>
            <w:vAlign w:val="bottom"/>
          </w:tcPr>
          <w:p w14:paraId="017336FC" w14:textId="77777777" w:rsidR="00D426C1" w:rsidRPr="00D77A43" w:rsidRDefault="0092571C" w:rsidP="00272CA7">
            <w:pPr>
              <w:shd w:val="clear" w:color="auto" w:fill="FFFFFF"/>
              <w:ind w:right="144"/>
              <w:jc w:val="right"/>
              <w:rPr>
                <w:sz w:val="22"/>
                <w:szCs w:val="22"/>
              </w:rPr>
            </w:pPr>
            <w:r w:rsidRPr="00D77A43">
              <w:rPr>
                <w:sz w:val="22"/>
                <w:szCs w:val="22"/>
              </w:rPr>
              <w:t>2,500</w:t>
            </w:r>
          </w:p>
        </w:tc>
        <w:tc>
          <w:tcPr>
            <w:tcW w:w="1261" w:type="dxa"/>
            <w:tcBorders>
              <w:top w:val="nil"/>
              <w:left w:val="nil"/>
              <w:bottom w:val="single" w:sz="6" w:space="0" w:color="auto"/>
              <w:right w:val="nil"/>
            </w:tcBorders>
            <w:shd w:val="clear" w:color="auto" w:fill="FFFFFF"/>
            <w:vAlign w:val="bottom"/>
          </w:tcPr>
          <w:p w14:paraId="3C111F97" w14:textId="77777777" w:rsidR="00D426C1" w:rsidRPr="00D77A43" w:rsidRDefault="0092571C" w:rsidP="00272CA7">
            <w:pPr>
              <w:shd w:val="clear" w:color="auto" w:fill="FFFFFF"/>
              <w:ind w:right="144"/>
              <w:jc w:val="right"/>
              <w:rPr>
                <w:sz w:val="22"/>
                <w:szCs w:val="22"/>
              </w:rPr>
            </w:pPr>
            <w:r w:rsidRPr="00D77A43">
              <w:rPr>
                <w:sz w:val="22"/>
                <w:szCs w:val="22"/>
              </w:rPr>
              <w:t>46</w:t>
            </w:r>
          </w:p>
        </w:tc>
      </w:tr>
    </w:tbl>
    <w:p w14:paraId="4C2AAAC4" w14:textId="2F8812E7" w:rsidR="0092571C" w:rsidRPr="00D77A43" w:rsidRDefault="00937FC8" w:rsidP="00A617DB">
      <w:pPr>
        <w:shd w:val="clear" w:color="auto" w:fill="FFFFFF"/>
        <w:spacing w:before="840" w:after="120"/>
        <w:jc w:val="center"/>
        <w:rPr>
          <w:sz w:val="24"/>
          <w:szCs w:val="22"/>
        </w:rPr>
      </w:pPr>
      <w:r w:rsidRPr="00D77A43">
        <w:rPr>
          <w:b/>
          <w:bCs/>
          <w:noProof/>
          <w:sz w:val="24"/>
          <w:szCs w:val="22"/>
          <w:lang w:val="en-AU" w:eastAsia="en-AU"/>
        </w:rPr>
        <mc:AlternateContent>
          <mc:Choice Requires="wps">
            <w:drawing>
              <wp:anchor distT="0" distB="0" distL="114300" distR="114300" simplePos="0" relativeHeight="251659264" behindDoc="0" locked="0" layoutInCell="1" allowOverlap="1" wp14:anchorId="1BE60649" wp14:editId="628BD344">
                <wp:simplePos x="0" y="0"/>
                <wp:positionH relativeFrom="column">
                  <wp:posOffset>-356617</wp:posOffset>
                </wp:positionH>
                <wp:positionV relativeFrom="paragraph">
                  <wp:posOffset>271501</wp:posOffset>
                </wp:positionV>
                <wp:extent cx="6590995"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659099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84CC0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1pt,21.4pt" to="490.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" strokecolor="black [3040]" strokeweight="1.5pt"/>
            </w:pict>
          </mc:Fallback>
        </mc:AlternateContent>
      </w:r>
    </w:p>
    <w:sectPr w:rsidR="0092571C" w:rsidRPr="00D77A43" w:rsidSect="003C64E7">
      <w:headerReference w:type="even" r:id="rId8"/>
      <w:headerReference w:type="default" r:id="rId9"/>
      <w:type w:val="continuous"/>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93B93A" w15:done="0"/>
  <w15:commentEx w15:paraId="4035E107" w15:done="0"/>
  <w15:commentEx w15:paraId="6E06A6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93B93A" w16cid:durableId="1F5DF668"/>
  <w16cid:commentId w16cid:paraId="4035E107" w16cid:durableId="1F5DF69D"/>
  <w16cid:commentId w16cid:paraId="6E06A627" w16cid:durableId="1F5DF7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5C5A3" w14:textId="77777777" w:rsidR="008531D0" w:rsidRDefault="008531D0" w:rsidP="003C64E7">
      <w:r>
        <w:separator/>
      </w:r>
    </w:p>
  </w:endnote>
  <w:endnote w:type="continuationSeparator" w:id="0">
    <w:p w14:paraId="6EEDA64E" w14:textId="77777777" w:rsidR="008531D0" w:rsidRDefault="008531D0" w:rsidP="003C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5CC72" w14:textId="77777777" w:rsidR="008531D0" w:rsidRDefault="008531D0" w:rsidP="003C64E7">
      <w:r>
        <w:separator/>
      </w:r>
    </w:p>
  </w:footnote>
  <w:footnote w:type="continuationSeparator" w:id="0">
    <w:p w14:paraId="6BAD5C82" w14:textId="77777777" w:rsidR="008531D0" w:rsidRDefault="008531D0" w:rsidP="003C6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C137D" w14:textId="77777777" w:rsidR="003C64E7" w:rsidRPr="003C64E7" w:rsidRDefault="003C64E7" w:rsidP="003C64E7">
    <w:pPr>
      <w:pStyle w:val="Header"/>
      <w:tabs>
        <w:tab w:val="clear" w:pos="4680"/>
        <w:tab w:val="clear" w:pos="9360"/>
        <w:tab w:val="center" w:pos="4860"/>
        <w:tab w:val="right" w:pos="9720"/>
      </w:tabs>
      <w:rPr>
        <w:sz w:val="24"/>
      </w:rPr>
    </w:pPr>
    <w:r w:rsidRPr="003C64E7">
      <w:rPr>
        <w:bCs/>
        <w:sz w:val="24"/>
        <w:szCs w:val="22"/>
      </w:rPr>
      <w:t>1976</w:t>
    </w:r>
    <w:r w:rsidRPr="003C64E7">
      <w:rPr>
        <w:b/>
        <w:bCs/>
        <w:sz w:val="24"/>
        <w:szCs w:val="22"/>
      </w:rPr>
      <w:tab/>
    </w:r>
    <w:r w:rsidRPr="003C64E7">
      <w:rPr>
        <w:i/>
        <w:iCs/>
        <w:sz w:val="24"/>
      </w:rPr>
      <w:t xml:space="preserve">Remuneration and Allowances Amendment </w:t>
    </w:r>
    <w:r w:rsidRPr="00A617DB">
      <w:rPr>
        <w:iCs/>
        <w:sz w:val="24"/>
      </w:rPr>
      <w:t>(</w:t>
    </w:r>
    <w:r w:rsidRPr="003C64E7">
      <w:rPr>
        <w:i/>
        <w:iCs/>
        <w:sz w:val="24"/>
      </w:rPr>
      <w:t xml:space="preserve">No. </w:t>
    </w:r>
    <w:r w:rsidRPr="003C64E7">
      <w:rPr>
        <w:sz w:val="24"/>
      </w:rPr>
      <w:t>2)</w:t>
    </w:r>
    <w:r w:rsidRPr="003C64E7">
      <w:rPr>
        <w:sz w:val="24"/>
      </w:rPr>
      <w:tab/>
      <w:t>No. 170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10F6A" w14:textId="77777777" w:rsidR="003C64E7" w:rsidRPr="00715025" w:rsidRDefault="00715025" w:rsidP="00715025">
    <w:pPr>
      <w:pStyle w:val="Header"/>
      <w:tabs>
        <w:tab w:val="clear" w:pos="4680"/>
        <w:tab w:val="clear" w:pos="9360"/>
        <w:tab w:val="center" w:pos="4860"/>
        <w:tab w:val="right" w:pos="9720"/>
      </w:tabs>
      <w:rPr>
        <w:sz w:val="24"/>
      </w:rPr>
    </w:pPr>
    <w:r w:rsidRPr="003C64E7">
      <w:rPr>
        <w:sz w:val="24"/>
      </w:rPr>
      <w:t>No. 170</w:t>
    </w:r>
    <w:r w:rsidRPr="003C64E7">
      <w:rPr>
        <w:b/>
        <w:bCs/>
        <w:sz w:val="24"/>
        <w:szCs w:val="22"/>
      </w:rPr>
      <w:tab/>
    </w:r>
    <w:r w:rsidRPr="003C64E7">
      <w:rPr>
        <w:i/>
        <w:iCs/>
        <w:sz w:val="24"/>
      </w:rPr>
      <w:t xml:space="preserve">Remuneration and Allowances Amendment </w:t>
    </w:r>
    <w:r w:rsidRPr="00A617DB">
      <w:rPr>
        <w:iCs/>
        <w:sz w:val="24"/>
      </w:rPr>
      <w:t>(</w:t>
    </w:r>
    <w:r w:rsidRPr="003C64E7">
      <w:rPr>
        <w:i/>
        <w:iCs/>
        <w:sz w:val="24"/>
      </w:rPr>
      <w:t xml:space="preserve">No. </w:t>
    </w:r>
    <w:r w:rsidRPr="003C64E7">
      <w:rPr>
        <w:sz w:val="24"/>
      </w:rPr>
      <w:t>2)</w:t>
    </w:r>
    <w:r w:rsidRPr="003C64E7">
      <w:rPr>
        <w:sz w:val="24"/>
      </w:rPr>
      <w:tab/>
    </w:r>
    <w:r w:rsidRPr="003C64E7">
      <w:rPr>
        <w:bCs/>
        <w:sz w:val="24"/>
        <w:szCs w:val="22"/>
      </w:rPr>
      <w:t>1976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73"/>
    <w:rsid w:val="00023127"/>
    <w:rsid w:val="000C5734"/>
    <w:rsid w:val="00214F0C"/>
    <w:rsid w:val="002226B6"/>
    <w:rsid w:val="00272CA7"/>
    <w:rsid w:val="002F5114"/>
    <w:rsid w:val="00345057"/>
    <w:rsid w:val="003C64E7"/>
    <w:rsid w:val="003D7CBC"/>
    <w:rsid w:val="004626C9"/>
    <w:rsid w:val="004F2063"/>
    <w:rsid w:val="00583859"/>
    <w:rsid w:val="0058786C"/>
    <w:rsid w:val="005C6740"/>
    <w:rsid w:val="005E4A57"/>
    <w:rsid w:val="006C43FC"/>
    <w:rsid w:val="00715025"/>
    <w:rsid w:val="008531D0"/>
    <w:rsid w:val="008667BD"/>
    <w:rsid w:val="0092571C"/>
    <w:rsid w:val="00937FC8"/>
    <w:rsid w:val="009E3E83"/>
    <w:rsid w:val="009E6A54"/>
    <w:rsid w:val="00A617DB"/>
    <w:rsid w:val="00D426C1"/>
    <w:rsid w:val="00D77A43"/>
    <w:rsid w:val="00DE4B67"/>
    <w:rsid w:val="00F468A9"/>
    <w:rsid w:val="00F63DBB"/>
    <w:rsid w:val="00F77101"/>
    <w:rsid w:val="00FD3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0310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4E7"/>
    <w:pPr>
      <w:tabs>
        <w:tab w:val="center" w:pos="4680"/>
        <w:tab w:val="right" w:pos="9360"/>
      </w:tabs>
    </w:pPr>
  </w:style>
  <w:style w:type="character" w:customStyle="1" w:styleId="HeaderChar">
    <w:name w:val="Header Char"/>
    <w:basedOn w:val="DefaultParagraphFont"/>
    <w:link w:val="Header"/>
    <w:uiPriority w:val="99"/>
    <w:rsid w:val="003C64E7"/>
    <w:rPr>
      <w:rFonts w:ascii="Times New Roman" w:hAnsi="Times New Roman" w:cs="Times New Roman"/>
      <w:sz w:val="20"/>
      <w:szCs w:val="20"/>
    </w:rPr>
  </w:style>
  <w:style w:type="paragraph" w:styleId="Footer">
    <w:name w:val="footer"/>
    <w:basedOn w:val="Normal"/>
    <w:link w:val="FooterChar"/>
    <w:uiPriority w:val="99"/>
    <w:unhideWhenUsed/>
    <w:rsid w:val="003C64E7"/>
    <w:pPr>
      <w:tabs>
        <w:tab w:val="center" w:pos="4680"/>
        <w:tab w:val="right" w:pos="9360"/>
      </w:tabs>
    </w:pPr>
  </w:style>
  <w:style w:type="character" w:customStyle="1" w:styleId="FooterChar">
    <w:name w:val="Footer Char"/>
    <w:basedOn w:val="DefaultParagraphFont"/>
    <w:link w:val="Footer"/>
    <w:uiPriority w:val="99"/>
    <w:rsid w:val="003C64E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C64E7"/>
    <w:rPr>
      <w:rFonts w:ascii="Tahoma" w:hAnsi="Tahoma" w:cs="Tahoma"/>
      <w:sz w:val="16"/>
      <w:szCs w:val="16"/>
    </w:rPr>
  </w:style>
  <w:style w:type="character" w:customStyle="1" w:styleId="BalloonTextChar">
    <w:name w:val="Balloon Text Char"/>
    <w:basedOn w:val="DefaultParagraphFont"/>
    <w:link w:val="BalloonText"/>
    <w:uiPriority w:val="99"/>
    <w:semiHidden/>
    <w:rsid w:val="003C64E7"/>
    <w:rPr>
      <w:rFonts w:ascii="Tahoma" w:hAnsi="Tahoma" w:cs="Tahoma"/>
      <w:sz w:val="16"/>
      <w:szCs w:val="16"/>
    </w:rPr>
  </w:style>
  <w:style w:type="character" w:styleId="CommentReference">
    <w:name w:val="annotation reference"/>
    <w:basedOn w:val="DefaultParagraphFont"/>
    <w:uiPriority w:val="99"/>
    <w:semiHidden/>
    <w:unhideWhenUsed/>
    <w:rsid w:val="00345057"/>
    <w:rPr>
      <w:sz w:val="16"/>
      <w:szCs w:val="16"/>
    </w:rPr>
  </w:style>
  <w:style w:type="paragraph" w:styleId="CommentText">
    <w:name w:val="annotation text"/>
    <w:basedOn w:val="Normal"/>
    <w:link w:val="CommentTextChar"/>
    <w:uiPriority w:val="99"/>
    <w:semiHidden/>
    <w:unhideWhenUsed/>
    <w:rsid w:val="00345057"/>
  </w:style>
  <w:style w:type="character" w:customStyle="1" w:styleId="CommentTextChar">
    <w:name w:val="Comment Text Char"/>
    <w:basedOn w:val="DefaultParagraphFont"/>
    <w:link w:val="CommentText"/>
    <w:uiPriority w:val="99"/>
    <w:semiHidden/>
    <w:rsid w:val="0034505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5057"/>
    <w:rPr>
      <w:b/>
      <w:bCs/>
    </w:rPr>
  </w:style>
  <w:style w:type="character" w:customStyle="1" w:styleId="CommentSubjectChar">
    <w:name w:val="Comment Subject Char"/>
    <w:basedOn w:val="CommentTextChar"/>
    <w:link w:val="CommentSubject"/>
    <w:uiPriority w:val="99"/>
    <w:semiHidden/>
    <w:rsid w:val="00345057"/>
    <w:rPr>
      <w:rFonts w:ascii="Times New Roman" w:hAnsi="Times New Roman" w:cs="Times New Roman"/>
      <w:b/>
      <w:bCs/>
      <w:sz w:val="20"/>
      <w:szCs w:val="20"/>
    </w:rPr>
  </w:style>
  <w:style w:type="paragraph" w:styleId="Revision">
    <w:name w:val="Revision"/>
    <w:hidden/>
    <w:uiPriority w:val="99"/>
    <w:semiHidden/>
    <w:rsid w:val="00A617DB"/>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4E7"/>
    <w:pPr>
      <w:tabs>
        <w:tab w:val="center" w:pos="4680"/>
        <w:tab w:val="right" w:pos="9360"/>
      </w:tabs>
    </w:pPr>
  </w:style>
  <w:style w:type="character" w:customStyle="1" w:styleId="HeaderChar">
    <w:name w:val="Header Char"/>
    <w:basedOn w:val="DefaultParagraphFont"/>
    <w:link w:val="Header"/>
    <w:uiPriority w:val="99"/>
    <w:rsid w:val="003C64E7"/>
    <w:rPr>
      <w:rFonts w:ascii="Times New Roman" w:hAnsi="Times New Roman" w:cs="Times New Roman"/>
      <w:sz w:val="20"/>
      <w:szCs w:val="20"/>
    </w:rPr>
  </w:style>
  <w:style w:type="paragraph" w:styleId="Footer">
    <w:name w:val="footer"/>
    <w:basedOn w:val="Normal"/>
    <w:link w:val="FooterChar"/>
    <w:uiPriority w:val="99"/>
    <w:unhideWhenUsed/>
    <w:rsid w:val="003C64E7"/>
    <w:pPr>
      <w:tabs>
        <w:tab w:val="center" w:pos="4680"/>
        <w:tab w:val="right" w:pos="9360"/>
      </w:tabs>
    </w:pPr>
  </w:style>
  <w:style w:type="character" w:customStyle="1" w:styleId="FooterChar">
    <w:name w:val="Footer Char"/>
    <w:basedOn w:val="DefaultParagraphFont"/>
    <w:link w:val="Footer"/>
    <w:uiPriority w:val="99"/>
    <w:rsid w:val="003C64E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C64E7"/>
    <w:rPr>
      <w:rFonts w:ascii="Tahoma" w:hAnsi="Tahoma" w:cs="Tahoma"/>
      <w:sz w:val="16"/>
      <w:szCs w:val="16"/>
    </w:rPr>
  </w:style>
  <w:style w:type="character" w:customStyle="1" w:styleId="BalloonTextChar">
    <w:name w:val="Balloon Text Char"/>
    <w:basedOn w:val="DefaultParagraphFont"/>
    <w:link w:val="BalloonText"/>
    <w:uiPriority w:val="99"/>
    <w:semiHidden/>
    <w:rsid w:val="003C64E7"/>
    <w:rPr>
      <w:rFonts w:ascii="Tahoma" w:hAnsi="Tahoma" w:cs="Tahoma"/>
      <w:sz w:val="16"/>
      <w:szCs w:val="16"/>
    </w:rPr>
  </w:style>
  <w:style w:type="character" w:styleId="CommentReference">
    <w:name w:val="annotation reference"/>
    <w:basedOn w:val="DefaultParagraphFont"/>
    <w:uiPriority w:val="99"/>
    <w:semiHidden/>
    <w:unhideWhenUsed/>
    <w:rsid w:val="00345057"/>
    <w:rPr>
      <w:sz w:val="16"/>
      <w:szCs w:val="16"/>
    </w:rPr>
  </w:style>
  <w:style w:type="paragraph" w:styleId="CommentText">
    <w:name w:val="annotation text"/>
    <w:basedOn w:val="Normal"/>
    <w:link w:val="CommentTextChar"/>
    <w:uiPriority w:val="99"/>
    <w:semiHidden/>
    <w:unhideWhenUsed/>
    <w:rsid w:val="00345057"/>
  </w:style>
  <w:style w:type="character" w:customStyle="1" w:styleId="CommentTextChar">
    <w:name w:val="Comment Text Char"/>
    <w:basedOn w:val="DefaultParagraphFont"/>
    <w:link w:val="CommentText"/>
    <w:uiPriority w:val="99"/>
    <w:semiHidden/>
    <w:rsid w:val="0034505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5057"/>
    <w:rPr>
      <w:b/>
      <w:bCs/>
    </w:rPr>
  </w:style>
  <w:style w:type="character" w:customStyle="1" w:styleId="CommentSubjectChar">
    <w:name w:val="Comment Subject Char"/>
    <w:basedOn w:val="CommentTextChar"/>
    <w:link w:val="CommentSubject"/>
    <w:uiPriority w:val="99"/>
    <w:semiHidden/>
    <w:rsid w:val="00345057"/>
    <w:rPr>
      <w:rFonts w:ascii="Times New Roman" w:hAnsi="Times New Roman" w:cs="Times New Roman"/>
      <w:b/>
      <w:bCs/>
      <w:sz w:val="20"/>
      <w:szCs w:val="20"/>
    </w:rPr>
  </w:style>
  <w:style w:type="paragraph" w:styleId="Revision">
    <w:name w:val="Revision"/>
    <w:hidden/>
    <w:uiPriority w:val="99"/>
    <w:semiHidden/>
    <w:rsid w:val="00A617DB"/>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1594-B87B-4019-BE06-2814DCC6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1803</Words>
  <Characters>8475</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2018-10-02T03:54:00Z</dcterms:created>
  <dcterms:modified xsi:type="dcterms:W3CDTF">2019-08-16T03:00:00Z</dcterms:modified>
</cp:coreProperties>
</file>