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F4DE4" w14:textId="77777777" w:rsidR="00D0547B" w:rsidRPr="005E29A7" w:rsidRDefault="00E9525E" w:rsidP="005E29A7">
      <w:pPr>
        <w:shd w:val="clear" w:color="auto" w:fill="FFFFFF"/>
        <w:spacing w:before="240" w:after="120"/>
        <w:ind w:left="1440" w:right="1440"/>
        <w:jc w:val="center"/>
        <w:rPr>
          <w:sz w:val="32"/>
          <w:szCs w:val="22"/>
        </w:rPr>
      </w:pPr>
      <w:r w:rsidRPr="005E29A7">
        <w:rPr>
          <w:b/>
          <w:bCs/>
          <w:sz w:val="32"/>
          <w:szCs w:val="22"/>
        </w:rPr>
        <w:t>STEVEDORING INDUSTRY AMENDMENT ACT 1976</w:t>
      </w:r>
    </w:p>
    <w:p w14:paraId="582BE16B" w14:textId="77777777" w:rsidR="00D0547B" w:rsidRPr="005E29A7" w:rsidRDefault="00E9525E" w:rsidP="005E29A7">
      <w:pPr>
        <w:shd w:val="clear" w:color="auto" w:fill="FFFFFF"/>
        <w:spacing w:before="120" w:after="360"/>
        <w:jc w:val="center"/>
        <w:rPr>
          <w:sz w:val="28"/>
          <w:szCs w:val="22"/>
        </w:rPr>
      </w:pPr>
      <w:r w:rsidRPr="005E29A7">
        <w:rPr>
          <w:b/>
          <w:bCs/>
          <w:sz w:val="28"/>
          <w:szCs w:val="22"/>
        </w:rPr>
        <w:t>No. 178 of 1976</w:t>
      </w:r>
    </w:p>
    <w:p w14:paraId="2673AB8D" w14:textId="77777777" w:rsidR="00D0547B" w:rsidRPr="005E29A7" w:rsidRDefault="00E9525E" w:rsidP="005E29A7">
      <w:pPr>
        <w:shd w:val="clear" w:color="auto" w:fill="FFFFFF"/>
        <w:spacing w:after="360"/>
        <w:jc w:val="center"/>
        <w:rPr>
          <w:sz w:val="24"/>
          <w:szCs w:val="22"/>
        </w:rPr>
      </w:pPr>
      <w:r w:rsidRPr="005E29A7">
        <w:rPr>
          <w:sz w:val="24"/>
          <w:szCs w:val="22"/>
        </w:rPr>
        <w:t xml:space="preserve">An Act to amend the </w:t>
      </w:r>
      <w:r w:rsidRPr="005E29A7">
        <w:rPr>
          <w:i/>
          <w:iCs/>
          <w:sz w:val="24"/>
          <w:szCs w:val="22"/>
        </w:rPr>
        <w:t xml:space="preserve">Stevedoring Industry Act </w:t>
      </w:r>
      <w:r w:rsidRPr="005E29A7">
        <w:rPr>
          <w:sz w:val="24"/>
          <w:szCs w:val="22"/>
        </w:rPr>
        <w:t>1956.</w:t>
      </w:r>
    </w:p>
    <w:p w14:paraId="3E89065B" w14:textId="77777777" w:rsidR="00D0547B" w:rsidRPr="005E29A7" w:rsidRDefault="00E9525E" w:rsidP="005E29A7">
      <w:pPr>
        <w:shd w:val="clear" w:color="auto" w:fill="FFFFFF"/>
        <w:spacing w:after="60"/>
        <w:ind w:firstLine="288"/>
        <w:jc w:val="both"/>
        <w:rPr>
          <w:sz w:val="24"/>
          <w:szCs w:val="22"/>
        </w:rPr>
      </w:pPr>
      <w:r w:rsidRPr="005E29A7">
        <w:rPr>
          <w:sz w:val="24"/>
          <w:szCs w:val="22"/>
        </w:rPr>
        <w:t>BE IT ENACTED by the Queen, and the Senate and House of Representatives of the Commonwealth of Australia, as follows:</w:t>
      </w:r>
      <w:r w:rsidRPr="005E29A7">
        <w:rPr>
          <w:rFonts w:eastAsia="Times New Roman"/>
          <w:sz w:val="24"/>
          <w:szCs w:val="22"/>
        </w:rPr>
        <w:t>—</w:t>
      </w:r>
    </w:p>
    <w:p w14:paraId="29C5AB80" w14:textId="77777777" w:rsidR="00D0547B" w:rsidRPr="005E29A7" w:rsidRDefault="00E9525E" w:rsidP="005E29A7">
      <w:pPr>
        <w:shd w:val="clear" w:color="auto" w:fill="FFFFFF"/>
        <w:spacing w:before="120" w:after="60"/>
        <w:jc w:val="both"/>
        <w:rPr>
          <w:b/>
          <w:szCs w:val="22"/>
        </w:rPr>
      </w:pPr>
      <w:r w:rsidRPr="005E29A7">
        <w:rPr>
          <w:b/>
          <w:szCs w:val="22"/>
        </w:rPr>
        <w:t>Short title, &amp;c.</w:t>
      </w:r>
    </w:p>
    <w:p w14:paraId="1F510A32" w14:textId="575ED7F7" w:rsidR="00D0547B" w:rsidRPr="005E29A7" w:rsidRDefault="00E9525E" w:rsidP="005E29A7">
      <w:pPr>
        <w:shd w:val="clear" w:color="auto" w:fill="FFFFFF"/>
        <w:spacing w:after="60"/>
        <w:ind w:firstLine="288"/>
        <w:jc w:val="both"/>
        <w:rPr>
          <w:sz w:val="24"/>
          <w:szCs w:val="22"/>
        </w:rPr>
      </w:pPr>
      <w:r w:rsidRPr="005E29A7">
        <w:rPr>
          <w:b/>
          <w:bCs/>
          <w:sz w:val="24"/>
          <w:szCs w:val="22"/>
        </w:rPr>
        <w:t>1.</w:t>
      </w:r>
      <w:r w:rsidRPr="005E29A7">
        <w:rPr>
          <w:sz w:val="24"/>
          <w:szCs w:val="22"/>
        </w:rPr>
        <w:t xml:space="preserve"> (1) This Act may be cited as the </w:t>
      </w:r>
      <w:r w:rsidRPr="005E29A7">
        <w:rPr>
          <w:i/>
          <w:iCs/>
          <w:sz w:val="24"/>
          <w:szCs w:val="22"/>
        </w:rPr>
        <w:t xml:space="preserve">Stevedoring Industry Amendment Act </w:t>
      </w:r>
      <w:r w:rsidRPr="005E29A7">
        <w:rPr>
          <w:sz w:val="24"/>
          <w:szCs w:val="22"/>
        </w:rPr>
        <w:t>1976.</w:t>
      </w:r>
    </w:p>
    <w:p w14:paraId="0300D897" w14:textId="6C90047B" w:rsidR="00D0547B" w:rsidRPr="005E29A7" w:rsidRDefault="00E9525E" w:rsidP="005E29A7">
      <w:pPr>
        <w:shd w:val="clear" w:color="auto" w:fill="FFFFFF"/>
        <w:spacing w:after="60"/>
        <w:ind w:firstLine="288"/>
        <w:jc w:val="both"/>
        <w:rPr>
          <w:sz w:val="24"/>
          <w:szCs w:val="22"/>
        </w:rPr>
      </w:pPr>
      <w:r w:rsidRPr="005E29A7">
        <w:rPr>
          <w:sz w:val="24"/>
          <w:szCs w:val="22"/>
        </w:rPr>
        <w:t xml:space="preserve">(2) The </w:t>
      </w:r>
      <w:r w:rsidRPr="005E29A7">
        <w:rPr>
          <w:i/>
          <w:iCs/>
          <w:sz w:val="24"/>
          <w:szCs w:val="22"/>
        </w:rPr>
        <w:t xml:space="preserve">Stevedoring Industry Act </w:t>
      </w:r>
      <w:r w:rsidRPr="005E29A7">
        <w:rPr>
          <w:sz w:val="24"/>
          <w:szCs w:val="22"/>
        </w:rPr>
        <w:t>1956 is in this Act referred to as the Principal Act.</w:t>
      </w:r>
    </w:p>
    <w:p w14:paraId="5281C3B7" w14:textId="77777777" w:rsidR="00D0547B" w:rsidRPr="005E29A7" w:rsidRDefault="00E9525E" w:rsidP="005E29A7">
      <w:pPr>
        <w:shd w:val="clear" w:color="auto" w:fill="FFFFFF"/>
        <w:spacing w:before="120" w:after="60"/>
        <w:jc w:val="both"/>
        <w:rPr>
          <w:b/>
          <w:szCs w:val="22"/>
        </w:rPr>
      </w:pPr>
      <w:r w:rsidRPr="005E29A7">
        <w:rPr>
          <w:b/>
          <w:szCs w:val="22"/>
        </w:rPr>
        <w:t>Commencement.</w:t>
      </w:r>
    </w:p>
    <w:p w14:paraId="573E196D" w14:textId="6C08D625" w:rsidR="00D0547B" w:rsidRPr="005E29A7" w:rsidRDefault="00E9525E" w:rsidP="005E29A7">
      <w:pPr>
        <w:shd w:val="clear" w:color="auto" w:fill="FFFFFF"/>
        <w:spacing w:after="60"/>
        <w:ind w:firstLine="288"/>
        <w:jc w:val="both"/>
        <w:rPr>
          <w:sz w:val="24"/>
          <w:szCs w:val="22"/>
        </w:rPr>
      </w:pPr>
      <w:r w:rsidRPr="005E29A7">
        <w:rPr>
          <w:b/>
          <w:bCs/>
          <w:sz w:val="24"/>
          <w:szCs w:val="22"/>
        </w:rPr>
        <w:t>2.</w:t>
      </w:r>
      <w:r w:rsidRPr="005E29A7">
        <w:rPr>
          <w:sz w:val="24"/>
          <w:szCs w:val="22"/>
        </w:rPr>
        <w:t xml:space="preserve"> (1) </w:t>
      </w:r>
      <w:bookmarkStart w:id="0" w:name="_GoBack"/>
      <w:r w:rsidRPr="005E29A7">
        <w:rPr>
          <w:sz w:val="24"/>
          <w:szCs w:val="22"/>
        </w:rPr>
        <w:t>Subject to sub-section (2), this Act shall come into operation on the day on which it receives the Royal Assent.</w:t>
      </w:r>
      <w:bookmarkEnd w:id="0"/>
    </w:p>
    <w:p w14:paraId="04624231" w14:textId="77777777" w:rsidR="00D0547B" w:rsidRPr="005E29A7" w:rsidRDefault="00E9525E" w:rsidP="005E29A7">
      <w:pPr>
        <w:shd w:val="clear" w:color="auto" w:fill="FFFFFF"/>
        <w:spacing w:after="60"/>
        <w:ind w:firstLine="288"/>
        <w:jc w:val="both"/>
        <w:rPr>
          <w:sz w:val="24"/>
          <w:szCs w:val="22"/>
        </w:rPr>
      </w:pPr>
      <w:r w:rsidRPr="005E29A7">
        <w:rPr>
          <w:sz w:val="24"/>
          <w:szCs w:val="22"/>
        </w:rPr>
        <w:t>(2) Sections 3, 4 and 5 shall come into operation on the day on which an award or order of the Australian Conciliation and Arbitration Commission providing for long service leave for waterside workers comes into operation.</w:t>
      </w:r>
    </w:p>
    <w:p w14:paraId="4892123D" w14:textId="77777777" w:rsidR="00D0547B" w:rsidRPr="005E29A7" w:rsidRDefault="00E9525E" w:rsidP="005E29A7">
      <w:pPr>
        <w:shd w:val="clear" w:color="auto" w:fill="FFFFFF"/>
        <w:spacing w:before="120" w:after="60"/>
        <w:jc w:val="both"/>
        <w:rPr>
          <w:b/>
          <w:szCs w:val="22"/>
        </w:rPr>
      </w:pPr>
      <w:r w:rsidRPr="005E29A7">
        <w:rPr>
          <w:b/>
          <w:szCs w:val="22"/>
        </w:rPr>
        <w:t>Interpretation.</w:t>
      </w:r>
    </w:p>
    <w:p w14:paraId="26D29018" w14:textId="0CE20ECF" w:rsidR="00D0547B" w:rsidRPr="005E29A7" w:rsidRDefault="00E9525E" w:rsidP="005E29A7">
      <w:pPr>
        <w:shd w:val="clear" w:color="auto" w:fill="FFFFFF"/>
        <w:spacing w:after="60"/>
        <w:ind w:firstLine="288"/>
        <w:jc w:val="both"/>
        <w:rPr>
          <w:sz w:val="24"/>
          <w:szCs w:val="22"/>
        </w:rPr>
      </w:pPr>
      <w:r w:rsidRPr="005E29A7">
        <w:rPr>
          <w:b/>
          <w:bCs/>
          <w:sz w:val="24"/>
          <w:szCs w:val="22"/>
        </w:rPr>
        <w:t>3.</w:t>
      </w:r>
      <w:r w:rsidRPr="005E29A7">
        <w:rPr>
          <w:sz w:val="24"/>
          <w:szCs w:val="22"/>
        </w:rPr>
        <w:t xml:space="preserve"> Section 7 of the Principal Act is amended by omitting from sub</w:t>
      </w:r>
      <w:r w:rsidR="00FC0A86">
        <w:rPr>
          <w:sz w:val="24"/>
          <w:szCs w:val="22"/>
        </w:rPr>
        <w:t>-</w:t>
      </w:r>
      <w:r w:rsidRPr="005E29A7">
        <w:rPr>
          <w:sz w:val="24"/>
          <w:szCs w:val="22"/>
        </w:rPr>
        <w:t xml:space="preserve">section (1) the definitions of </w:t>
      </w:r>
      <w:r w:rsidR="00F24CB9" w:rsidRPr="005E29A7">
        <w:rPr>
          <w:sz w:val="24"/>
          <w:szCs w:val="22"/>
        </w:rPr>
        <w:t>“</w:t>
      </w:r>
      <w:r w:rsidRPr="005E29A7">
        <w:rPr>
          <w:sz w:val="24"/>
          <w:szCs w:val="22"/>
        </w:rPr>
        <w:t>long service leave</w:t>
      </w:r>
      <w:r w:rsidR="00F24CB9" w:rsidRPr="005E29A7">
        <w:rPr>
          <w:sz w:val="24"/>
          <w:szCs w:val="22"/>
        </w:rPr>
        <w:t>”</w:t>
      </w:r>
      <w:r w:rsidRPr="005E29A7">
        <w:rPr>
          <w:sz w:val="24"/>
          <w:szCs w:val="22"/>
        </w:rPr>
        <w:t xml:space="preserve"> and of </w:t>
      </w:r>
      <w:r w:rsidR="00F24CB9" w:rsidRPr="005E29A7">
        <w:rPr>
          <w:sz w:val="24"/>
          <w:szCs w:val="22"/>
        </w:rPr>
        <w:t>“</w:t>
      </w:r>
      <w:r w:rsidRPr="005E29A7">
        <w:rPr>
          <w:sz w:val="24"/>
          <w:szCs w:val="22"/>
        </w:rPr>
        <w:t>qualifying service</w:t>
      </w:r>
      <w:r w:rsidR="00F24CB9" w:rsidRPr="005E29A7">
        <w:rPr>
          <w:sz w:val="24"/>
          <w:szCs w:val="22"/>
        </w:rPr>
        <w:t>”</w:t>
      </w:r>
      <w:r w:rsidRPr="005E29A7">
        <w:rPr>
          <w:sz w:val="24"/>
          <w:szCs w:val="22"/>
        </w:rPr>
        <w:t>.</w:t>
      </w:r>
    </w:p>
    <w:p w14:paraId="76EEABB4" w14:textId="77777777" w:rsidR="00D0547B" w:rsidRPr="005E29A7" w:rsidRDefault="00E9525E" w:rsidP="005E29A7">
      <w:pPr>
        <w:shd w:val="clear" w:color="auto" w:fill="FFFFFF"/>
        <w:spacing w:before="120" w:after="60"/>
        <w:jc w:val="both"/>
        <w:rPr>
          <w:b/>
          <w:szCs w:val="22"/>
        </w:rPr>
      </w:pPr>
      <w:r w:rsidRPr="005E29A7">
        <w:rPr>
          <w:b/>
          <w:szCs w:val="22"/>
        </w:rPr>
        <w:t>Functions of the Authority.</w:t>
      </w:r>
    </w:p>
    <w:p w14:paraId="3D3E0111" w14:textId="77777777" w:rsidR="00D0547B" w:rsidRPr="005E29A7" w:rsidRDefault="00E9525E" w:rsidP="005E29A7">
      <w:pPr>
        <w:shd w:val="clear" w:color="auto" w:fill="FFFFFF"/>
        <w:spacing w:after="60"/>
        <w:ind w:firstLine="288"/>
        <w:jc w:val="both"/>
        <w:rPr>
          <w:sz w:val="24"/>
          <w:szCs w:val="22"/>
        </w:rPr>
      </w:pPr>
      <w:r w:rsidRPr="005E29A7">
        <w:rPr>
          <w:b/>
          <w:bCs/>
          <w:sz w:val="24"/>
          <w:szCs w:val="22"/>
        </w:rPr>
        <w:t>4.</w:t>
      </w:r>
      <w:r w:rsidRPr="005E29A7">
        <w:rPr>
          <w:sz w:val="24"/>
          <w:szCs w:val="22"/>
        </w:rPr>
        <w:t xml:space="preserve"> Section 17 of the Principal Act is amended</w:t>
      </w:r>
      <w:r w:rsidRPr="005E29A7">
        <w:rPr>
          <w:rFonts w:eastAsia="Times New Roman"/>
          <w:sz w:val="24"/>
          <w:szCs w:val="22"/>
        </w:rPr>
        <w:t>—</w:t>
      </w:r>
    </w:p>
    <w:p w14:paraId="0EBBB994" w14:textId="77777777" w:rsidR="00D0547B" w:rsidRPr="005E29A7" w:rsidRDefault="00E9525E" w:rsidP="005E29A7">
      <w:pPr>
        <w:shd w:val="clear" w:color="auto" w:fill="FFFFFF"/>
        <w:ind w:left="792" w:hanging="432"/>
        <w:jc w:val="both"/>
        <w:rPr>
          <w:sz w:val="24"/>
          <w:szCs w:val="22"/>
        </w:rPr>
      </w:pPr>
      <w:r w:rsidRPr="005E29A7">
        <w:rPr>
          <w:sz w:val="24"/>
          <w:szCs w:val="22"/>
        </w:rPr>
        <w:t xml:space="preserve">(a) by adding at the end of sub-paragraph (i) of paragraph (c) of sub-section (1) the word </w:t>
      </w:r>
      <w:r w:rsidR="00F24CB9" w:rsidRPr="005E29A7">
        <w:rPr>
          <w:sz w:val="24"/>
          <w:szCs w:val="22"/>
        </w:rPr>
        <w:t>“</w:t>
      </w:r>
      <w:r w:rsidRPr="005E29A7">
        <w:rPr>
          <w:sz w:val="24"/>
          <w:szCs w:val="22"/>
        </w:rPr>
        <w:t>and</w:t>
      </w:r>
      <w:r w:rsidR="00F24CB9" w:rsidRPr="005E29A7">
        <w:rPr>
          <w:sz w:val="24"/>
          <w:szCs w:val="22"/>
        </w:rPr>
        <w:t>”</w:t>
      </w:r>
      <w:r w:rsidRPr="005E29A7">
        <w:rPr>
          <w:sz w:val="24"/>
          <w:szCs w:val="22"/>
        </w:rPr>
        <w:t>; and</w:t>
      </w:r>
    </w:p>
    <w:p w14:paraId="52CB126B" w14:textId="77777777" w:rsidR="00D0547B" w:rsidRPr="005E29A7" w:rsidRDefault="00E9525E" w:rsidP="005E29A7">
      <w:pPr>
        <w:shd w:val="clear" w:color="auto" w:fill="FFFFFF"/>
        <w:ind w:left="792" w:hanging="432"/>
        <w:jc w:val="both"/>
        <w:rPr>
          <w:sz w:val="24"/>
          <w:szCs w:val="22"/>
        </w:rPr>
      </w:pPr>
      <w:r w:rsidRPr="005E29A7">
        <w:rPr>
          <w:sz w:val="24"/>
          <w:szCs w:val="22"/>
        </w:rPr>
        <w:t>(b) by omitting sub-paragraph (ii) of that paragraph.</w:t>
      </w:r>
    </w:p>
    <w:p w14:paraId="538E80CA" w14:textId="77777777" w:rsidR="00D0547B" w:rsidRPr="005E29A7" w:rsidRDefault="00E9525E" w:rsidP="005E29A7">
      <w:pPr>
        <w:shd w:val="clear" w:color="auto" w:fill="FFFFFF"/>
        <w:spacing w:before="120" w:after="60"/>
        <w:jc w:val="both"/>
        <w:rPr>
          <w:b/>
          <w:szCs w:val="22"/>
        </w:rPr>
      </w:pPr>
      <w:r w:rsidRPr="005E29A7">
        <w:rPr>
          <w:b/>
          <w:szCs w:val="22"/>
        </w:rPr>
        <w:t>Long service leave.</w:t>
      </w:r>
    </w:p>
    <w:p w14:paraId="1CEFB122" w14:textId="77777777" w:rsidR="00D0547B" w:rsidRPr="005E29A7" w:rsidRDefault="00E9525E" w:rsidP="005E29A7">
      <w:pPr>
        <w:shd w:val="clear" w:color="auto" w:fill="FFFFFF"/>
        <w:spacing w:after="60"/>
        <w:ind w:firstLine="288"/>
        <w:jc w:val="both"/>
        <w:rPr>
          <w:sz w:val="24"/>
          <w:szCs w:val="22"/>
        </w:rPr>
      </w:pPr>
      <w:r w:rsidRPr="005E29A7">
        <w:rPr>
          <w:b/>
          <w:bCs/>
          <w:sz w:val="24"/>
          <w:szCs w:val="22"/>
        </w:rPr>
        <w:t>5.</w:t>
      </w:r>
      <w:r w:rsidRPr="005E29A7">
        <w:rPr>
          <w:sz w:val="24"/>
          <w:szCs w:val="22"/>
        </w:rPr>
        <w:t xml:space="preserve"> Part </w:t>
      </w:r>
      <w:r w:rsidRPr="005E29A7">
        <w:rPr>
          <w:smallCaps/>
          <w:sz w:val="24"/>
          <w:szCs w:val="22"/>
        </w:rPr>
        <w:t xml:space="preserve">IIIa </w:t>
      </w:r>
      <w:r w:rsidRPr="005E29A7">
        <w:rPr>
          <w:sz w:val="24"/>
          <w:szCs w:val="22"/>
        </w:rPr>
        <w:t>of the Principal Act is repealed.</w:t>
      </w:r>
    </w:p>
    <w:p w14:paraId="326B2079" w14:textId="77777777" w:rsidR="00D0547B" w:rsidRPr="005E29A7" w:rsidRDefault="00E9525E" w:rsidP="005E29A7">
      <w:pPr>
        <w:shd w:val="clear" w:color="auto" w:fill="FFFFFF"/>
        <w:spacing w:before="120" w:after="60"/>
        <w:jc w:val="both"/>
        <w:rPr>
          <w:b/>
          <w:szCs w:val="22"/>
        </w:rPr>
      </w:pPr>
      <w:r w:rsidRPr="005E29A7">
        <w:rPr>
          <w:b/>
          <w:szCs w:val="22"/>
        </w:rPr>
        <w:t>Borrowings by the Authority.</w:t>
      </w:r>
    </w:p>
    <w:p w14:paraId="52C9817F" w14:textId="2A0C4633" w:rsidR="00D0547B" w:rsidRPr="005E29A7" w:rsidRDefault="00E9525E" w:rsidP="005E29A7">
      <w:pPr>
        <w:shd w:val="clear" w:color="auto" w:fill="FFFFFF"/>
        <w:spacing w:after="60"/>
        <w:ind w:firstLine="288"/>
        <w:jc w:val="both"/>
        <w:rPr>
          <w:sz w:val="24"/>
          <w:szCs w:val="22"/>
        </w:rPr>
      </w:pPr>
      <w:r w:rsidRPr="005E29A7">
        <w:rPr>
          <w:b/>
          <w:bCs/>
          <w:sz w:val="24"/>
          <w:szCs w:val="22"/>
        </w:rPr>
        <w:t>6.</w:t>
      </w:r>
      <w:r w:rsidRPr="005E29A7">
        <w:rPr>
          <w:sz w:val="24"/>
          <w:szCs w:val="22"/>
        </w:rPr>
        <w:t xml:space="preserve"> Section 47 of the Principal Act is amended by omitting from subsection (1) the words </w:t>
      </w:r>
      <w:r w:rsidR="00F24CB9" w:rsidRPr="005E29A7">
        <w:rPr>
          <w:sz w:val="24"/>
          <w:szCs w:val="22"/>
        </w:rPr>
        <w:t>“</w:t>
      </w:r>
      <w:r w:rsidRPr="005E29A7">
        <w:rPr>
          <w:sz w:val="24"/>
          <w:szCs w:val="22"/>
        </w:rPr>
        <w:t>, but the aggregate of the amounts borrowed by the Authority under this sub-section and not repaid shall not exceed One million dollars</w:t>
      </w:r>
      <w:r w:rsidR="00F24CB9" w:rsidRPr="005E29A7">
        <w:rPr>
          <w:sz w:val="24"/>
          <w:szCs w:val="22"/>
        </w:rPr>
        <w:t>”</w:t>
      </w:r>
      <w:r w:rsidRPr="005E29A7">
        <w:rPr>
          <w:sz w:val="24"/>
          <w:szCs w:val="22"/>
        </w:rPr>
        <w:t>.</w:t>
      </w:r>
    </w:p>
    <w:p w14:paraId="1779C02D" w14:textId="77777777" w:rsidR="00D0547B" w:rsidRPr="005E29A7" w:rsidRDefault="00E9525E" w:rsidP="005E29A7">
      <w:pPr>
        <w:shd w:val="clear" w:color="auto" w:fill="FFFFFF"/>
        <w:spacing w:before="120" w:after="60"/>
        <w:jc w:val="both"/>
        <w:rPr>
          <w:b/>
          <w:szCs w:val="22"/>
        </w:rPr>
      </w:pPr>
      <w:r w:rsidRPr="005E29A7">
        <w:rPr>
          <w:b/>
          <w:szCs w:val="22"/>
        </w:rPr>
        <w:t>Commission may provide for</w:t>
      </w:r>
      <w:r w:rsidR="003D2E15" w:rsidRPr="005E29A7">
        <w:rPr>
          <w:b/>
          <w:szCs w:val="22"/>
        </w:rPr>
        <w:t xml:space="preserve"> </w:t>
      </w:r>
      <w:r w:rsidRPr="005E29A7">
        <w:rPr>
          <w:b/>
          <w:szCs w:val="22"/>
        </w:rPr>
        <w:t>long service leave.</w:t>
      </w:r>
    </w:p>
    <w:p w14:paraId="6956AF69" w14:textId="0990C98B" w:rsidR="005E29A7" w:rsidRDefault="00E9525E" w:rsidP="00FC0A86">
      <w:pPr>
        <w:shd w:val="clear" w:color="auto" w:fill="FFFFFF"/>
        <w:spacing w:after="60"/>
        <w:ind w:firstLine="288"/>
        <w:jc w:val="both"/>
        <w:rPr>
          <w:sz w:val="24"/>
          <w:szCs w:val="22"/>
        </w:rPr>
      </w:pPr>
      <w:r w:rsidRPr="005E29A7">
        <w:rPr>
          <w:b/>
          <w:bCs/>
          <w:sz w:val="24"/>
          <w:szCs w:val="22"/>
        </w:rPr>
        <w:t>7.</w:t>
      </w:r>
      <w:r w:rsidRPr="005E29A7">
        <w:rPr>
          <w:sz w:val="24"/>
          <w:szCs w:val="22"/>
        </w:rPr>
        <w:t xml:space="preserve"> An award or order of the Australian Conciliation and Arbitration Commission under Division 4 of Part III of the </w:t>
      </w:r>
      <w:r w:rsidRPr="005E29A7">
        <w:rPr>
          <w:i/>
          <w:iCs/>
          <w:sz w:val="24"/>
          <w:szCs w:val="22"/>
        </w:rPr>
        <w:t xml:space="preserve">Conciliation and Arbitration Act </w:t>
      </w:r>
      <w:r w:rsidRPr="005E29A7">
        <w:rPr>
          <w:sz w:val="24"/>
          <w:szCs w:val="22"/>
        </w:rPr>
        <w:t xml:space="preserve">1904 providing for long service leave for waterside workers may be made at </w:t>
      </w:r>
      <w:proofErr w:type="spellStart"/>
      <w:r w:rsidRPr="005E29A7">
        <w:rPr>
          <w:sz w:val="24"/>
          <w:szCs w:val="22"/>
        </w:rPr>
        <w:t>anytime</w:t>
      </w:r>
      <w:proofErr w:type="spellEnd"/>
      <w:r w:rsidRPr="005E29A7">
        <w:rPr>
          <w:sz w:val="24"/>
          <w:szCs w:val="22"/>
        </w:rPr>
        <w:t xml:space="preserve"> after the commencement of this section, notwithstanding that Part </w:t>
      </w:r>
      <w:r w:rsidRPr="005E29A7">
        <w:rPr>
          <w:smallCaps/>
          <w:sz w:val="24"/>
          <w:szCs w:val="22"/>
        </w:rPr>
        <w:t xml:space="preserve">IIIa </w:t>
      </w:r>
      <w:r w:rsidRPr="005E29A7">
        <w:rPr>
          <w:sz w:val="24"/>
          <w:szCs w:val="22"/>
        </w:rPr>
        <w:t>of the Principal Act is in force at the time of the making of the award or order.</w:t>
      </w:r>
    </w:p>
    <w:sectPr w:rsidR="005E29A7" w:rsidSect="00301B74">
      <w:headerReference w:type="even" r:id="rId7"/>
      <w:headerReference w:type="default" r:id="rId8"/>
      <w:type w:val="continuous"/>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339475" w15:done="0"/>
  <w15:commentEx w15:paraId="44710A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39475" w16cid:durableId="1F5E180C"/>
  <w16cid:commentId w16cid:paraId="44710A6D" w16cid:durableId="1F5E18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C99AD" w14:textId="77777777" w:rsidR="00C66502" w:rsidRDefault="00C66502" w:rsidP="00301B74">
      <w:r>
        <w:separator/>
      </w:r>
    </w:p>
  </w:endnote>
  <w:endnote w:type="continuationSeparator" w:id="0">
    <w:p w14:paraId="6B761D43" w14:textId="77777777" w:rsidR="00C66502" w:rsidRDefault="00C66502" w:rsidP="0030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F7BEE" w14:textId="77777777" w:rsidR="00C66502" w:rsidRDefault="00C66502" w:rsidP="00301B74">
      <w:r>
        <w:separator/>
      </w:r>
    </w:p>
  </w:footnote>
  <w:footnote w:type="continuationSeparator" w:id="0">
    <w:p w14:paraId="701794EF" w14:textId="77777777" w:rsidR="00C66502" w:rsidRDefault="00C66502" w:rsidP="00301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DA2AA" w14:textId="77777777" w:rsidR="00301B74" w:rsidRPr="00301B74" w:rsidRDefault="00301B74" w:rsidP="00301B74">
    <w:pPr>
      <w:pStyle w:val="Header"/>
      <w:tabs>
        <w:tab w:val="clear" w:pos="9360"/>
        <w:tab w:val="right" w:pos="9720"/>
      </w:tabs>
      <w:rPr>
        <w:sz w:val="24"/>
      </w:rPr>
    </w:pPr>
    <w:r w:rsidRPr="00301B74">
      <w:rPr>
        <w:sz w:val="24"/>
        <w:szCs w:val="22"/>
      </w:rPr>
      <w:t>1976</w:t>
    </w:r>
    <w:r w:rsidRPr="00301B74">
      <w:rPr>
        <w:sz w:val="24"/>
        <w:szCs w:val="22"/>
      </w:rPr>
      <w:tab/>
    </w:r>
    <w:r w:rsidRPr="00301B74">
      <w:rPr>
        <w:i/>
        <w:iCs/>
        <w:sz w:val="24"/>
        <w:szCs w:val="22"/>
      </w:rPr>
      <w:t>Stevedoring Industry Amendment</w:t>
    </w:r>
    <w:r w:rsidRPr="00301B74">
      <w:rPr>
        <w:i/>
        <w:iCs/>
        <w:sz w:val="24"/>
        <w:szCs w:val="22"/>
      </w:rPr>
      <w:tab/>
    </w:r>
    <w:r w:rsidRPr="00301B74">
      <w:rPr>
        <w:sz w:val="24"/>
        <w:szCs w:val="22"/>
      </w:rPr>
      <w:t>No. 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C316E5FBCC9E40FC921FF879E1133AFD"/>
      </w:placeholder>
      <w:temporary/>
      <w:showingPlcHdr/>
    </w:sdtPr>
    <w:sdtEndPr/>
    <w:sdtContent>
      <w:p w14:paraId="149EEFBD" w14:textId="77777777" w:rsidR="00301B74" w:rsidRDefault="00301B74">
        <w:pPr>
          <w:pStyle w:val="Header"/>
        </w:pPr>
        <w:r>
          <w:t>[Type text]</w:t>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B9"/>
    <w:rsid w:val="00284099"/>
    <w:rsid w:val="00301B74"/>
    <w:rsid w:val="00344836"/>
    <w:rsid w:val="00370BFB"/>
    <w:rsid w:val="003D2E15"/>
    <w:rsid w:val="00475400"/>
    <w:rsid w:val="00500F00"/>
    <w:rsid w:val="005E29A7"/>
    <w:rsid w:val="005E2F5B"/>
    <w:rsid w:val="00C66502"/>
    <w:rsid w:val="00C7120C"/>
    <w:rsid w:val="00D0547B"/>
    <w:rsid w:val="00E9525E"/>
    <w:rsid w:val="00F24CB9"/>
    <w:rsid w:val="00FC0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8E6F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B74"/>
    <w:pPr>
      <w:tabs>
        <w:tab w:val="center" w:pos="4680"/>
        <w:tab w:val="right" w:pos="9360"/>
      </w:tabs>
    </w:pPr>
  </w:style>
  <w:style w:type="character" w:customStyle="1" w:styleId="HeaderChar">
    <w:name w:val="Header Char"/>
    <w:basedOn w:val="DefaultParagraphFont"/>
    <w:link w:val="Header"/>
    <w:uiPriority w:val="99"/>
    <w:rsid w:val="00301B74"/>
    <w:rPr>
      <w:rFonts w:ascii="Times New Roman" w:hAnsi="Times New Roman" w:cs="Times New Roman"/>
      <w:sz w:val="20"/>
      <w:szCs w:val="20"/>
    </w:rPr>
  </w:style>
  <w:style w:type="paragraph" w:styleId="Footer">
    <w:name w:val="footer"/>
    <w:basedOn w:val="Normal"/>
    <w:link w:val="FooterChar"/>
    <w:uiPriority w:val="99"/>
    <w:unhideWhenUsed/>
    <w:rsid w:val="00301B74"/>
    <w:pPr>
      <w:tabs>
        <w:tab w:val="center" w:pos="4680"/>
        <w:tab w:val="right" w:pos="9360"/>
      </w:tabs>
    </w:pPr>
  </w:style>
  <w:style w:type="character" w:customStyle="1" w:styleId="FooterChar">
    <w:name w:val="Footer Char"/>
    <w:basedOn w:val="DefaultParagraphFont"/>
    <w:link w:val="Footer"/>
    <w:uiPriority w:val="99"/>
    <w:rsid w:val="00301B7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01B74"/>
    <w:rPr>
      <w:rFonts w:ascii="Tahoma" w:hAnsi="Tahoma" w:cs="Tahoma"/>
      <w:sz w:val="16"/>
      <w:szCs w:val="16"/>
    </w:rPr>
  </w:style>
  <w:style w:type="character" w:customStyle="1" w:styleId="BalloonTextChar">
    <w:name w:val="Balloon Text Char"/>
    <w:basedOn w:val="DefaultParagraphFont"/>
    <w:link w:val="BalloonText"/>
    <w:uiPriority w:val="99"/>
    <w:semiHidden/>
    <w:rsid w:val="00301B74"/>
    <w:rPr>
      <w:rFonts w:ascii="Tahoma" w:hAnsi="Tahoma" w:cs="Tahoma"/>
      <w:sz w:val="16"/>
      <w:szCs w:val="16"/>
    </w:rPr>
  </w:style>
  <w:style w:type="character" w:styleId="CommentReference">
    <w:name w:val="annotation reference"/>
    <w:basedOn w:val="DefaultParagraphFont"/>
    <w:uiPriority w:val="99"/>
    <w:semiHidden/>
    <w:unhideWhenUsed/>
    <w:rsid w:val="00C7120C"/>
    <w:rPr>
      <w:sz w:val="16"/>
      <w:szCs w:val="16"/>
    </w:rPr>
  </w:style>
  <w:style w:type="paragraph" w:styleId="CommentText">
    <w:name w:val="annotation text"/>
    <w:basedOn w:val="Normal"/>
    <w:link w:val="CommentTextChar"/>
    <w:uiPriority w:val="99"/>
    <w:semiHidden/>
    <w:unhideWhenUsed/>
    <w:rsid w:val="00C7120C"/>
  </w:style>
  <w:style w:type="character" w:customStyle="1" w:styleId="CommentTextChar">
    <w:name w:val="Comment Text Char"/>
    <w:basedOn w:val="DefaultParagraphFont"/>
    <w:link w:val="CommentText"/>
    <w:uiPriority w:val="99"/>
    <w:semiHidden/>
    <w:rsid w:val="00C712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120C"/>
    <w:rPr>
      <w:b/>
      <w:bCs/>
    </w:rPr>
  </w:style>
  <w:style w:type="character" w:customStyle="1" w:styleId="CommentSubjectChar">
    <w:name w:val="Comment Subject Char"/>
    <w:basedOn w:val="CommentTextChar"/>
    <w:link w:val="CommentSubject"/>
    <w:uiPriority w:val="99"/>
    <w:semiHidden/>
    <w:rsid w:val="00C7120C"/>
    <w:rPr>
      <w:rFonts w:ascii="Times New Roman" w:hAnsi="Times New Roman" w:cs="Times New Roman"/>
      <w:b/>
      <w:bCs/>
      <w:sz w:val="20"/>
      <w:szCs w:val="20"/>
    </w:rPr>
  </w:style>
  <w:style w:type="paragraph" w:styleId="Revision">
    <w:name w:val="Revision"/>
    <w:hidden/>
    <w:uiPriority w:val="99"/>
    <w:semiHidden/>
    <w:rsid w:val="00FC0A8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B74"/>
    <w:pPr>
      <w:tabs>
        <w:tab w:val="center" w:pos="4680"/>
        <w:tab w:val="right" w:pos="9360"/>
      </w:tabs>
    </w:pPr>
  </w:style>
  <w:style w:type="character" w:customStyle="1" w:styleId="HeaderChar">
    <w:name w:val="Header Char"/>
    <w:basedOn w:val="DefaultParagraphFont"/>
    <w:link w:val="Header"/>
    <w:uiPriority w:val="99"/>
    <w:rsid w:val="00301B74"/>
    <w:rPr>
      <w:rFonts w:ascii="Times New Roman" w:hAnsi="Times New Roman" w:cs="Times New Roman"/>
      <w:sz w:val="20"/>
      <w:szCs w:val="20"/>
    </w:rPr>
  </w:style>
  <w:style w:type="paragraph" w:styleId="Footer">
    <w:name w:val="footer"/>
    <w:basedOn w:val="Normal"/>
    <w:link w:val="FooterChar"/>
    <w:uiPriority w:val="99"/>
    <w:unhideWhenUsed/>
    <w:rsid w:val="00301B74"/>
    <w:pPr>
      <w:tabs>
        <w:tab w:val="center" w:pos="4680"/>
        <w:tab w:val="right" w:pos="9360"/>
      </w:tabs>
    </w:pPr>
  </w:style>
  <w:style w:type="character" w:customStyle="1" w:styleId="FooterChar">
    <w:name w:val="Footer Char"/>
    <w:basedOn w:val="DefaultParagraphFont"/>
    <w:link w:val="Footer"/>
    <w:uiPriority w:val="99"/>
    <w:rsid w:val="00301B7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01B74"/>
    <w:rPr>
      <w:rFonts w:ascii="Tahoma" w:hAnsi="Tahoma" w:cs="Tahoma"/>
      <w:sz w:val="16"/>
      <w:szCs w:val="16"/>
    </w:rPr>
  </w:style>
  <w:style w:type="character" w:customStyle="1" w:styleId="BalloonTextChar">
    <w:name w:val="Balloon Text Char"/>
    <w:basedOn w:val="DefaultParagraphFont"/>
    <w:link w:val="BalloonText"/>
    <w:uiPriority w:val="99"/>
    <w:semiHidden/>
    <w:rsid w:val="00301B74"/>
    <w:rPr>
      <w:rFonts w:ascii="Tahoma" w:hAnsi="Tahoma" w:cs="Tahoma"/>
      <w:sz w:val="16"/>
      <w:szCs w:val="16"/>
    </w:rPr>
  </w:style>
  <w:style w:type="character" w:styleId="CommentReference">
    <w:name w:val="annotation reference"/>
    <w:basedOn w:val="DefaultParagraphFont"/>
    <w:uiPriority w:val="99"/>
    <w:semiHidden/>
    <w:unhideWhenUsed/>
    <w:rsid w:val="00C7120C"/>
    <w:rPr>
      <w:sz w:val="16"/>
      <w:szCs w:val="16"/>
    </w:rPr>
  </w:style>
  <w:style w:type="paragraph" w:styleId="CommentText">
    <w:name w:val="annotation text"/>
    <w:basedOn w:val="Normal"/>
    <w:link w:val="CommentTextChar"/>
    <w:uiPriority w:val="99"/>
    <w:semiHidden/>
    <w:unhideWhenUsed/>
    <w:rsid w:val="00C7120C"/>
  </w:style>
  <w:style w:type="character" w:customStyle="1" w:styleId="CommentTextChar">
    <w:name w:val="Comment Text Char"/>
    <w:basedOn w:val="DefaultParagraphFont"/>
    <w:link w:val="CommentText"/>
    <w:uiPriority w:val="99"/>
    <w:semiHidden/>
    <w:rsid w:val="00C712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120C"/>
    <w:rPr>
      <w:b/>
      <w:bCs/>
    </w:rPr>
  </w:style>
  <w:style w:type="character" w:customStyle="1" w:styleId="CommentSubjectChar">
    <w:name w:val="Comment Subject Char"/>
    <w:basedOn w:val="CommentTextChar"/>
    <w:link w:val="CommentSubject"/>
    <w:uiPriority w:val="99"/>
    <w:semiHidden/>
    <w:rsid w:val="00C7120C"/>
    <w:rPr>
      <w:rFonts w:ascii="Times New Roman" w:hAnsi="Times New Roman" w:cs="Times New Roman"/>
      <w:b/>
      <w:bCs/>
      <w:sz w:val="20"/>
      <w:szCs w:val="20"/>
    </w:rPr>
  </w:style>
  <w:style w:type="paragraph" w:styleId="Revision">
    <w:name w:val="Revision"/>
    <w:hidden/>
    <w:uiPriority w:val="99"/>
    <w:semiHidden/>
    <w:rsid w:val="00FC0A8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16E5FBCC9E40FC921FF879E1133AFD"/>
        <w:category>
          <w:name w:val="General"/>
          <w:gallery w:val="placeholder"/>
        </w:category>
        <w:types>
          <w:type w:val="bbPlcHdr"/>
        </w:types>
        <w:behaviors>
          <w:behavior w:val="content"/>
        </w:behaviors>
        <w:guid w:val="{9D09A4B0-FE6B-4E75-B06F-C1325323D45F}"/>
      </w:docPartPr>
      <w:docPartBody>
        <w:p w:rsidR="00BA3604" w:rsidRDefault="00135113" w:rsidP="00135113">
          <w:pPr>
            <w:pStyle w:val="C316E5FBCC9E40FC921FF879E1133AF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13"/>
    <w:rsid w:val="00135113"/>
    <w:rsid w:val="00815687"/>
    <w:rsid w:val="008B2917"/>
    <w:rsid w:val="00BA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16E5FBCC9E40FC921FF879E1133AFD">
    <w:name w:val="C316E5FBCC9E40FC921FF879E1133AFD"/>
    <w:rsid w:val="001351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16E5FBCC9E40FC921FF879E1133AFD">
    <w:name w:val="C316E5FBCC9E40FC921FF879E1133AFD"/>
    <w:rsid w:val="0013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324</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Harper, Michael</cp:lastModifiedBy>
  <cp:revision>3</cp:revision>
  <dcterms:created xsi:type="dcterms:W3CDTF">2018-10-02T06:15:00Z</dcterms:created>
  <dcterms:modified xsi:type="dcterms:W3CDTF">2019-08-19T01:18:00Z</dcterms:modified>
</cp:coreProperties>
</file>