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6789F" w14:textId="6F357257" w:rsidR="00395EDF" w:rsidRPr="007451C3" w:rsidRDefault="00A23934" w:rsidP="00722D82">
      <w:pPr>
        <w:shd w:val="clear" w:color="auto" w:fill="FFFFFF"/>
        <w:jc w:val="center"/>
        <w:rPr>
          <w:sz w:val="32"/>
          <w:szCs w:val="32"/>
        </w:rPr>
      </w:pPr>
      <w:r w:rsidRPr="007451C3">
        <w:rPr>
          <w:b/>
          <w:bCs/>
          <w:sz w:val="32"/>
          <w:szCs w:val="32"/>
        </w:rPr>
        <w:t>FOREIGN PROCEEDINGS (PROHIBITION OF</w:t>
      </w:r>
      <w:r w:rsidR="007451C3">
        <w:rPr>
          <w:b/>
          <w:bCs/>
          <w:sz w:val="32"/>
          <w:szCs w:val="32"/>
        </w:rPr>
        <w:t xml:space="preserve"> </w:t>
      </w:r>
      <w:r w:rsidRPr="007451C3">
        <w:rPr>
          <w:b/>
          <w:bCs/>
          <w:sz w:val="32"/>
          <w:szCs w:val="32"/>
        </w:rPr>
        <w:t>CERTAIN EVIDENCE) AMENDMENT ACT 1976</w:t>
      </w:r>
    </w:p>
    <w:p w14:paraId="332E55B6" w14:textId="77777777" w:rsidR="00395EDF" w:rsidRPr="00722D82" w:rsidRDefault="00A23934" w:rsidP="005942F0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722D82">
        <w:rPr>
          <w:b/>
          <w:bCs/>
          <w:sz w:val="28"/>
          <w:szCs w:val="22"/>
        </w:rPr>
        <w:t>No. 202 of 1976</w:t>
      </w:r>
    </w:p>
    <w:p w14:paraId="139AFAD1" w14:textId="77777777" w:rsidR="00395EDF" w:rsidRPr="00EF0E15" w:rsidRDefault="00A23934" w:rsidP="00EF0E15">
      <w:pPr>
        <w:shd w:val="clear" w:color="auto" w:fill="FFFFFF"/>
        <w:jc w:val="both"/>
        <w:rPr>
          <w:sz w:val="24"/>
          <w:szCs w:val="22"/>
        </w:rPr>
      </w:pPr>
      <w:r w:rsidRPr="00EF0E15">
        <w:rPr>
          <w:sz w:val="24"/>
          <w:szCs w:val="22"/>
        </w:rPr>
        <w:t xml:space="preserve">An Act to amend the </w:t>
      </w:r>
      <w:r w:rsidRPr="00EF0E15">
        <w:rPr>
          <w:i/>
          <w:iCs/>
          <w:sz w:val="24"/>
          <w:szCs w:val="22"/>
        </w:rPr>
        <w:t xml:space="preserve">Foreign Proceedings </w:t>
      </w:r>
      <w:r w:rsidR="00BA0DD6" w:rsidRPr="00EF0E15">
        <w:rPr>
          <w:iCs/>
          <w:sz w:val="24"/>
          <w:szCs w:val="22"/>
        </w:rPr>
        <w:t>(</w:t>
      </w:r>
      <w:r w:rsidRPr="00EF0E15">
        <w:rPr>
          <w:i/>
          <w:iCs/>
          <w:sz w:val="24"/>
          <w:szCs w:val="22"/>
        </w:rPr>
        <w:t>Prohibition of Certain Evidence</w:t>
      </w:r>
      <w:r w:rsidR="00BA0DD6" w:rsidRPr="00EF0E15">
        <w:rPr>
          <w:iCs/>
          <w:sz w:val="24"/>
          <w:szCs w:val="22"/>
        </w:rPr>
        <w:t>)</w:t>
      </w:r>
      <w:r w:rsidRPr="00EF0E15">
        <w:rPr>
          <w:i/>
          <w:iCs/>
          <w:sz w:val="24"/>
          <w:szCs w:val="22"/>
        </w:rPr>
        <w:t xml:space="preserve"> Act </w:t>
      </w:r>
      <w:r w:rsidRPr="00EF0E15">
        <w:rPr>
          <w:sz w:val="24"/>
          <w:szCs w:val="22"/>
        </w:rPr>
        <w:t>1976.</w:t>
      </w:r>
    </w:p>
    <w:p w14:paraId="3B94D348" w14:textId="77777777" w:rsidR="00395EDF" w:rsidRPr="00EF0E15" w:rsidRDefault="00A23934" w:rsidP="004C6300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EF0E15">
        <w:rPr>
          <w:sz w:val="24"/>
          <w:szCs w:val="22"/>
        </w:rPr>
        <w:t>BE IT ENACTED by the Queen, and the Senate and House of Representatives of the Commonwealth of Australia, as follows:</w:t>
      </w:r>
      <w:r w:rsidRPr="00EF0E15">
        <w:rPr>
          <w:rFonts w:eastAsia="Times New Roman"/>
          <w:sz w:val="24"/>
          <w:szCs w:val="22"/>
        </w:rPr>
        <w:t>—</w:t>
      </w:r>
    </w:p>
    <w:p w14:paraId="577A4334" w14:textId="77777777" w:rsidR="00395EDF" w:rsidRPr="00CB16DC" w:rsidRDefault="00A23934" w:rsidP="00CB16DC">
      <w:pPr>
        <w:shd w:val="clear" w:color="auto" w:fill="FFFFFF"/>
        <w:spacing w:before="120" w:after="60"/>
        <w:rPr>
          <w:b/>
          <w:szCs w:val="22"/>
        </w:rPr>
      </w:pPr>
      <w:r w:rsidRPr="00CB16DC">
        <w:rPr>
          <w:b/>
          <w:szCs w:val="22"/>
        </w:rPr>
        <w:t>Short title, &amp;c.</w:t>
      </w:r>
    </w:p>
    <w:p w14:paraId="0870F7C3" w14:textId="67BAE7D8" w:rsidR="00395EDF" w:rsidRPr="00EF0E15" w:rsidRDefault="00A23934" w:rsidP="00CB16DC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1.</w:t>
      </w:r>
      <w:r w:rsidRPr="00EF0E15">
        <w:rPr>
          <w:sz w:val="24"/>
          <w:szCs w:val="22"/>
        </w:rPr>
        <w:t xml:space="preserve"> (1) This Act may be cited as the </w:t>
      </w:r>
      <w:r w:rsidRPr="00EF0E15">
        <w:rPr>
          <w:i/>
          <w:iCs/>
          <w:sz w:val="24"/>
          <w:szCs w:val="22"/>
        </w:rPr>
        <w:t xml:space="preserve">Foreign Proceedings </w:t>
      </w:r>
      <w:r w:rsidR="00BA0DD6" w:rsidRPr="00EF0E15">
        <w:rPr>
          <w:iCs/>
          <w:sz w:val="24"/>
          <w:szCs w:val="22"/>
        </w:rPr>
        <w:t>(</w:t>
      </w:r>
      <w:r w:rsidRPr="00EF0E15">
        <w:rPr>
          <w:i/>
          <w:iCs/>
          <w:sz w:val="24"/>
          <w:szCs w:val="22"/>
        </w:rPr>
        <w:t>Prohibition of Certain Evidence</w:t>
      </w:r>
      <w:r w:rsidR="00BA0DD6" w:rsidRPr="00EF0E15">
        <w:rPr>
          <w:iCs/>
          <w:sz w:val="24"/>
          <w:szCs w:val="22"/>
        </w:rPr>
        <w:t>)</w:t>
      </w:r>
      <w:r w:rsidRPr="00EF0E15">
        <w:rPr>
          <w:i/>
          <w:iCs/>
          <w:sz w:val="24"/>
          <w:szCs w:val="22"/>
        </w:rPr>
        <w:t xml:space="preserve"> Amendment Act </w:t>
      </w:r>
      <w:r w:rsidRPr="00EF0E15">
        <w:rPr>
          <w:sz w:val="24"/>
          <w:szCs w:val="22"/>
        </w:rPr>
        <w:t>1976.</w:t>
      </w:r>
    </w:p>
    <w:p w14:paraId="70DDAD75" w14:textId="584199EC" w:rsidR="00395EDF" w:rsidRPr="00EF0E15" w:rsidRDefault="00A23934" w:rsidP="00CB16DC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sz w:val="24"/>
          <w:szCs w:val="22"/>
        </w:rPr>
        <w:t xml:space="preserve">(2) The </w:t>
      </w:r>
      <w:r w:rsidRPr="00EF0E15">
        <w:rPr>
          <w:i/>
          <w:iCs/>
          <w:sz w:val="24"/>
          <w:szCs w:val="22"/>
        </w:rPr>
        <w:t xml:space="preserve">Foreign Proceedings </w:t>
      </w:r>
      <w:r w:rsidR="00BA0DD6" w:rsidRPr="00EF0E15">
        <w:rPr>
          <w:iCs/>
          <w:sz w:val="24"/>
          <w:szCs w:val="22"/>
        </w:rPr>
        <w:t>(</w:t>
      </w:r>
      <w:r w:rsidRPr="00EF0E15">
        <w:rPr>
          <w:i/>
          <w:iCs/>
          <w:sz w:val="24"/>
          <w:szCs w:val="22"/>
        </w:rPr>
        <w:t>Prohibition of Certain Evidence</w:t>
      </w:r>
      <w:r w:rsidR="00BA0DD6" w:rsidRPr="00EF0E15">
        <w:rPr>
          <w:iCs/>
          <w:sz w:val="24"/>
          <w:szCs w:val="22"/>
        </w:rPr>
        <w:t>)</w:t>
      </w:r>
      <w:r w:rsidRPr="00EF0E15">
        <w:rPr>
          <w:i/>
          <w:iCs/>
          <w:sz w:val="24"/>
          <w:szCs w:val="22"/>
        </w:rPr>
        <w:t xml:space="preserve"> Act </w:t>
      </w:r>
      <w:r w:rsidRPr="00EF0E15">
        <w:rPr>
          <w:sz w:val="24"/>
          <w:szCs w:val="22"/>
        </w:rPr>
        <w:t>1976 is in this Act referred to as the Principal Act.</w:t>
      </w:r>
    </w:p>
    <w:p w14:paraId="0354557F" w14:textId="77777777" w:rsidR="00395EDF" w:rsidRPr="00CB16DC" w:rsidRDefault="00A23934" w:rsidP="00CB16DC">
      <w:pPr>
        <w:shd w:val="clear" w:color="auto" w:fill="FFFFFF"/>
        <w:spacing w:before="120" w:after="60"/>
        <w:rPr>
          <w:b/>
          <w:szCs w:val="22"/>
        </w:rPr>
      </w:pPr>
      <w:r w:rsidRPr="00CB16DC">
        <w:rPr>
          <w:b/>
          <w:szCs w:val="22"/>
        </w:rPr>
        <w:t>Commencement.</w:t>
      </w:r>
    </w:p>
    <w:p w14:paraId="5560A381" w14:textId="59064A35" w:rsidR="00395EDF" w:rsidRPr="00EF0E15" w:rsidRDefault="00A23934" w:rsidP="00CB16DC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2.</w:t>
      </w:r>
      <w:r w:rsidRPr="00EF0E15">
        <w:rPr>
          <w:sz w:val="24"/>
          <w:szCs w:val="22"/>
        </w:rPr>
        <w:t xml:space="preserve"> This Act shall come into operation on the day on which it receives the Royal Assent.</w:t>
      </w:r>
      <w:bookmarkStart w:id="0" w:name="_GoBack"/>
      <w:bookmarkEnd w:id="0"/>
    </w:p>
    <w:p w14:paraId="776D78CF" w14:textId="77777777" w:rsidR="00395EDF" w:rsidRPr="00142613" w:rsidRDefault="00A23934" w:rsidP="00142613">
      <w:pPr>
        <w:shd w:val="clear" w:color="auto" w:fill="FFFFFF"/>
        <w:spacing w:before="120" w:after="60"/>
        <w:rPr>
          <w:b/>
          <w:szCs w:val="22"/>
        </w:rPr>
      </w:pPr>
      <w:r w:rsidRPr="00142613">
        <w:rPr>
          <w:b/>
          <w:szCs w:val="22"/>
        </w:rPr>
        <w:t>Definitions.</w:t>
      </w:r>
    </w:p>
    <w:p w14:paraId="3DC09216" w14:textId="7E749C5C" w:rsidR="00395EDF" w:rsidRPr="00EF0E15" w:rsidRDefault="00A23934" w:rsidP="00142613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3.</w:t>
      </w:r>
      <w:r w:rsidRPr="00EF0E15">
        <w:rPr>
          <w:sz w:val="24"/>
          <w:szCs w:val="22"/>
        </w:rPr>
        <w:t xml:space="preserve"> Section 3 of the Principal Act is amended by adding at the end of the definition of </w:t>
      </w:r>
      <w:r w:rsidR="00EF0E15">
        <w:rPr>
          <w:sz w:val="24"/>
          <w:szCs w:val="22"/>
        </w:rPr>
        <w:t>“</w:t>
      </w:r>
      <w:r w:rsidRPr="00EF0E15">
        <w:rPr>
          <w:sz w:val="24"/>
          <w:szCs w:val="22"/>
        </w:rPr>
        <w:t>foreign tribunal</w:t>
      </w:r>
      <w:r w:rsidR="00EF0E15">
        <w:rPr>
          <w:sz w:val="24"/>
          <w:szCs w:val="22"/>
        </w:rPr>
        <w:t>”</w:t>
      </w:r>
      <w:r w:rsidRPr="00EF0E15">
        <w:rPr>
          <w:sz w:val="24"/>
          <w:szCs w:val="22"/>
        </w:rPr>
        <w:t xml:space="preserve"> the words </w:t>
      </w:r>
      <w:r w:rsidR="00EF0E15">
        <w:rPr>
          <w:sz w:val="24"/>
          <w:szCs w:val="22"/>
        </w:rPr>
        <w:t>“</w:t>
      </w:r>
      <w:r w:rsidRPr="00EF0E15">
        <w:rPr>
          <w:sz w:val="24"/>
          <w:szCs w:val="22"/>
        </w:rPr>
        <w:t>, but does not include the Judicial Committee of the Privy Council in the exercise of jurisdiction in respect of appeals from any court in Australia</w:t>
      </w:r>
      <w:r w:rsidR="007451C3">
        <w:rPr>
          <w:sz w:val="24"/>
          <w:szCs w:val="22"/>
        </w:rPr>
        <w:t>”</w:t>
      </w:r>
      <w:r w:rsidRPr="00EF0E15">
        <w:rPr>
          <w:sz w:val="24"/>
          <w:szCs w:val="22"/>
        </w:rPr>
        <w:t>.</w:t>
      </w:r>
    </w:p>
    <w:p w14:paraId="1FB13D9F" w14:textId="77777777" w:rsidR="00395EDF" w:rsidRPr="00142613" w:rsidRDefault="00A23934" w:rsidP="00142613">
      <w:pPr>
        <w:shd w:val="clear" w:color="auto" w:fill="FFFFFF"/>
        <w:spacing w:before="120" w:after="60"/>
        <w:rPr>
          <w:b/>
          <w:szCs w:val="22"/>
        </w:rPr>
      </w:pPr>
      <w:r w:rsidRPr="00142613">
        <w:rPr>
          <w:b/>
          <w:szCs w:val="22"/>
        </w:rPr>
        <w:t>Exercise of powers.</w:t>
      </w:r>
    </w:p>
    <w:p w14:paraId="6D95B841" w14:textId="77777777" w:rsidR="00395EDF" w:rsidRPr="00EF0E15" w:rsidRDefault="00A23934" w:rsidP="00142613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4.</w:t>
      </w:r>
      <w:r w:rsidRPr="00EF0E15">
        <w:rPr>
          <w:sz w:val="24"/>
          <w:szCs w:val="22"/>
        </w:rPr>
        <w:t xml:space="preserve"> Section 4 of the Principal Act is amended</w:t>
      </w:r>
      <w:r w:rsidRPr="00EF0E15">
        <w:rPr>
          <w:rFonts w:eastAsia="Times New Roman"/>
          <w:sz w:val="24"/>
          <w:szCs w:val="22"/>
        </w:rPr>
        <w:t>—</w:t>
      </w:r>
    </w:p>
    <w:p w14:paraId="23CA77FF" w14:textId="77777777" w:rsidR="00395EDF" w:rsidRPr="00EF0E15" w:rsidRDefault="00A23934" w:rsidP="007E65EB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EF0E15">
        <w:rPr>
          <w:sz w:val="24"/>
          <w:szCs w:val="22"/>
        </w:rPr>
        <w:t xml:space="preserve">(a) by inserting in paragraph (a) of sub-section (1), after the word </w:t>
      </w:r>
      <w:r w:rsidR="00EF0E15">
        <w:rPr>
          <w:sz w:val="24"/>
          <w:szCs w:val="22"/>
        </w:rPr>
        <w:t>“</w:t>
      </w:r>
      <w:r w:rsidRPr="00EF0E15">
        <w:rPr>
          <w:sz w:val="24"/>
          <w:szCs w:val="22"/>
        </w:rPr>
        <w:t>relate</w:t>
      </w:r>
      <w:r w:rsidR="00EF0E15">
        <w:rPr>
          <w:sz w:val="24"/>
          <w:szCs w:val="22"/>
        </w:rPr>
        <w:t>”</w:t>
      </w:r>
      <w:r w:rsidRPr="00EF0E15">
        <w:rPr>
          <w:sz w:val="24"/>
          <w:szCs w:val="22"/>
        </w:rPr>
        <w:t xml:space="preserve">, the words </w:t>
      </w:r>
      <w:r w:rsidR="00EF0E15">
        <w:rPr>
          <w:sz w:val="24"/>
          <w:szCs w:val="22"/>
        </w:rPr>
        <w:t>“</w:t>
      </w:r>
      <w:r w:rsidRPr="00EF0E15">
        <w:rPr>
          <w:sz w:val="24"/>
          <w:szCs w:val="22"/>
        </w:rPr>
        <w:t>, being the only proceedings of a foreign tribunal in relation to which the restrictions are to have effect</w:t>
      </w:r>
      <w:r w:rsidR="00EF0E15">
        <w:rPr>
          <w:sz w:val="24"/>
          <w:szCs w:val="22"/>
        </w:rPr>
        <w:t>”</w:t>
      </w:r>
      <w:r w:rsidRPr="00EF0E15">
        <w:rPr>
          <w:sz w:val="24"/>
          <w:szCs w:val="22"/>
        </w:rPr>
        <w:t>; and</w:t>
      </w:r>
    </w:p>
    <w:p w14:paraId="296A3825" w14:textId="312C21FD" w:rsidR="00395EDF" w:rsidRPr="00EF0E15" w:rsidRDefault="00A23934" w:rsidP="007E65EB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EF0E15">
        <w:rPr>
          <w:sz w:val="24"/>
          <w:szCs w:val="22"/>
        </w:rPr>
        <w:t>(b) by omitting sub-section (2) and substituting the following sub</w:t>
      </w:r>
      <w:r w:rsidR="007451C3">
        <w:rPr>
          <w:sz w:val="24"/>
          <w:szCs w:val="22"/>
        </w:rPr>
        <w:t>-</w:t>
      </w:r>
      <w:r w:rsidRPr="00EF0E15">
        <w:rPr>
          <w:sz w:val="24"/>
          <w:szCs w:val="22"/>
        </w:rPr>
        <w:t>section:</w:t>
      </w:r>
      <w:r w:rsidRPr="00EF0E15">
        <w:rPr>
          <w:rFonts w:eastAsia="Times New Roman"/>
          <w:sz w:val="24"/>
          <w:szCs w:val="22"/>
        </w:rPr>
        <w:t>—</w:t>
      </w:r>
    </w:p>
    <w:p w14:paraId="6AF8BA5B" w14:textId="77777777" w:rsidR="00395EDF" w:rsidRPr="00EF0E15" w:rsidRDefault="00EF0E15" w:rsidP="00F03D88">
      <w:pPr>
        <w:shd w:val="clear" w:color="auto" w:fill="FFFFFF"/>
        <w:spacing w:before="60" w:after="60"/>
        <w:ind w:left="792" w:firstLine="288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A23934" w:rsidRPr="00EF0E15">
        <w:rPr>
          <w:sz w:val="24"/>
          <w:szCs w:val="22"/>
        </w:rPr>
        <w:t>(2) A reference in this section to the imposition of restrictions is a reference to the making of an order under section 5 or the refusing of consent under that section.</w:t>
      </w:r>
      <w:r>
        <w:rPr>
          <w:sz w:val="24"/>
          <w:szCs w:val="22"/>
        </w:rPr>
        <w:t>”</w:t>
      </w:r>
      <w:r w:rsidR="00A23934" w:rsidRPr="00EF0E15">
        <w:rPr>
          <w:sz w:val="24"/>
          <w:szCs w:val="22"/>
        </w:rPr>
        <w:t>.</w:t>
      </w:r>
    </w:p>
    <w:p w14:paraId="631229DF" w14:textId="77777777" w:rsidR="00395EDF" w:rsidRPr="00404841" w:rsidRDefault="00A23934" w:rsidP="00404841">
      <w:pPr>
        <w:shd w:val="clear" w:color="auto" w:fill="FFFFFF"/>
        <w:spacing w:before="120" w:after="60"/>
        <w:rPr>
          <w:b/>
          <w:szCs w:val="22"/>
        </w:rPr>
      </w:pPr>
      <w:r w:rsidRPr="00404841">
        <w:rPr>
          <w:b/>
          <w:szCs w:val="22"/>
        </w:rPr>
        <w:t>Service of orders.</w:t>
      </w:r>
    </w:p>
    <w:p w14:paraId="4ADD30BE" w14:textId="77777777" w:rsidR="00395EDF" w:rsidRPr="00EF0E15" w:rsidRDefault="00A23934" w:rsidP="00404841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5.</w:t>
      </w:r>
      <w:r w:rsidRPr="00EF0E15">
        <w:rPr>
          <w:sz w:val="24"/>
          <w:szCs w:val="22"/>
        </w:rPr>
        <w:t xml:space="preserve"> Section 6 of the Principal Act is amended by omitting paragraph </w:t>
      </w:r>
      <w:r w:rsidR="00D85AC5">
        <w:rPr>
          <w:sz w:val="24"/>
          <w:szCs w:val="22"/>
        </w:rPr>
        <w:t>(</w:t>
      </w:r>
      <w:r w:rsidRPr="00EF0E15">
        <w:rPr>
          <w:sz w:val="24"/>
          <w:szCs w:val="22"/>
        </w:rPr>
        <w:t>a) of sub-section (1) and substituting the following paragraph:</w:t>
      </w:r>
      <w:r w:rsidRPr="00EF0E15">
        <w:rPr>
          <w:rFonts w:eastAsia="Times New Roman"/>
          <w:sz w:val="24"/>
          <w:szCs w:val="22"/>
        </w:rPr>
        <w:t>—</w:t>
      </w:r>
    </w:p>
    <w:p w14:paraId="22A3D5F9" w14:textId="77777777" w:rsidR="00395EDF" w:rsidRPr="00EF0E15" w:rsidRDefault="00EF0E15" w:rsidP="00646A73">
      <w:pPr>
        <w:shd w:val="clear" w:color="auto" w:fill="FFFFFF"/>
        <w:spacing w:before="60" w:after="60"/>
        <w:ind w:left="864" w:hanging="432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A23934" w:rsidRPr="00EF0E15">
        <w:rPr>
          <w:sz w:val="24"/>
          <w:szCs w:val="22"/>
        </w:rPr>
        <w:t xml:space="preserve">(a) may be served on the person or persons to whom it is directed by publication of the order in the </w:t>
      </w:r>
      <w:r w:rsidR="00A23934" w:rsidRPr="00EF0E15">
        <w:rPr>
          <w:i/>
          <w:iCs/>
          <w:sz w:val="24"/>
          <w:szCs w:val="22"/>
        </w:rPr>
        <w:t xml:space="preserve">Gazette; </w:t>
      </w:r>
      <w:r w:rsidR="00A23934" w:rsidRPr="00EF0E15">
        <w:rPr>
          <w:sz w:val="24"/>
          <w:szCs w:val="22"/>
        </w:rPr>
        <w:t>or</w:t>
      </w:r>
      <w:r>
        <w:rPr>
          <w:sz w:val="24"/>
          <w:szCs w:val="22"/>
        </w:rPr>
        <w:t>”</w:t>
      </w:r>
      <w:r w:rsidR="00A23934" w:rsidRPr="00EF0E15">
        <w:rPr>
          <w:sz w:val="24"/>
          <w:szCs w:val="22"/>
        </w:rPr>
        <w:t>.</w:t>
      </w:r>
    </w:p>
    <w:p w14:paraId="025468FC" w14:textId="12EB7F01" w:rsidR="00395EDF" w:rsidRPr="00EF0E15" w:rsidRDefault="00A23934" w:rsidP="001D5515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EF0E15">
        <w:rPr>
          <w:b/>
          <w:bCs/>
          <w:sz w:val="24"/>
          <w:szCs w:val="22"/>
        </w:rPr>
        <w:t>6.</w:t>
      </w:r>
      <w:r w:rsidRPr="00EF0E15">
        <w:rPr>
          <w:sz w:val="24"/>
          <w:szCs w:val="22"/>
        </w:rPr>
        <w:t xml:space="preserve"> After section 6 of the Principal Act the following section is inserted:</w:t>
      </w:r>
      <w:r w:rsidRPr="00EF0E15">
        <w:rPr>
          <w:rFonts w:eastAsia="Times New Roman"/>
          <w:sz w:val="24"/>
          <w:szCs w:val="22"/>
        </w:rPr>
        <w:t>—</w:t>
      </w:r>
    </w:p>
    <w:p w14:paraId="7B4C2F82" w14:textId="77777777" w:rsidR="00395EDF" w:rsidRPr="00161295" w:rsidRDefault="00A23934" w:rsidP="00161295">
      <w:pPr>
        <w:shd w:val="clear" w:color="auto" w:fill="FFFFFF"/>
        <w:spacing w:before="120" w:after="60"/>
        <w:rPr>
          <w:b/>
          <w:szCs w:val="22"/>
        </w:rPr>
      </w:pPr>
      <w:r w:rsidRPr="00161295">
        <w:rPr>
          <w:b/>
          <w:szCs w:val="22"/>
        </w:rPr>
        <w:t>Tabling and disallowance of orders.</w:t>
      </w:r>
    </w:p>
    <w:p w14:paraId="34C795A0" w14:textId="49C5F1FA" w:rsidR="00395EDF" w:rsidRPr="00EF0E15" w:rsidRDefault="00EF0E15" w:rsidP="00B26DC8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A23934" w:rsidRPr="00EF0E15">
        <w:rPr>
          <w:sz w:val="24"/>
          <w:szCs w:val="22"/>
        </w:rPr>
        <w:t>6</w:t>
      </w:r>
      <w:r w:rsidR="007451C3">
        <w:rPr>
          <w:smallCaps/>
          <w:sz w:val="24"/>
          <w:szCs w:val="22"/>
        </w:rPr>
        <w:t>a</w:t>
      </w:r>
      <w:r w:rsidR="00A23934" w:rsidRPr="00EF0E15">
        <w:rPr>
          <w:sz w:val="24"/>
          <w:szCs w:val="22"/>
        </w:rPr>
        <w:t xml:space="preserve">. (1) The provisions of section 48 of the </w:t>
      </w:r>
      <w:r w:rsidR="00A23934" w:rsidRPr="00EF0E15">
        <w:rPr>
          <w:i/>
          <w:iCs/>
          <w:sz w:val="24"/>
          <w:szCs w:val="22"/>
        </w:rPr>
        <w:t xml:space="preserve">Acts Interpretation Act </w:t>
      </w:r>
      <w:r w:rsidR="007451C3">
        <w:rPr>
          <w:sz w:val="24"/>
          <w:szCs w:val="22"/>
        </w:rPr>
        <w:t>1901 (except paragraphs (1)</w:t>
      </w:r>
      <w:r w:rsidR="00A23934" w:rsidRPr="00EF0E15">
        <w:rPr>
          <w:sz w:val="24"/>
          <w:szCs w:val="22"/>
        </w:rPr>
        <w:t>(a) and (b) and sub-section (2)) apply, by force of this section, to an order under this Act in like manner as those provisions apply in relation to a regulation.</w:t>
      </w:r>
    </w:p>
    <w:p w14:paraId="67C3EE38" w14:textId="77777777" w:rsidR="00395EDF" w:rsidRPr="00EF0E15" w:rsidRDefault="00EF0E15" w:rsidP="00D33CF0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A23934" w:rsidRPr="00EF0E15">
        <w:rPr>
          <w:sz w:val="24"/>
          <w:szCs w:val="22"/>
        </w:rPr>
        <w:t>(2) Nothing in the provisions applied by this section affects the operation of an order at any time before it becomes void, or is disallowed, in accordance with those provisions.</w:t>
      </w:r>
      <w:r>
        <w:rPr>
          <w:sz w:val="24"/>
          <w:szCs w:val="22"/>
        </w:rPr>
        <w:t>”</w:t>
      </w:r>
      <w:r w:rsidR="00A23934" w:rsidRPr="00EF0E15">
        <w:rPr>
          <w:sz w:val="24"/>
          <w:szCs w:val="22"/>
        </w:rPr>
        <w:t>.</w:t>
      </w:r>
    </w:p>
    <w:p w14:paraId="6296C50A" w14:textId="77777777" w:rsidR="00395EDF" w:rsidRPr="00EF0E15" w:rsidRDefault="00A23934" w:rsidP="00AF7638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D33CF0">
        <w:rPr>
          <w:b/>
          <w:sz w:val="24"/>
          <w:szCs w:val="22"/>
        </w:rPr>
        <w:t>7.</w:t>
      </w:r>
      <w:r w:rsidRPr="00EF0E15">
        <w:rPr>
          <w:sz w:val="24"/>
          <w:szCs w:val="22"/>
        </w:rPr>
        <w:t xml:space="preserve"> After section 7 of the Principal Act the following section is added:</w:t>
      </w:r>
      <w:r w:rsidRPr="00EF0E15">
        <w:rPr>
          <w:rFonts w:eastAsia="Times New Roman"/>
          <w:sz w:val="24"/>
          <w:szCs w:val="22"/>
        </w:rPr>
        <w:t>—</w:t>
      </w:r>
    </w:p>
    <w:p w14:paraId="4D1203A6" w14:textId="77777777" w:rsidR="00395EDF" w:rsidRPr="00AF7638" w:rsidRDefault="00A23934" w:rsidP="00AF7638">
      <w:pPr>
        <w:shd w:val="clear" w:color="auto" w:fill="FFFFFF"/>
        <w:spacing w:before="120" w:after="60"/>
        <w:rPr>
          <w:b/>
          <w:szCs w:val="22"/>
        </w:rPr>
      </w:pPr>
      <w:r w:rsidRPr="00AF7638">
        <w:rPr>
          <w:b/>
          <w:szCs w:val="22"/>
        </w:rPr>
        <w:t>Persons not to be required to act in contravention of orders.</w:t>
      </w:r>
    </w:p>
    <w:p w14:paraId="4722CA2D" w14:textId="32590C2D" w:rsidR="00395EDF" w:rsidRPr="00EF0E15" w:rsidRDefault="00EF0E15" w:rsidP="0035089A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A23934" w:rsidRPr="00EF0E15">
        <w:rPr>
          <w:sz w:val="24"/>
          <w:szCs w:val="22"/>
        </w:rPr>
        <w:t>8. Nothing contained in any law of the Commonwealth or of a State or Territory or in any Imperial Act in force in a State or Territory shall have the effect of requiring, or empowering any tribunal to require, a person to do an act or thing that would be a contravention by that person of an order under this Act.</w:t>
      </w:r>
      <w:r w:rsidR="007451C3">
        <w:rPr>
          <w:sz w:val="24"/>
          <w:szCs w:val="22"/>
        </w:rPr>
        <w:t>”</w:t>
      </w:r>
      <w:r w:rsidR="00A23934" w:rsidRPr="00EF0E15">
        <w:rPr>
          <w:sz w:val="24"/>
          <w:szCs w:val="22"/>
        </w:rPr>
        <w:t>.</w:t>
      </w:r>
    </w:p>
    <w:p w14:paraId="58061677" w14:textId="405A0889" w:rsidR="00A23934" w:rsidRPr="00EF0E15" w:rsidRDefault="00814B48" w:rsidP="007451C3">
      <w:pPr>
        <w:shd w:val="clear" w:color="auto" w:fill="FFFFFF"/>
        <w:spacing w:before="7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B396" wp14:editId="092E71F7">
                <wp:simplePos x="0" y="0"/>
                <wp:positionH relativeFrom="column">
                  <wp:posOffset>-7620</wp:posOffset>
                </wp:positionH>
                <wp:positionV relativeFrom="paragraph">
                  <wp:posOffset>170392</wp:posOffset>
                </wp:positionV>
                <wp:extent cx="6248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D3A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3.4pt" to="49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" strokecolor="black [3040]" strokeweight="1.5pt"/>
            </w:pict>
          </mc:Fallback>
        </mc:AlternateContent>
      </w:r>
    </w:p>
    <w:sectPr w:rsidR="00A23934" w:rsidRPr="00EF0E15" w:rsidSect="0082534F">
      <w:headerReference w:type="even" r:id="rId8"/>
      <w:headerReference w:type="default" r:id="rId9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C3C491" w15:done="0"/>
  <w15:commentEx w15:paraId="7F209755" w15:done="0"/>
  <w15:commentEx w15:paraId="7EAF7D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3C491" w16cid:durableId="1F63585C"/>
  <w16cid:commentId w16cid:paraId="7F209755" w16cid:durableId="1F63587E"/>
  <w16cid:commentId w16cid:paraId="7EAF7D09" w16cid:durableId="1F6358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C76AF" w14:textId="77777777" w:rsidR="00D501DD" w:rsidRDefault="00D501DD" w:rsidP="0082534F">
      <w:r>
        <w:separator/>
      </w:r>
    </w:p>
  </w:endnote>
  <w:endnote w:type="continuationSeparator" w:id="0">
    <w:p w14:paraId="04479834" w14:textId="77777777" w:rsidR="00D501DD" w:rsidRDefault="00D501DD" w:rsidP="0082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E555" w14:textId="77777777" w:rsidR="00D501DD" w:rsidRDefault="00D501DD" w:rsidP="0082534F">
      <w:r>
        <w:separator/>
      </w:r>
    </w:p>
  </w:footnote>
  <w:footnote w:type="continuationSeparator" w:id="0">
    <w:p w14:paraId="1D4CA138" w14:textId="77777777" w:rsidR="00D501DD" w:rsidRDefault="00D501DD" w:rsidP="0082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69B8" w14:textId="77777777" w:rsidR="0082534F" w:rsidRPr="000D15D0" w:rsidRDefault="0082534F" w:rsidP="0085686A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4"/>
      </w:rPr>
    </w:pPr>
    <w:r w:rsidRPr="000D15D0">
      <w:rPr>
        <w:sz w:val="24"/>
        <w:lang w:val="en-IN"/>
      </w:rPr>
      <w:t>No. 202</w:t>
    </w:r>
    <w:r w:rsidRPr="000D15D0">
      <w:rPr>
        <w:sz w:val="24"/>
        <w:lang w:val="en-IN"/>
      </w:rPr>
      <w:tab/>
    </w:r>
    <w:r w:rsidRPr="000D15D0">
      <w:rPr>
        <w:i/>
        <w:iCs/>
        <w:sz w:val="24"/>
        <w:lang w:val="en-IN"/>
      </w:rPr>
      <w:t>Foreign Proceedings (Prohibition of Certain</w:t>
    </w:r>
    <w:r w:rsidRPr="000D15D0">
      <w:rPr>
        <w:i/>
        <w:iCs/>
        <w:sz w:val="24"/>
        <w:lang w:val="en-IN"/>
      </w:rPr>
      <w:tab/>
    </w:r>
    <w:r w:rsidRPr="000D15D0">
      <w:rPr>
        <w:sz w:val="24"/>
        <w:szCs w:val="22"/>
        <w:lang w:val="en-IN"/>
      </w:rPr>
      <w:t>1976</w:t>
    </w:r>
  </w:p>
  <w:p w14:paraId="360EA70A" w14:textId="77777777" w:rsidR="0082534F" w:rsidRPr="000D15D0" w:rsidRDefault="0082534F" w:rsidP="0085686A">
    <w:pPr>
      <w:widowControl/>
      <w:jc w:val="center"/>
      <w:rPr>
        <w:i/>
        <w:iCs/>
        <w:sz w:val="24"/>
        <w:lang w:val="en-IN"/>
      </w:rPr>
    </w:pPr>
    <w:r w:rsidRPr="000D15D0">
      <w:rPr>
        <w:i/>
        <w:iCs/>
        <w:sz w:val="24"/>
        <w:lang w:val="en-IN"/>
      </w:rPr>
      <w:t>Evidence) 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C3510E49797440CA042918BEA5ADEAB"/>
      </w:placeholder>
      <w:temporary/>
      <w:showingPlcHdr/>
    </w:sdtPr>
    <w:sdtEndPr/>
    <w:sdtContent>
      <w:p w14:paraId="69C8051D" w14:textId="77777777" w:rsidR="0082534F" w:rsidRDefault="0082534F">
        <w:pPr>
          <w:pStyle w:val="Header"/>
        </w:pPr>
        <w:r>
          <w:t>[Type text]</w:t>
        </w:r>
      </w:p>
    </w:sdtContent>
  </w:sdt>
  <w:p w14:paraId="397915F5" w14:textId="77777777" w:rsidR="0082534F" w:rsidRDefault="0082534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D6"/>
    <w:rsid w:val="000D15D0"/>
    <w:rsid w:val="00142613"/>
    <w:rsid w:val="00161295"/>
    <w:rsid w:val="001D5515"/>
    <w:rsid w:val="001D59D1"/>
    <w:rsid w:val="00306410"/>
    <w:rsid w:val="0035089A"/>
    <w:rsid w:val="00395EDF"/>
    <w:rsid w:val="003F0B89"/>
    <w:rsid w:val="00404841"/>
    <w:rsid w:val="004B17E6"/>
    <w:rsid w:val="004C6300"/>
    <w:rsid w:val="005942F0"/>
    <w:rsid w:val="00646A73"/>
    <w:rsid w:val="00722D82"/>
    <w:rsid w:val="007451C3"/>
    <w:rsid w:val="0077013E"/>
    <w:rsid w:val="007E65EB"/>
    <w:rsid w:val="007F7587"/>
    <w:rsid w:val="00814B48"/>
    <w:rsid w:val="0082534F"/>
    <w:rsid w:val="0085686A"/>
    <w:rsid w:val="008906A3"/>
    <w:rsid w:val="009C5AA3"/>
    <w:rsid w:val="00A23934"/>
    <w:rsid w:val="00A953BB"/>
    <w:rsid w:val="00AE1143"/>
    <w:rsid w:val="00AF2794"/>
    <w:rsid w:val="00AF7638"/>
    <w:rsid w:val="00B119B2"/>
    <w:rsid w:val="00B13F6E"/>
    <w:rsid w:val="00B14B71"/>
    <w:rsid w:val="00B22A1D"/>
    <w:rsid w:val="00B26DC8"/>
    <w:rsid w:val="00BA0DD6"/>
    <w:rsid w:val="00BB71BD"/>
    <w:rsid w:val="00CB16DC"/>
    <w:rsid w:val="00D33CF0"/>
    <w:rsid w:val="00D501DD"/>
    <w:rsid w:val="00D65514"/>
    <w:rsid w:val="00D85AC5"/>
    <w:rsid w:val="00EE7394"/>
    <w:rsid w:val="00EF0E15"/>
    <w:rsid w:val="00F03D88"/>
    <w:rsid w:val="00F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33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4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4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9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9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1C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4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4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9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9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1C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3510E49797440CA042918BEA5A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C0EF-F84F-4886-963D-128BFBE671C0}"/>
      </w:docPartPr>
      <w:docPartBody>
        <w:p w:rsidR="00E452EB" w:rsidRDefault="00CA09E5" w:rsidP="00CA09E5">
          <w:pPr>
            <w:pStyle w:val="1C3510E49797440CA042918BEA5ADE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E5"/>
    <w:rsid w:val="003F0C51"/>
    <w:rsid w:val="004F43E5"/>
    <w:rsid w:val="00C70351"/>
    <w:rsid w:val="00CA09E5"/>
    <w:rsid w:val="00E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510E49797440CA042918BEA5ADEAB">
    <w:name w:val="1C3510E49797440CA042918BEA5ADEAB"/>
    <w:rsid w:val="00CA09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510E49797440CA042918BEA5ADEAB">
    <w:name w:val="1C3510E49797440CA042918BEA5ADEAB"/>
    <w:rsid w:val="00CA0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726D-6E90-4BC5-BE3B-2AE11122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2018-10-06T05:52:00Z</dcterms:created>
  <dcterms:modified xsi:type="dcterms:W3CDTF">2019-08-20T03:45:00Z</dcterms:modified>
</cp:coreProperties>
</file>