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1D" w:rsidRPr="00FA3B0C" w:rsidRDefault="00334C1D" w:rsidP="007B3264">
      <w:r w:rsidRPr="00FA3B0C">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78.5pt" o:ole="" fillcolor="window">
            <v:imagedata r:id="rId9" o:title=""/>
          </v:shape>
          <o:OLEObject Type="Embed" ProgID="Word.Picture.8" ShapeID="_x0000_i1025" DrawAspect="Content" ObjectID="_1628047638" r:id="rId10"/>
        </w:object>
      </w:r>
    </w:p>
    <w:p w:rsidR="00334C1D" w:rsidRPr="00FA3B0C" w:rsidRDefault="00334C1D" w:rsidP="00334C1D"/>
    <w:p w:rsidR="00334C1D" w:rsidRPr="00FA3B0C" w:rsidRDefault="00334C1D" w:rsidP="00334C1D">
      <w:pPr>
        <w:spacing w:line="240" w:lineRule="auto"/>
      </w:pPr>
    </w:p>
    <w:p w:rsidR="00334C1D" w:rsidRPr="00FA3B0C" w:rsidRDefault="00334C1D" w:rsidP="00334C1D"/>
    <w:p w:rsidR="00334C1D" w:rsidRPr="00FA3B0C" w:rsidRDefault="00334C1D" w:rsidP="00334C1D"/>
    <w:p w:rsidR="00334C1D" w:rsidRPr="00FA3B0C" w:rsidRDefault="00334C1D" w:rsidP="00334C1D"/>
    <w:p w:rsidR="00B62759" w:rsidRPr="008F61D9" w:rsidRDefault="00B62759" w:rsidP="00B62759">
      <w:pPr>
        <w:pStyle w:val="ShortT"/>
        <w:spacing w:before="0"/>
      </w:pPr>
      <w:r w:rsidRPr="008F61D9">
        <w:t>Asian Development Bank (Additional Subscription) Act 1977</w:t>
      </w:r>
    </w:p>
    <w:p w:rsidR="005D220C" w:rsidRDefault="005D220C" w:rsidP="005D220C">
      <w:pPr>
        <w:pStyle w:val="Actno"/>
        <w:spacing w:before="0"/>
      </w:pPr>
    </w:p>
    <w:p w:rsidR="00B62759" w:rsidRPr="00DF2DFC" w:rsidRDefault="00B62759" w:rsidP="00B62759">
      <w:pPr>
        <w:pStyle w:val="Actno"/>
        <w:spacing w:before="400"/>
        <w:rPr>
          <w:sz w:val="40"/>
        </w:rPr>
      </w:pPr>
      <w:r w:rsidRPr="00DF2DFC">
        <w:rPr>
          <w:sz w:val="40"/>
        </w:rPr>
        <w:t>No. 21, 1977</w:t>
      </w:r>
    </w:p>
    <w:p w:rsidR="005D220C" w:rsidRDefault="005D220C" w:rsidP="005D220C"/>
    <w:p w:rsidR="005D220C" w:rsidRDefault="005D220C" w:rsidP="005D220C">
      <w:pPr>
        <w:spacing w:line="240" w:lineRule="auto"/>
      </w:pPr>
    </w:p>
    <w:p w:rsidR="005D220C" w:rsidRDefault="005D220C" w:rsidP="005D220C"/>
    <w:p w:rsidR="005D220C" w:rsidRDefault="005D220C" w:rsidP="005D220C"/>
    <w:p w:rsidR="005D220C" w:rsidRDefault="005D220C" w:rsidP="005D220C"/>
    <w:p w:rsidR="00B62759" w:rsidRPr="008F61D9" w:rsidRDefault="00B62759" w:rsidP="00B62759">
      <w:pPr>
        <w:pStyle w:val="LongT"/>
      </w:pPr>
      <w:r w:rsidRPr="008F61D9">
        <w:t>An Act to authorize Australia to Subscribe for Shares of the Capital Stoc</w:t>
      </w:r>
      <w:r>
        <w:t>k of the Asian Development Bank</w:t>
      </w:r>
    </w:p>
    <w:p w:rsidR="00334C1D" w:rsidRPr="00FA3B0C" w:rsidRDefault="00334C1D" w:rsidP="00334C1D">
      <w:pPr>
        <w:pStyle w:val="Header"/>
        <w:tabs>
          <w:tab w:val="clear" w:pos="4153"/>
          <w:tab w:val="clear" w:pos="8306"/>
        </w:tabs>
      </w:pPr>
      <w:r w:rsidRPr="00FA3B0C">
        <w:rPr>
          <w:rStyle w:val="CharChapNo"/>
        </w:rPr>
        <w:t xml:space="preserve"> </w:t>
      </w:r>
      <w:r w:rsidRPr="00FA3B0C">
        <w:rPr>
          <w:rStyle w:val="CharChapText"/>
        </w:rPr>
        <w:t xml:space="preserve"> </w:t>
      </w:r>
    </w:p>
    <w:p w:rsidR="00334C1D" w:rsidRPr="00FA3B0C" w:rsidRDefault="00334C1D" w:rsidP="00334C1D">
      <w:pPr>
        <w:pStyle w:val="Header"/>
        <w:tabs>
          <w:tab w:val="clear" w:pos="4153"/>
          <w:tab w:val="clear" w:pos="8306"/>
        </w:tabs>
      </w:pPr>
      <w:r w:rsidRPr="00FA3B0C">
        <w:rPr>
          <w:rStyle w:val="CharPartNo"/>
        </w:rPr>
        <w:t xml:space="preserve"> </w:t>
      </w:r>
      <w:r w:rsidRPr="00FA3B0C">
        <w:rPr>
          <w:rStyle w:val="CharPartText"/>
        </w:rPr>
        <w:t xml:space="preserve"> </w:t>
      </w:r>
    </w:p>
    <w:p w:rsidR="00334C1D" w:rsidRPr="00FA3B0C" w:rsidRDefault="00334C1D" w:rsidP="00334C1D">
      <w:pPr>
        <w:pStyle w:val="Header"/>
        <w:tabs>
          <w:tab w:val="clear" w:pos="4153"/>
          <w:tab w:val="clear" w:pos="8306"/>
        </w:tabs>
      </w:pPr>
      <w:r w:rsidRPr="00FA3B0C">
        <w:rPr>
          <w:rStyle w:val="CharDivNo"/>
        </w:rPr>
        <w:t xml:space="preserve"> </w:t>
      </w:r>
      <w:r w:rsidRPr="00FA3B0C">
        <w:rPr>
          <w:rStyle w:val="CharDivText"/>
        </w:rPr>
        <w:t xml:space="preserve"> </w:t>
      </w:r>
    </w:p>
    <w:p w:rsidR="00334C1D" w:rsidRDefault="00334C1D" w:rsidP="0041140B">
      <w:pPr>
        <w:sectPr w:rsidR="00334C1D" w:rsidSect="00D67A11">
          <w:headerReference w:type="even" r:id="rId11"/>
          <w:footerReference w:type="even" r:id="rId12"/>
          <w:type w:val="continuous"/>
          <w:pgSz w:w="11906" w:h="16838" w:code="9"/>
          <w:pgMar w:top="2268" w:right="2410" w:bottom="3827" w:left="2410" w:header="720" w:footer="3402" w:gutter="0"/>
          <w:pgNumType w:fmt="lowerRoman"/>
          <w:cols w:space="708"/>
          <w:docGrid w:linePitch="360"/>
        </w:sectPr>
      </w:pPr>
    </w:p>
    <w:p w:rsidR="00334C1D" w:rsidRPr="00FA3B0C" w:rsidRDefault="00334C1D" w:rsidP="00334C1D">
      <w:pPr>
        <w:pStyle w:val="Contents"/>
      </w:pPr>
      <w:r w:rsidRPr="00FA3B0C">
        <w:lastRenderedPageBreak/>
        <w:t>Contents</w:t>
      </w:r>
      <w:bookmarkStart w:id="0" w:name="BKCheck15B_1"/>
      <w:bookmarkEnd w:id="0"/>
    </w:p>
    <w:p w:rsidR="007B3264" w:rsidRDefault="007B3264">
      <w:pPr>
        <w:pStyle w:val="TOC5"/>
        <w:rPr>
          <w:rFonts w:asciiTheme="minorHAnsi" w:eastAsiaTheme="minorEastAsia" w:hAnsiTheme="minorHAnsi" w:cstheme="minorBidi"/>
          <w:iCs w:val="0"/>
          <w:noProof/>
          <w:kern w:val="0"/>
          <w:sz w:val="22"/>
          <w:szCs w:val="22"/>
        </w:rPr>
      </w:pPr>
      <w:r>
        <w:fldChar w:fldCharType="begin"/>
      </w:r>
      <w:r>
        <w:instrText xml:space="preserve"> TOC \o "1-9" \t "ActHead 1,2,ActHead 2,2,ActHead 3,3,ActHead 4,4,ActHead 5,5, Schedule,2, Schedule Text,3, NotesSection,6" </w:instrText>
      </w:r>
      <w:r>
        <w:fldChar w:fldCharType="separate"/>
      </w:r>
      <w:r>
        <w:rPr>
          <w:noProof/>
        </w:rPr>
        <w:t>1</w:t>
      </w:r>
      <w:r>
        <w:rPr>
          <w:noProof/>
        </w:rPr>
        <w:tab/>
        <w:t>Short title</w:t>
      </w:r>
      <w:r w:rsidRPr="007B3264">
        <w:rPr>
          <w:rFonts w:ascii="Times" w:hAnsi="Times" w:cs="Times"/>
          <w:noProof/>
        </w:rPr>
        <w:tab/>
      </w:r>
      <w:r w:rsidRPr="007B3264">
        <w:rPr>
          <w:rFonts w:ascii="Times" w:hAnsi="Times" w:cs="Times"/>
          <w:noProof/>
        </w:rPr>
        <w:fldChar w:fldCharType="begin"/>
      </w:r>
      <w:r w:rsidRPr="007B3264">
        <w:rPr>
          <w:rFonts w:ascii="Times" w:hAnsi="Times" w:cs="Times"/>
          <w:noProof/>
        </w:rPr>
        <w:instrText xml:space="preserve"> PAGEREF _Toc346811564 \h </w:instrText>
      </w:r>
      <w:r w:rsidRPr="007B3264">
        <w:rPr>
          <w:rFonts w:ascii="Times" w:hAnsi="Times" w:cs="Times"/>
          <w:noProof/>
        </w:rPr>
      </w:r>
      <w:r w:rsidRPr="007B3264">
        <w:rPr>
          <w:rFonts w:ascii="Times" w:hAnsi="Times" w:cs="Times"/>
          <w:noProof/>
        </w:rPr>
        <w:fldChar w:fldCharType="separate"/>
      </w:r>
      <w:r w:rsidRPr="007B3264">
        <w:rPr>
          <w:rFonts w:ascii="Times" w:hAnsi="Times" w:cs="Times"/>
          <w:noProof/>
        </w:rPr>
        <w:t>1</w:t>
      </w:r>
      <w:r w:rsidRPr="007B3264">
        <w:rPr>
          <w:rFonts w:ascii="Times" w:hAnsi="Times" w:cs="Times"/>
          <w:noProof/>
        </w:rPr>
        <w:fldChar w:fldCharType="end"/>
      </w:r>
    </w:p>
    <w:p w:rsidR="007B3264" w:rsidRDefault="007B3264">
      <w:pPr>
        <w:pStyle w:val="TOC5"/>
        <w:rPr>
          <w:rFonts w:asciiTheme="minorHAnsi" w:eastAsiaTheme="minorEastAsia" w:hAnsiTheme="minorHAnsi" w:cstheme="minorBidi"/>
          <w:iCs w:val="0"/>
          <w:noProof/>
          <w:kern w:val="0"/>
          <w:sz w:val="22"/>
          <w:szCs w:val="22"/>
        </w:rPr>
      </w:pPr>
      <w:r>
        <w:rPr>
          <w:noProof/>
        </w:rPr>
        <w:t>2</w:t>
      </w:r>
      <w:r>
        <w:rPr>
          <w:noProof/>
        </w:rPr>
        <w:tab/>
        <w:t>Commencement</w:t>
      </w:r>
      <w:r w:rsidRPr="007B3264">
        <w:rPr>
          <w:rFonts w:ascii="Times" w:hAnsi="Times" w:cs="Times"/>
          <w:noProof/>
        </w:rPr>
        <w:tab/>
      </w:r>
      <w:r w:rsidRPr="007B3264">
        <w:rPr>
          <w:rFonts w:ascii="Times" w:hAnsi="Times" w:cs="Times"/>
          <w:noProof/>
        </w:rPr>
        <w:fldChar w:fldCharType="begin"/>
      </w:r>
      <w:r w:rsidRPr="007B3264">
        <w:rPr>
          <w:rFonts w:ascii="Times" w:hAnsi="Times" w:cs="Times"/>
          <w:noProof/>
        </w:rPr>
        <w:instrText xml:space="preserve"> PAGEREF _Toc346811565 \h </w:instrText>
      </w:r>
      <w:r w:rsidRPr="007B3264">
        <w:rPr>
          <w:rFonts w:ascii="Times" w:hAnsi="Times" w:cs="Times"/>
          <w:noProof/>
        </w:rPr>
      </w:r>
      <w:r w:rsidRPr="007B3264">
        <w:rPr>
          <w:rFonts w:ascii="Times" w:hAnsi="Times" w:cs="Times"/>
          <w:noProof/>
        </w:rPr>
        <w:fldChar w:fldCharType="separate"/>
      </w:r>
      <w:r w:rsidRPr="007B3264">
        <w:rPr>
          <w:rFonts w:ascii="Times" w:hAnsi="Times" w:cs="Times"/>
          <w:noProof/>
        </w:rPr>
        <w:t>2</w:t>
      </w:r>
      <w:r w:rsidRPr="007B3264">
        <w:rPr>
          <w:rFonts w:ascii="Times" w:hAnsi="Times" w:cs="Times"/>
          <w:noProof/>
        </w:rPr>
        <w:fldChar w:fldCharType="end"/>
      </w:r>
    </w:p>
    <w:p w:rsidR="007B3264" w:rsidRDefault="007B3264">
      <w:pPr>
        <w:pStyle w:val="TOC5"/>
        <w:rPr>
          <w:rFonts w:asciiTheme="minorHAnsi" w:eastAsiaTheme="minorEastAsia" w:hAnsiTheme="minorHAnsi" w:cstheme="minorBidi"/>
          <w:iCs w:val="0"/>
          <w:noProof/>
          <w:kern w:val="0"/>
          <w:sz w:val="22"/>
          <w:szCs w:val="22"/>
        </w:rPr>
      </w:pPr>
      <w:r>
        <w:rPr>
          <w:noProof/>
        </w:rPr>
        <w:t>3</w:t>
      </w:r>
      <w:r>
        <w:rPr>
          <w:noProof/>
        </w:rPr>
        <w:tab/>
        <w:t>Interpretation</w:t>
      </w:r>
      <w:r w:rsidRPr="007B3264">
        <w:rPr>
          <w:rFonts w:ascii="Times" w:hAnsi="Times" w:cs="Times"/>
          <w:noProof/>
        </w:rPr>
        <w:tab/>
      </w:r>
      <w:r w:rsidRPr="007B3264">
        <w:rPr>
          <w:rFonts w:ascii="Times" w:hAnsi="Times" w:cs="Times"/>
          <w:noProof/>
        </w:rPr>
        <w:fldChar w:fldCharType="begin"/>
      </w:r>
      <w:r w:rsidRPr="007B3264">
        <w:rPr>
          <w:rFonts w:ascii="Times" w:hAnsi="Times" w:cs="Times"/>
          <w:noProof/>
        </w:rPr>
        <w:instrText xml:space="preserve"> PAGEREF _Toc346811566 \h </w:instrText>
      </w:r>
      <w:r w:rsidRPr="007B3264">
        <w:rPr>
          <w:rFonts w:ascii="Times" w:hAnsi="Times" w:cs="Times"/>
          <w:noProof/>
        </w:rPr>
      </w:r>
      <w:r w:rsidRPr="007B3264">
        <w:rPr>
          <w:rFonts w:ascii="Times" w:hAnsi="Times" w:cs="Times"/>
          <w:noProof/>
        </w:rPr>
        <w:fldChar w:fldCharType="separate"/>
      </w:r>
      <w:r w:rsidRPr="007B3264">
        <w:rPr>
          <w:rFonts w:ascii="Times" w:hAnsi="Times" w:cs="Times"/>
          <w:noProof/>
        </w:rPr>
        <w:t>2</w:t>
      </w:r>
      <w:r w:rsidRPr="007B3264">
        <w:rPr>
          <w:rFonts w:ascii="Times" w:hAnsi="Times" w:cs="Times"/>
          <w:noProof/>
        </w:rPr>
        <w:fldChar w:fldCharType="end"/>
      </w:r>
    </w:p>
    <w:p w:rsidR="007B3264" w:rsidRDefault="007B3264">
      <w:pPr>
        <w:pStyle w:val="TOC5"/>
        <w:rPr>
          <w:rFonts w:asciiTheme="minorHAnsi" w:eastAsiaTheme="minorEastAsia" w:hAnsiTheme="minorHAnsi" w:cstheme="minorBidi"/>
          <w:iCs w:val="0"/>
          <w:noProof/>
          <w:kern w:val="0"/>
          <w:sz w:val="22"/>
          <w:szCs w:val="22"/>
        </w:rPr>
      </w:pPr>
      <w:r>
        <w:rPr>
          <w:noProof/>
        </w:rPr>
        <w:t>4</w:t>
      </w:r>
      <w:r>
        <w:rPr>
          <w:noProof/>
        </w:rPr>
        <w:tab/>
        <w:t>Subscription for capital stock of the Bank</w:t>
      </w:r>
      <w:r w:rsidRPr="007B3264">
        <w:rPr>
          <w:rFonts w:ascii="Times" w:hAnsi="Times" w:cs="Times"/>
          <w:noProof/>
        </w:rPr>
        <w:tab/>
      </w:r>
      <w:r w:rsidRPr="007B3264">
        <w:rPr>
          <w:rFonts w:ascii="Times" w:hAnsi="Times" w:cs="Times"/>
          <w:noProof/>
        </w:rPr>
        <w:fldChar w:fldCharType="begin"/>
      </w:r>
      <w:r w:rsidRPr="007B3264">
        <w:rPr>
          <w:rFonts w:ascii="Times" w:hAnsi="Times" w:cs="Times"/>
          <w:noProof/>
        </w:rPr>
        <w:instrText xml:space="preserve"> PAGEREF _Toc346811567 \h </w:instrText>
      </w:r>
      <w:r w:rsidRPr="007B3264">
        <w:rPr>
          <w:rFonts w:ascii="Times" w:hAnsi="Times" w:cs="Times"/>
          <w:noProof/>
        </w:rPr>
      </w:r>
      <w:r w:rsidRPr="007B3264">
        <w:rPr>
          <w:rFonts w:ascii="Times" w:hAnsi="Times" w:cs="Times"/>
          <w:noProof/>
        </w:rPr>
        <w:fldChar w:fldCharType="separate"/>
      </w:r>
      <w:r w:rsidRPr="007B3264">
        <w:rPr>
          <w:rFonts w:ascii="Times" w:hAnsi="Times" w:cs="Times"/>
          <w:noProof/>
        </w:rPr>
        <w:t>2</w:t>
      </w:r>
      <w:r w:rsidRPr="007B3264">
        <w:rPr>
          <w:rFonts w:ascii="Times" w:hAnsi="Times" w:cs="Times"/>
          <w:noProof/>
        </w:rPr>
        <w:fldChar w:fldCharType="end"/>
      </w:r>
    </w:p>
    <w:p w:rsidR="007B3264" w:rsidRDefault="007B3264">
      <w:pPr>
        <w:pStyle w:val="TOC5"/>
        <w:rPr>
          <w:rFonts w:asciiTheme="minorHAnsi" w:eastAsiaTheme="minorEastAsia" w:hAnsiTheme="minorHAnsi" w:cstheme="minorBidi"/>
          <w:iCs w:val="0"/>
          <w:noProof/>
          <w:kern w:val="0"/>
          <w:sz w:val="22"/>
          <w:szCs w:val="22"/>
        </w:rPr>
      </w:pPr>
      <w:r>
        <w:rPr>
          <w:noProof/>
        </w:rPr>
        <w:t>5</w:t>
      </w:r>
      <w:r>
        <w:rPr>
          <w:noProof/>
        </w:rPr>
        <w:tab/>
        <w:t>Agreement subject to increase of capital stock</w:t>
      </w:r>
      <w:r w:rsidRPr="007B3264">
        <w:rPr>
          <w:rFonts w:ascii="Times" w:hAnsi="Times" w:cs="Times"/>
          <w:noProof/>
        </w:rPr>
        <w:tab/>
      </w:r>
      <w:r w:rsidRPr="007B3264">
        <w:rPr>
          <w:rFonts w:ascii="Times" w:hAnsi="Times" w:cs="Times"/>
          <w:noProof/>
        </w:rPr>
        <w:fldChar w:fldCharType="begin"/>
      </w:r>
      <w:r w:rsidRPr="007B3264">
        <w:rPr>
          <w:rFonts w:ascii="Times" w:hAnsi="Times" w:cs="Times"/>
          <w:noProof/>
        </w:rPr>
        <w:instrText xml:space="preserve"> PAGEREF _Toc346811568 \h </w:instrText>
      </w:r>
      <w:r w:rsidRPr="007B3264">
        <w:rPr>
          <w:rFonts w:ascii="Times" w:hAnsi="Times" w:cs="Times"/>
          <w:noProof/>
        </w:rPr>
      </w:r>
      <w:r w:rsidRPr="007B3264">
        <w:rPr>
          <w:rFonts w:ascii="Times" w:hAnsi="Times" w:cs="Times"/>
          <w:noProof/>
        </w:rPr>
        <w:fldChar w:fldCharType="separate"/>
      </w:r>
      <w:r w:rsidRPr="007B3264">
        <w:rPr>
          <w:rFonts w:ascii="Times" w:hAnsi="Times" w:cs="Times"/>
          <w:noProof/>
        </w:rPr>
        <w:t>2</w:t>
      </w:r>
      <w:r w:rsidRPr="007B3264">
        <w:rPr>
          <w:rFonts w:ascii="Times" w:hAnsi="Times" w:cs="Times"/>
          <w:noProof/>
        </w:rPr>
        <w:fldChar w:fldCharType="end"/>
      </w:r>
    </w:p>
    <w:p w:rsidR="007B3264" w:rsidRDefault="007B3264">
      <w:pPr>
        <w:pStyle w:val="TOC5"/>
        <w:rPr>
          <w:rFonts w:asciiTheme="minorHAnsi" w:eastAsiaTheme="minorEastAsia" w:hAnsiTheme="minorHAnsi" w:cstheme="minorBidi"/>
          <w:iCs w:val="0"/>
          <w:noProof/>
          <w:kern w:val="0"/>
          <w:sz w:val="22"/>
          <w:szCs w:val="22"/>
        </w:rPr>
      </w:pPr>
      <w:r>
        <w:rPr>
          <w:noProof/>
        </w:rPr>
        <w:t>6</w:t>
      </w:r>
      <w:r>
        <w:rPr>
          <w:noProof/>
        </w:rPr>
        <w:tab/>
        <w:t>Issue of promissory notes</w:t>
      </w:r>
      <w:r w:rsidRPr="007B3264">
        <w:rPr>
          <w:rFonts w:ascii="Times" w:hAnsi="Times" w:cs="Times"/>
          <w:noProof/>
        </w:rPr>
        <w:tab/>
      </w:r>
      <w:r w:rsidRPr="007B3264">
        <w:rPr>
          <w:rFonts w:ascii="Times" w:hAnsi="Times" w:cs="Times"/>
          <w:noProof/>
        </w:rPr>
        <w:fldChar w:fldCharType="begin"/>
      </w:r>
      <w:r w:rsidRPr="007B3264">
        <w:rPr>
          <w:rFonts w:ascii="Times" w:hAnsi="Times" w:cs="Times"/>
          <w:noProof/>
        </w:rPr>
        <w:instrText xml:space="preserve"> PAGEREF _Toc346811569 \h </w:instrText>
      </w:r>
      <w:r w:rsidRPr="007B3264">
        <w:rPr>
          <w:rFonts w:ascii="Times" w:hAnsi="Times" w:cs="Times"/>
          <w:noProof/>
        </w:rPr>
      </w:r>
      <w:r w:rsidRPr="007B3264">
        <w:rPr>
          <w:rFonts w:ascii="Times" w:hAnsi="Times" w:cs="Times"/>
          <w:noProof/>
        </w:rPr>
        <w:fldChar w:fldCharType="separate"/>
      </w:r>
      <w:r w:rsidRPr="007B3264">
        <w:rPr>
          <w:rFonts w:ascii="Times" w:hAnsi="Times" w:cs="Times"/>
          <w:noProof/>
        </w:rPr>
        <w:t>3</w:t>
      </w:r>
      <w:r w:rsidRPr="007B3264">
        <w:rPr>
          <w:rFonts w:ascii="Times" w:hAnsi="Times" w:cs="Times"/>
          <w:noProof/>
        </w:rPr>
        <w:fldChar w:fldCharType="end"/>
      </w:r>
    </w:p>
    <w:p w:rsidR="007B3264" w:rsidRDefault="007B3264">
      <w:pPr>
        <w:pStyle w:val="TOC5"/>
        <w:rPr>
          <w:rFonts w:asciiTheme="minorHAnsi" w:eastAsiaTheme="minorEastAsia" w:hAnsiTheme="minorHAnsi" w:cstheme="minorBidi"/>
          <w:iCs w:val="0"/>
          <w:noProof/>
          <w:kern w:val="0"/>
          <w:sz w:val="22"/>
          <w:szCs w:val="22"/>
        </w:rPr>
      </w:pPr>
      <w:r>
        <w:rPr>
          <w:noProof/>
        </w:rPr>
        <w:t>7</w:t>
      </w:r>
      <w:r>
        <w:rPr>
          <w:noProof/>
        </w:rPr>
        <w:tab/>
        <w:t>Appropriation</w:t>
      </w:r>
      <w:r w:rsidRPr="007B3264">
        <w:rPr>
          <w:rFonts w:ascii="Times" w:hAnsi="Times" w:cs="Times"/>
          <w:noProof/>
        </w:rPr>
        <w:tab/>
      </w:r>
      <w:r w:rsidRPr="007B3264">
        <w:rPr>
          <w:rFonts w:ascii="Times" w:hAnsi="Times" w:cs="Times"/>
          <w:noProof/>
        </w:rPr>
        <w:fldChar w:fldCharType="begin"/>
      </w:r>
      <w:r w:rsidRPr="007B3264">
        <w:rPr>
          <w:rFonts w:ascii="Times" w:hAnsi="Times" w:cs="Times"/>
          <w:noProof/>
        </w:rPr>
        <w:instrText xml:space="preserve"> PAGEREF _Toc346811570 \h </w:instrText>
      </w:r>
      <w:r w:rsidRPr="007B3264">
        <w:rPr>
          <w:rFonts w:ascii="Times" w:hAnsi="Times" w:cs="Times"/>
          <w:noProof/>
        </w:rPr>
      </w:r>
      <w:r w:rsidRPr="007B3264">
        <w:rPr>
          <w:rFonts w:ascii="Times" w:hAnsi="Times" w:cs="Times"/>
          <w:noProof/>
        </w:rPr>
        <w:fldChar w:fldCharType="separate"/>
      </w:r>
      <w:r w:rsidRPr="007B3264">
        <w:rPr>
          <w:rFonts w:ascii="Times" w:hAnsi="Times" w:cs="Times"/>
          <w:noProof/>
        </w:rPr>
        <w:t>3</w:t>
      </w:r>
      <w:r w:rsidRPr="007B3264">
        <w:rPr>
          <w:rFonts w:ascii="Times" w:hAnsi="Times" w:cs="Times"/>
          <w:noProof/>
        </w:rPr>
        <w:fldChar w:fldCharType="end"/>
      </w:r>
    </w:p>
    <w:p w:rsidR="007B3264" w:rsidRDefault="007B3264">
      <w:pPr>
        <w:pStyle w:val="TOC2"/>
        <w:rPr>
          <w:rFonts w:asciiTheme="minorHAnsi" w:eastAsiaTheme="minorEastAsia" w:hAnsiTheme="minorHAnsi" w:cstheme="minorBidi"/>
          <w:b w:val="0"/>
          <w:iCs w:val="0"/>
          <w:noProof/>
          <w:kern w:val="0"/>
          <w:sz w:val="22"/>
          <w:szCs w:val="22"/>
        </w:rPr>
      </w:pPr>
      <w:r>
        <w:rPr>
          <w:noProof/>
        </w:rPr>
        <w:t>Schedule—Resolution No. 104 of the Board of Governors adopted on 29 October 1976</w:t>
      </w:r>
      <w:r w:rsidRPr="007B3264">
        <w:rPr>
          <w:rFonts w:ascii="Times" w:hAnsi="Times" w:cs="Times"/>
          <w:b w:val="0"/>
          <w:noProof/>
          <w:sz w:val="18"/>
        </w:rPr>
        <w:tab/>
      </w:r>
      <w:r w:rsidRPr="007B3264">
        <w:rPr>
          <w:rFonts w:ascii="Times" w:hAnsi="Times" w:cs="Times"/>
          <w:b w:val="0"/>
          <w:noProof/>
          <w:sz w:val="18"/>
        </w:rPr>
        <w:fldChar w:fldCharType="begin"/>
      </w:r>
      <w:r w:rsidRPr="007B3264">
        <w:rPr>
          <w:rFonts w:ascii="Times" w:hAnsi="Times" w:cs="Times"/>
          <w:b w:val="0"/>
          <w:noProof/>
          <w:sz w:val="18"/>
        </w:rPr>
        <w:instrText xml:space="preserve"> PAGEREF _Toc346811571 \h </w:instrText>
      </w:r>
      <w:r w:rsidRPr="007B3264">
        <w:rPr>
          <w:rFonts w:ascii="Times" w:hAnsi="Times" w:cs="Times"/>
          <w:b w:val="0"/>
          <w:noProof/>
          <w:sz w:val="18"/>
        </w:rPr>
      </w:r>
      <w:r w:rsidRPr="007B3264">
        <w:rPr>
          <w:rFonts w:ascii="Times" w:hAnsi="Times" w:cs="Times"/>
          <w:b w:val="0"/>
          <w:noProof/>
          <w:sz w:val="18"/>
        </w:rPr>
        <w:fldChar w:fldCharType="separate"/>
      </w:r>
      <w:r w:rsidRPr="007B3264">
        <w:rPr>
          <w:rFonts w:ascii="Times" w:hAnsi="Times" w:cs="Times"/>
          <w:b w:val="0"/>
          <w:noProof/>
          <w:sz w:val="18"/>
        </w:rPr>
        <w:t>4</w:t>
      </w:r>
      <w:r w:rsidRPr="007B3264">
        <w:rPr>
          <w:rFonts w:ascii="Times" w:hAnsi="Times" w:cs="Times"/>
          <w:b w:val="0"/>
          <w:noProof/>
          <w:sz w:val="18"/>
        </w:rPr>
        <w:fldChar w:fldCharType="end"/>
      </w:r>
    </w:p>
    <w:p w:rsidR="00A87342" w:rsidRDefault="007B3264" w:rsidP="0041140B">
      <w:pPr>
        <w:sectPr w:rsidR="00A87342" w:rsidSect="006C1BE3">
          <w:headerReference w:type="even" r:id="rId13"/>
          <w:headerReference w:type="default" r:id="rId14"/>
          <w:footerReference w:type="default" r:id="rId15"/>
          <w:headerReference w:type="first" r:id="rId16"/>
          <w:footerReference w:type="first" r:id="rId17"/>
          <w:pgSz w:w="11906" w:h="16838" w:code="9"/>
          <w:pgMar w:top="2268" w:right="2410" w:bottom="3827" w:left="2410" w:header="567" w:footer="3119" w:gutter="0"/>
          <w:pgNumType w:fmt="lowerRoman" w:start="1"/>
          <w:cols w:space="720"/>
        </w:sectPr>
      </w:pPr>
      <w:r>
        <w:fldChar w:fldCharType="end"/>
      </w:r>
    </w:p>
    <w:p w:rsidR="00334C1D" w:rsidRPr="00FA3B0C" w:rsidRDefault="00334C1D" w:rsidP="00334C1D">
      <w:pPr>
        <w:rPr>
          <w:webHidden/>
        </w:rPr>
      </w:pPr>
      <w:r w:rsidRPr="00FA3B0C">
        <w:rPr>
          <w:webHidden/>
          <w:sz w:val="24"/>
        </w:rPr>
        <w:object w:dxaOrig="2146" w:dyaOrig="1561">
          <v:shape id="_x0000_i1026" type="#_x0000_t75" style="width:107pt;height:77pt" o:ole="" fillcolor="window">
            <v:imagedata r:id="rId18" o:title=""/>
          </v:shape>
          <o:OLEObject Type="Embed" ProgID="Msxml2.SAXXMLReader.5.0" ShapeID="_x0000_i1026" DrawAspect="Content" ObjectID="_1628047639" r:id="rId19"/>
        </w:object>
      </w:r>
    </w:p>
    <w:p w:rsidR="00334C1D" w:rsidRPr="00FA3B0C" w:rsidRDefault="00334C1D" w:rsidP="00334C1D">
      <w:pPr>
        <w:rPr>
          <w:webHidden/>
        </w:rPr>
      </w:pPr>
    </w:p>
    <w:p w:rsidR="00334C1D" w:rsidRPr="00FA3B0C" w:rsidRDefault="00334C1D" w:rsidP="00334C1D">
      <w:pPr>
        <w:spacing w:line="240" w:lineRule="auto"/>
        <w:rPr>
          <w:webHidden/>
        </w:rPr>
      </w:pPr>
    </w:p>
    <w:p w:rsidR="00B62759" w:rsidRPr="00DF2DFC" w:rsidRDefault="00B62759" w:rsidP="00F12895">
      <w:pPr>
        <w:spacing w:before="800"/>
        <w:rPr>
          <w:b/>
          <w:sz w:val="40"/>
        </w:rPr>
      </w:pPr>
      <w:r w:rsidRPr="00DF2DFC">
        <w:rPr>
          <w:b/>
          <w:sz w:val="40"/>
        </w:rPr>
        <w:t>Asian Development Bank (Additional Subscription) Act 1977</w:t>
      </w:r>
    </w:p>
    <w:p w:rsidR="00B62759" w:rsidRPr="00DF2DFC" w:rsidRDefault="00B62759" w:rsidP="00B62759">
      <w:pPr>
        <w:spacing w:before="800"/>
        <w:rPr>
          <w:b/>
          <w:sz w:val="28"/>
        </w:rPr>
      </w:pPr>
      <w:r w:rsidRPr="00DF2DFC">
        <w:rPr>
          <w:b/>
          <w:sz w:val="28"/>
        </w:rPr>
        <w:t>No. 21, 1977</w:t>
      </w:r>
    </w:p>
    <w:p w:rsidR="005D220C" w:rsidRDefault="005D220C" w:rsidP="005D220C">
      <w:pPr>
        <w:pStyle w:val="p1LinesBef"/>
      </w:pPr>
    </w:p>
    <w:p w:rsidR="005D220C" w:rsidRDefault="005D220C" w:rsidP="005D220C">
      <w:pPr>
        <w:spacing w:line="40" w:lineRule="exact"/>
        <w:rPr>
          <w:b/>
          <w:sz w:val="28"/>
          <w:szCs w:val="28"/>
        </w:rPr>
      </w:pPr>
    </w:p>
    <w:p w:rsidR="005D220C" w:rsidRDefault="005D220C" w:rsidP="005D220C">
      <w:pPr>
        <w:pStyle w:val="p1LinesAfter"/>
      </w:pPr>
    </w:p>
    <w:p w:rsidR="00B62759" w:rsidRPr="008F61D9" w:rsidRDefault="00B62759" w:rsidP="00B62759">
      <w:pPr>
        <w:pStyle w:val="LongT"/>
        <w:spacing w:before="400"/>
      </w:pPr>
      <w:r w:rsidRPr="008F61D9">
        <w:t>An Act to authorize Australia to Subscribe for Shares of the Capital Stoc</w:t>
      </w:r>
      <w:r>
        <w:t>k of the Asian Development Bank</w:t>
      </w:r>
    </w:p>
    <w:p w:rsidR="00B62759" w:rsidRDefault="00B62759" w:rsidP="00B62759">
      <w:pPr>
        <w:pStyle w:val="AssentDt"/>
        <w:spacing w:before="240"/>
        <w:rPr>
          <w:sz w:val="24"/>
          <w:szCs w:val="24"/>
        </w:rPr>
      </w:pPr>
      <w:r>
        <w:rPr>
          <w:sz w:val="24"/>
          <w:szCs w:val="24"/>
        </w:rPr>
        <w:t>[</w:t>
      </w:r>
      <w:r>
        <w:rPr>
          <w:i/>
          <w:sz w:val="24"/>
          <w:szCs w:val="24"/>
        </w:rPr>
        <w:t>Assented to 14 April 1977</w:t>
      </w:r>
      <w:r>
        <w:rPr>
          <w:sz w:val="24"/>
          <w:szCs w:val="24"/>
        </w:rPr>
        <w:t>]</w:t>
      </w:r>
    </w:p>
    <w:p w:rsidR="00B62759" w:rsidRPr="00D41BBF" w:rsidRDefault="00B62759" w:rsidP="00B62759">
      <w:pPr>
        <w:spacing w:before="240" w:line="240" w:lineRule="auto"/>
        <w:rPr>
          <w:sz w:val="32"/>
          <w:szCs w:val="32"/>
        </w:rPr>
      </w:pPr>
      <w:r w:rsidRPr="00D41BBF">
        <w:rPr>
          <w:sz w:val="32"/>
          <w:szCs w:val="32"/>
        </w:rPr>
        <w:t>The Parliament of Australia enacts:</w:t>
      </w:r>
    </w:p>
    <w:p w:rsidR="00B62759" w:rsidRPr="008F61D9" w:rsidRDefault="00B62759" w:rsidP="00B62759">
      <w:pPr>
        <w:pStyle w:val="ActHead5"/>
      </w:pPr>
      <w:bookmarkStart w:id="1" w:name="_Toc346811564"/>
      <w:r w:rsidRPr="008F61D9">
        <w:rPr>
          <w:rStyle w:val="CharSectno"/>
        </w:rPr>
        <w:t>1</w:t>
      </w:r>
      <w:r w:rsidRPr="008F61D9">
        <w:t xml:space="preserve">  Short title</w:t>
      </w:r>
      <w:bookmarkEnd w:id="1"/>
    </w:p>
    <w:p w:rsidR="00B62759" w:rsidRPr="008F61D9" w:rsidRDefault="00B62759" w:rsidP="00B62759">
      <w:pPr>
        <w:pStyle w:val="subsection"/>
      </w:pPr>
      <w:r w:rsidRPr="008F61D9">
        <w:tab/>
      </w:r>
      <w:r w:rsidRPr="008F61D9">
        <w:tab/>
        <w:t xml:space="preserve">This Act may be cited as the </w:t>
      </w:r>
      <w:r w:rsidRPr="008F61D9">
        <w:rPr>
          <w:i/>
        </w:rPr>
        <w:t xml:space="preserve">Asian Development Bank (Additional Subscription) Act </w:t>
      </w:r>
      <w:r w:rsidRPr="00EE0C00">
        <w:t>1977</w:t>
      </w:r>
      <w:r w:rsidRPr="008F61D9">
        <w:t>.</w:t>
      </w:r>
    </w:p>
    <w:p w:rsidR="00B62759" w:rsidRPr="008F61D9" w:rsidRDefault="00B62759" w:rsidP="00B62759">
      <w:pPr>
        <w:pStyle w:val="ActHead5"/>
      </w:pPr>
      <w:bookmarkStart w:id="2" w:name="_Toc346811565"/>
      <w:r w:rsidRPr="008F61D9">
        <w:rPr>
          <w:rStyle w:val="CharSectno"/>
        </w:rPr>
        <w:t>2</w:t>
      </w:r>
      <w:r w:rsidRPr="008F61D9">
        <w:t xml:space="preserve">  Commencement</w:t>
      </w:r>
      <w:bookmarkEnd w:id="2"/>
    </w:p>
    <w:p w:rsidR="00B62759" w:rsidRPr="008F61D9" w:rsidRDefault="00B62759" w:rsidP="00B62759">
      <w:pPr>
        <w:pStyle w:val="subsection"/>
      </w:pPr>
      <w:r w:rsidRPr="008F61D9">
        <w:tab/>
      </w:r>
      <w:r w:rsidRPr="008F61D9">
        <w:tab/>
        <w:t>This Act shall come into operation on the day on which it receives the Royal Assent.</w:t>
      </w:r>
    </w:p>
    <w:p w:rsidR="00B62759" w:rsidRPr="008F61D9" w:rsidRDefault="00B62759" w:rsidP="00B62759">
      <w:pPr>
        <w:pStyle w:val="ActHead5"/>
      </w:pPr>
      <w:bookmarkStart w:id="3" w:name="_Toc346811566"/>
      <w:r w:rsidRPr="008F61D9">
        <w:rPr>
          <w:rStyle w:val="CharSectno"/>
        </w:rPr>
        <w:t>3</w:t>
      </w:r>
      <w:r w:rsidRPr="008F61D9">
        <w:t xml:space="preserve">  Interpretation</w:t>
      </w:r>
      <w:bookmarkEnd w:id="3"/>
    </w:p>
    <w:p w:rsidR="00B62759" w:rsidRPr="008F61D9" w:rsidRDefault="00B62759" w:rsidP="00B62759">
      <w:pPr>
        <w:pStyle w:val="subsection"/>
      </w:pPr>
      <w:r w:rsidRPr="008F61D9">
        <w:tab/>
      </w:r>
      <w:r w:rsidRPr="008F61D9">
        <w:tab/>
        <w:t>In this Act, unless the contrary intention appears:</w:t>
      </w:r>
    </w:p>
    <w:p w:rsidR="00B62759" w:rsidRPr="008F61D9" w:rsidRDefault="00B62759" w:rsidP="00B62759">
      <w:pPr>
        <w:pStyle w:val="Definition"/>
      </w:pPr>
      <w:r w:rsidRPr="008F61D9">
        <w:rPr>
          <w:b/>
          <w:i/>
        </w:rPr>
        <w:t>callable shares</w:t>
      </w:r>
      <w:r w:rsidRPr="008F61D9">
        <w:t xml:space="preserve"> and </w:t>
      </w:r>
      <w:r w:rsidRPr="008F61D9">
        <w:rPr>
          <w:b/>
          <w:i/>
        </w:rPr>
        <w:t>paid</w:t>
      </w:r>
      <w:r>
        <w:rPr>
          <w:b/>
          <w:i/>
        </w:rPr>
        <w:noBreakHyphen/>
      </w:r>
      <w:r w:rsidRPr="008F61D9">
        <w:rPr>
          <w:b/>
          <w:i/>
        </w:rPr>
        <w:t>in shares</w:t>
      </w:r>
      <w:r w:rsidRPr="008F61D9">
        <w:t xml:space="preserve"> have the same respective meanings as in the Agreement establishing the Asian Development Bank, a copy of which is set out in the Schedule to the </w:t>
      </w:r>
      <w:r w:rsidRPr="008F61D9">
        <w:rPr>
          <w:i/>
        </w:rPr>
        <w:t xml:space="preserve">Asian Development Bank Act </w:t>
      </w:r>
      <w:r w:rsidRPr="00EE0C00">
        <w:t>1966</w:t>
      </w:r>
      <w:r w:rsidRPr="008F61D9">
        <w:t>.</w:t>
      </w:r>
    </w:p>
    <w:p w:rsidR="00B62759" w:rsidRPr="008F61D9" w:rsidRDefault="00B62759" w:rsidP="00B62759">
      <w:pPr>
        <w:pStyle w:val="Definition"/>
      </w:pPr>
      <w:r w:rsidRPr="008F61D9">
        <w:rPr>
          <w:b/>
          <w:i/>
        </w:rPr>
        <w:t>Bank</w:t>
      </w:r>
      <w:r w:rsidRPr="008F61D9">
        <w:t xml:space="preserve"> means the Asian Development Bank.</w:t>
      </w:r>
    </w:p>
    <w:p w:rsidR="00B62759" w:rsidRPr="008F61D9" w:rsidRDefault="00B62759" w:rsidP="00B62759">
      <w:pPr>
        <w:pStyle w:val="Definition"/>
      </w:pPr>
      <w:r w:rsidRPr="008F61D9">
        <w:rPr>
          <w:b/>
          <w:i/>
        </w:rPr>
        <w:t>United States dollar</w:t>
      </w:r>
      <w:r w:rsidRPr="008F61D9">
        <w:t xml:space="preserve"> means a dollar in the currency of the United States of America of the weight and fineness that was in effect on 31</w:t>
      </w:r>
      <w:r>
        <w:t> </w:t>
      </w:r>
      <w:r w:rsidRPr="008F61D9">
        <w:t>January 1966.</w:t>
      </w:r>
    </w:p>
    <w:p w:rsidR="00B62759" w:rsidRPr="008F61D9" w:rsidRDefault="00B62759" w:rsidP="00B62759">
      <w:pPr>
        <w:pStyle w:val="ActHead5"/>
      </w:pPr>
      <w:bookmarkStart w:id="4" w:name="_Toc346811567"/>
      <w:r w:rsidRPr="008F61D9">
        <w:rPr>
          <w:rStyle w:val="CharSectno"/>
        </w:rPr>
        <w:t>4</w:t>
      </w:r>
      <w:r w:rsidRPr="008F61D9">
        <w:t xml:space="preserve">  Subscription for capital stock of the Bank</w:t>
      </w:r>
      <w:bookmarkEnd w:id="4"/>
    </w:p>
    <w:p w:rsidR="00B62759" w:rsidRPr="008F61D9" w:rsidRDefault="00B62759" w:rsidP="00B62759">
      <w:pPr>
        <w:pStyle w:val="subsection"/>
      </w:pPr>
      <w:r w:rsidRPr="008F61D9">
        <w:tab/>
        <w:t>(1)</w:t>
      </w:r>
      <w:r w:rsidRPr="008F61D9">
        <w:tab/>
        <w:t>The Treasurer may, on behalf of the Commonwealth, make an agreement or agreements with the Bank providing for the purchase by Australia of 2,869 paid</w:t>
      </w:r>
      <w:r>
        <w:noBreakHyphen/>
      </w:r>
      <w:r w:rsidRPr="008F61D9">
        <w:t>in shares, and 25,818 callable shares, of the capital stock of the Bank at a price per share that is the equivalent of 10,000 United States dollars.</w:t>
      </w:r>
    </w:p>
    <w:p w:rsidR="00B62759" w:rsidRPr="008F61D9" w:rsidRDefault="00B62759" w:rsidP="00B62759">
      <w:pPr>
        <w:pStyle w:val="subsection"/>
      </w:pPr>
      <w:r w:rsidRPr="008F61D9">
        <w:tab/>
        <w:t>(2)</w:t>
      </w:r>
      <w:r w:rsidRPr="008F61D9">
        <w:tab/>
        <w:t>Subject to this Act, an agreement so made may contain such terms and conditions as the Treasurer determines.</w:t>
      </w:r>
    </w:p>
    <w:p w:rsidR="00B62759" w:rsidRPr="008F61D9" w:rsidRDefault="00B62759" w:rsidP="00B62759">
      <w:pPr>
        <w:pStyle w:val="ActHead5"/>
      </w:pPr>
      <w:bookmarkStart w:id="5" w:name="_Toc346811568"/>
      <w:r w:rsidRPr="008F61D9">
        <w:rPr>
          <w:rStyle w:val="CharSectno"/>
        </w:rPr>
        <w:t>5</w:t>
      </w:r>
      <w:r w:rsidRPr="008F61D9">
        <w:t xml:space="preserve">  Agreement subject to increase of capital stock</w:t>
      </w:r>
      <w:bookmarkEnd w:id="5"/>
    </w:p>
    <w:p w:rsidR="00B62759" w:rsidRPr="008F61D9" w:rsidRDefault="00B62759" w:rsidP="00B62759">
      <w:pPr>
        <w:pStyle w:val="subsection"/>
      </w:pPr>
      <w:r w:rsidRPr="008F61D9">
        <w:tab/>
      </w:r>
      <w:r w:rsidRPr="008F61D9">
        <w:tab/>
        <w:t>An agreement made under this Act does not have effect before the authorized capital stock of the Bank has been increased in pursuance of the resolution adopted by the Board of Governors of the Bank on 29</w:t>
      </w:r>
      <w:r>
        <w:t> </w:t>
      </w:r>
      <w:r w:rsidRPr="008F61D9">
        <w:t>October 1976, a copy of the text of which is set out in the Schedule to this Act.</w:t>
      </w:r>
    </w:p>
    <w:p w:rsidR="00B62759" w:rsidRPr="008F61D9" w:rsidRDefault="00B62759" w:rsidP="00B62759">
      <w:pPr>
        <w:pStyle w:val="ActHead5"/>
      </w:pPr>
      <w:bookmarkStart w:id="6" w:name="_Toc346811569"/>
      <w:r w:rsidRPr="008F61D9">
        <w:rPr>
          <w:rStyle w:val="CharSectno"/>
        </w:rPr>
        <w:t>6</w:t>
      </w:r>
      <w:r w:rsidRPr="008F61D9">
        <w:t xml:space="preserve">  Issue of promissory notes</w:t>
      </w:r>
      <w:bookmarkEnd w:id="6"/>
    </w:p>
    <w:p w:rsidR="00B62759" w:rsidRPr="008F61D9" w:rsidRDefault="00B62759" w:rsidP="00B62759">
      <w:pPr>
        <w:pStyle w:val="subsection"/>
      </w:pPr>
      <w:r w:rsidRPr="008F61D9">
        <w:tab/>
        <w:t>(1)</w:t>
      </w:r>
      <w:r w:rsidRPr="008F61D9">
        <w:tab/>
        <w:t>To the extent to which the Bank is prepared to accept promissory notes from Australia in lieu of any payment that Australia is required to make to the Bank in pursuance of an agreement made under this Act, the Treasurer may, on behalf of the Commonwealth, execute and issue to the Bank promissory notes.</w:t>
      </w:r>
    </w:p>
    <w:p w:rsidR="00B62759" w:rsidRPr="008F61D9" w:rsidRDefault="00B62759" w:rsidP="00B62759">
      <w:pPr>
        <w:pStyle w:val="subsection"/>
      </w:pPr>
      <w:r w:rsidRPr="008F61D9">
        <w:tab/>
        <w:t>(2)</w:t>
      </w:r>
      <w:r w:rsidRPr="008F61D9">
        <w:tab/>
        <w:t xml:space="preserve">A promissory note issued under </w:t>
      </w:r>
      <w:r>
        <w:t>subsection (</w:t>
      </w:r>
      <w:r w:rsidRPr="008F61D9">
        <w:t>1):</w:t>
      </w:r>
    </w:p>
    <w:p w:rsidR="00B62759" w:rsidRPr="008F61D9" w:rsidRDefault="00B62759" w:rsidP="00B62759">
      <w:pPr>
        <w:pStyle w:val="paragraph"/>
      </w:pPr>
      <w:r w:rsidRPr="008F61D9">
        <w:tab/>
        <w:t>(a)</w:t>
      </w:r>
      <w:r w:rsidRPr="008F61D9">
        <w:tab/>
        <w:t>shall be payable to the Bank;</w:t>
      </w:r>
    </w:p>
    <w:p w:rsidR="00B62759" w:rsidRPr="008F61D9" w:rsidRDefault="00B62759" w:rsidP="00B62759">
      <w:pPr>
        <w:pStyle w:val="paragraph"/>
      </w:pPr>
      <w:r w:rsidRPr="008F61D9">
        <w:tab/>
        <w:t>(b)</w:t>
      </w:r>
      <w:r w:rsidRPr="008F61D9">
        <w:tab/>
        <w:t>shall be non</w:t>
      </w:r>
      <w:r>
        <w:noBreakHyphen/>
      </w:r>
      <w:r w:rsidRPr="008F61D9">
        <w:t>negotiable and non</w:t>
      </w:r>
      <w:r>
        <w:noBreakHyphen/>
      </w:r>
      <w:r w:rsidRPr="008F61D9">
        <w:t>interest</w:t>
      </w:r>
      <w:r>
        <w:noBreakHyphen/>
      </w:r>
      <w:r w:rsidRPr="008F61D9">
        <w:t>bearing; and</w:t>
      </w:r>
    </w:p>
    <w:p w:rsidR="00B62759" w:rsidRPr="008F61D9" w:rsidRDefault="00B62759" w:rsidP="00B62759">
      <w:pPr>
        <w:pStyle w:val="paragraph"/>
      </w:pPr>
      <w:r w:rsidRPr="008F61D9">
        <w:tab/>
        <w:t>(c)</w:t>
      </w:r>
      <w:r w:rsidRPr="008F61D9">
        <w:tab/>
        <w:t>shall be payable at its par value on demand.</w:t>
      </w:r>
    </w:p>
    <w:p w:rsidR="00B62759" w:rsidRPr="008F61D9" w:rsidRDefault="00B62759" w:rsidP="00B62759">
      <w:pPr>
        <w:pStyle w:val="ActHead5"/>
      </w:pPr>
      <w:bookmarkStart w:id="7" w:name="_Toc346811570"/>
      <w:r w:rsidRPr="008F61D9">
        <w:rPr>
          <w:rStyle w:val="CharSectno"/>
        </w:rPr>
        <w:t>7</w:t>
      </w:r>
      <w:r w:rsidRPr="008F61D9">
        <w:t xml:space="preserve">  Appropriation</w:t>
      </w:r>
      <w:bookmarkEnd w:id="7"/>
    </w:p>
    <w:p w:rsidR="00B62759" w:rsidRPr="008F61D9" w:rsidRDefault="00B62759" w:rsidP="00B62759">
      <w:pPr>
        <w:pStyle w:val="subsection"/>
      </w:pPr>
      <w:r w:rsidRPr="008F61D9">
        <w:tab/>
      </w:r>
      <w:r w:rsidRPr="008F61D9">
        <w:tab/>
        <w:t>There may be paid out of the Consolidated Revenue Fund, which is appropriated accordingly, the moneys necessary for the purpose of making any payment that is to be made by Australia:</w:t>
      </w:r>
    </w:p>
    <w:p w:rsidR="00B62759" w:rsidRPr="008F61D9" w:rsidRDefault="00B62759" w:rsidP="00B62759">
      <w:pPr>
        <w:pStyle w:val="paragraph"/>
      </w:pPr>
      <w:r w:rsidRPr="008F61D9">
        <w:tab/>
        <w:t>(a)</w:t>
      </w:r>
      <w:r w:rsidRPr="008F61D9">
        <w:tab/>
        <w:t>in pursuance of an agreement made under this Act; or</w:t>
      </w:r>
    </w:p>
    <w:p w:rsidR="00B62759" w:rsidRPr="008F61D9" w:rsidRDefault="00B62759" w:rsidP="00B62759">
      <w:pPr>
        <w:pStyle w:val="paragraph"/>
      </w:pPr>
      <w:r w:rsidRPr="008F61D9">
        <w:tab/>
        <w:t>(b)</w:t>
      </w:r>
      <w:r w:rsidRPr="008F61D9">
        <w:tab/>
        <w:t>under a promissory note issued under this Act.</w:t>
      </w:r>
    </w:p>
    <w:p w:rsidR="00B62759" w:rsidRPr="008F61D9" w:rsidRDefault="00B62759" w:rsidP="00B62759">
      <w:pPr>
        <w:sectPr w:rsidR="00B62759" w:rsidRPr="008F61D9" w:rsidSect="00BA7EEE">
          <w:headerReference w:type="even" r:id="rId20"/>
          <w:headerReference w:type="default" r:id="rId21"/>
          <w:footerReference w:type="even" r:id="rId22"/>
          <w:footerReference w:type="default" r:id="rId23"/>
          <w:headerReference w:type="first" r:id="rId24"/>
          <w:footerReference w:type="first" r:id="rId25"/>
          <w:type w:val="oddPage"/>
          <w:pgSz w:w="11906" w:h="16838" w:code="9"/>
          <w:pgMar w:top="2268" w:right="2410" w:bottom="4252" w:left="2410" w:header="567" w:footer="3402" w:gutter="0"/>
          <w:pgNumType w:start="1"/>
          <w:cols w:space="708"/>
          <w:titlePg/>
          <w:docGrid w:linePitch="360"/>
        </w:sectPr>
      </w:pPr>
    </w:p>
    <w:p w:rsidR="00B62759" w:rsidRPr="008F61D9" w:rsidRDefault="00B62759" w:rsidP="00B62759">
      <w:pPr>
        <w:pStyle w:val="ActHead1"/>
      </w:pPr>
      <w:bookmarkStart w:id="8" w:name="_Toc346811571"/>
      <w:r w:rsidRPr="008F61D9">
        <w:rPr>
          <w:rStyle w:val="CharChapNo"/>
        </w:rPr>
        <w:t>Schedule</w:t>
      </w:r>
      <w:r w:rsidRPr="008F61D9">
        <w:t>—</w:t>
      </w:r>
      <w:r w:rsidRPr="008F61D9">
        <w:rPr>
          <w:rStyle w:val="CharChapText"/>
        </w:rPr>
        <w:t>Resolution No.</w:t>
      </w:r>
      <w:r>
        <w:rPr>
          <w:rStyle w:val="CharChapText"/>
        </w:rPr>
        <w:t> </w:t>
      </w:r>
      <w:r w:rsidRPr="008F61D9">
        <w:rPr>
          <w:rStyle w:val="CharChapText"/>
        </w:rPr>
        <w:t>104 of the Board of Governors adopted on 29</w:t>
      </w:r>
      <w:r>
        <w:rPr>
          <w:rStyle w:val="CharChapText"/>
        </w:rPr>
        <w:t> </w:t>
      </w:r>
      <w:r w:rsidRPr="008F61D9">
        <w:rPr>
          <w:rStyle w:val="CharChapText"/>
        </w:rPr>
        <w:t>October 1976</w:t>
      </w:r>
      <w:bookmarkEnd w:id="8"/>
    </w:p>
    <w:p w:rsidR="00B62759" w:rsidRPr="008F61D9" w:rsidRDefault="00B62759" w:rsidP="00B62759">
      <w:pPr>
        <w:pStyle w:val="notemargin"/>
      </w:pPr>
      <w:r w:rsidRPr="008F61D9">
        <w:t>Section</w:t>
      </w:r>
      <w:r>
        <w:t> </w:t>
      </w:r>
      <w:r w:rsidRPr="008F61D9">
        <w:t>5</w:t>
      </w:r>
    </w:p>
    <w:p w:rsidR="00B62759" w:rsidRPr="008F61D9" w:rsidRDefault="00B62759" w:rsidP="00B62759">
      <w:pPr>
        <w:spacing w:before="120"/>
        <w:jc w:val="center"/>
      </w:pPr>
      <w:r w:rsidRPr="008F61D9">
        <w:t>INCREASE IN AUTHORIZED CAPITAL</w:t>
      </w:r>
      <w:r w:rsidRPr="008F61D9">
        <w:br/>
        <w:t>STOCK AND SUBSCRIPTIONS THERETO</w:t>
      </w:r>
    </w:p>
    <w:p w:rsidR="00B62759" w:rsidRPr="008F61D9" w:rsidRDefault="00B62759" w:rsidP="00B62759">
      <w:pPr>
        <w:jc w:val="both"/>
      </w:pPr>
      <w:r w:rsidRPr="008F61D9">
        <w:t>WHEREAS:</w:t>
      </w:r>
    </w:p>
    <w:p w:rsidR="00B62759" w:rsidRPr="008F61D9" w:rsidRDefault="00B62759" w:rsidP="00B62759">
      <w:pPr>
        <w:spacing w:before="120"/>
        <w:ind w:firstLine="284"/>
        <w:jc w:val="both"/>
      </w:pPr>
      <w:r w:rsidRPr="008F61D9">
        <w:t>The Board of Directors of the Bank, having undertaken a study of the resource position of the Bank in accordance with Resolution No.</w:t>
      </w:r>
      <w:r>
        <w:t> </w:t>
      </w:r>
      <w:r w:rsidRPr="008F61D9">
        <w:t>84 adopted by the Board of Governors, has submitted a Report thereon to the Board of Governors;</w:t>
      </w:r>
    </w:p>
    <w:p w:rsidR="00B62759" w:rsidRPr="008F61D9" w:rsidRDefault="00B62759" w:rsidP="00B62759">
      <w:pPr>
        <w:spacing w:before="120"/>
        <w:ind w:firstLine="284"/>
        <w:jc w:val="both"/>
      </w:pPr>
      <w:r w:rsidRPr="008F61D9">
        <w:t>The Board of Governors, having considered such Report and being in agreement with the findings of the Board of Directors incorporated in that Report, has concluded that action to increase the authorized capital stock of the Bank is necessary;</w:t>
      </w:r>
    </w:p>
    <w:p w:rsidR="00B62759" w:rsidRPr="008F61D9" w:rsidRDefault="00B62759" w:rsidP="00B62759">
      <w:pPr>
        <w:spacing w:before="120"/>
      </w:pPr>
      <w:r w:rsidRPr="008F61D9">
        <w:t xml:space="preserve">NOW THEREFORE the Board of Governors hereby </w:t>
      </w:r>
      <w:r>
        <w:br/>
      </w:r>
      <w:r w:rsidRPr="008F61D9">
        <w:t>RESOLVES:</w:t>
      </w:r>
    </w:p>
    <w:p w:rsidR="00B62759" w:rsidRPr="008F61D9" w:rsidRDefault="00B62759" w:rsidP="00B62759">
      <w:pPr>
        <w:tabs>
          <w:tab w:val="left" w:pos="1276"/>
        </w:tabs>
        <w:spacing w:before="240"/>
        <w:jc w:val="both"/>
      </w:pPr>
      <w:r w:rsidRPr="008F61D9">
        <w:t>SECTION I.</w:t>
      </w:r>
      <w:r w:rsidRPr="008F61D9">
        <w:tab/>
        <w:t>INCREASE IN AUTHORIZED CAPITAL STOCK</w:t>
      </w:r>
    </w:p>
    <w:p w:rsidR="00B62759" w:rsidRPr="008F61D9" w:rsidRDefault="00B62759" w:rsidP="00B62759">
      <w:pPr>
        <w:tabs>
          <w:tab w:val="left" w:pos="709"/>
        </w:tabs>
        <w:spacing w:before="120"/>
        <w:ind w:firstLine="284"/>
        <w:jc w:val="both"/>
      </w:pPr>
      <w:r w:rsidRPr="008F61D9">
        <w:t>(1)</w:t>
      </w:r>
      <w:r w:rsidRPr="008F61D9">
        <w:tab/>
        <w:t>The authorized capital stock of the Bank shall, on the Effective Date as hereinafter defined, be increased by $4,148,000,000 in terms of United States dollars of the weight and fineness in effect on 31</w:t>
      </w:r>
      <w:r>
        <w:t> </w:t>
      </w:r>
      <w:r w:rsidRPr="008F61D9">
        <w:t>January 1966, divided into 414,800 shares each having a par value of $10,000. Of such shares, 41,480 shall be paid</w:t>
      </w:r>
      <w:r>
        <w:noBreakHyphen/>
      </w:r>
      <w:r w:rsidRPr="008F61D9">
        <w:t>in shares and 373,320 shall be callable shares.</w:t>
      </w:r>
    </w:p>
    <w:p w:rsidR="00B62759" w:rsidRPr="008F61D9" w:rsidRDefault="00B62759" w:rsidP="00B62759">
      <w:pPr>
        <w:tabs>
          <w:tab w:val="left" w:pos="709"/>
        </w:tabs>
        <w:spacing w:before="120"/>
        <w:ind w:firstLine="284"/>
        <w:jc w:val="both"/>
      </w:pPr>
      <w:r w:rsidRPr="008F61D9">
        <w:t>(2)</w:t>
      </w:r>
      <w:r w:rsidRPr="008F61D9">
        <w:tab/>
        <w:t>Of the paid</w:t>
      </w:r>
      <w:r>
        <w:noBreakHyphen/>
      </w:r>
      <w:r w:rsidRPr="008F61D9">
        <w:t>in and callable shares authorized by this Resolution, that portion shall be made available for subscription by members in accordance with Section II of this Resolution which, in total, is sufficient to enable each member to subscribe a number of whole shares equivalent to, but not in excess</w:t>
      </w:r>
      <w:r>
        <w:t xml:space="preserve"> </w:t>
      </w:r>
      <w:r w:rsidRPr="008F61D9">
        <w:t>of, 1.35 times the shares subscribed by such member immediately prior to the Effective Date, with 10 per cent of such number (as near as may be) being whole paid</w:t>
      </w:r>
      <w:r>
        <w:noBreakHyphen/>
      </w:r>
      <w:r w:rsidRPr="008F61D9">
        <w:t>in shares and the balance being callable shares.</w:t>
      </w:r>
    </w:p>
    <w:p w:rsidR="00B62759" w:rsidRPr="008F61D9" w:rsidRDefault="00B62759" w:rsidP="00B62759">
      <w:pPr>
        <w:tabs>
          <w:tab w:val="left" w:pos="709"/>
        </w:tabs>
        <w:spacing w:before="120"/>
        <w:ind w:firstLine="284"/>
        <w:jc w:val="both"/>
      </w:pPr>
      <w:r w:rsidRPr="008F61D9">
        <w:t>(3)</w:t>
      </w:r>
      <w:r w:rsidRPr="008F61D9">
        <w:tab/>
        <w:t>The paid</w:t>
      </w:r>
      <w:r>
        <w:noBreakHyphen/>
      </w:r>
      <w:r w:rsidRPr="008F61D9">
        <w:t xml:space="preserve">in and callable shares authorized by this Resolution which are not made available for subscription in accordance with </w:t>
      </w:r>
      <w:r>
        <w:t>paragraph (</w:t>
      </w:r>
      <w:r w:rsidRPr="008F61D9">
        <w:t>2) of this Section I shall be reserved to provide for initial subscriptions by new members and for special increases in the subscriptions of individual members, as may be determined by the Board of Governors pursuant to paragraphs 1 and 3 of Article 5 of the Articles of Agreement of the Bank.</w:t>
      </w:r>
    </w:p>
    <w:p w:rsidR="00B62759" w:rsidRPr="008F61D9" w:rsidRDefault="00B62759" w:rsidP="00B62759">
      <w:pPr>
        <w:tabs>
          <w:tab w:val="left" w:pos="1276"/>
        </w:tabs>
        <w:spacing w:before="240"/>
        <w:jc w:val="both"/>
      </w:pPr>
      <w:r w:rsidRPr="008F61D9">
        <w:t>SECTION II.</w:t>
      </w:r>
      <w:r w:rsidRPr="008F61D9">
        <w:tab/>
        <w:t>SUBSCRIPTIONS</w:t>
      </w:r>
    </w:p>
    <w:p w:rsidR="00B62759" w:rsidRPr="008F61D9" w:rsidRDefault="00B62759" w:rsidP="00B62759">
      <w:pPr>
        <w:tabs>
          <w:tab w:val="left" w:pos="709"/>
        </w:tabs>
        <w:spacing w:before="120"/>
        <w:ind w:firstLine="284"/>
        <w:jc w:val="both"/>
      </w:pPr>
      <w:r w:rsidRPr="008F61D9">
        <w:t>(1)</w:t>
      </w:r>
      <w:r w:rsidRPr="008F61D9">
        <w:tab/>
        <w:t>Each member shall be entitled to subscribe, at par, a number of whole shares up to but not in excess of 1.35 times the number of shares subscribed by such member immediately prior to the Effective Date. Each such subscription shall be on the terms and conditions set forth in this Resolution, and in all events shall comprise paid</w:t>
      </w:r>
      <w:r>
        <w:noBreakHyphen/>
      </w:r>
      <w:r w:rsidRPr="008F61D9">
        <w:t>in and callable shares in such proportions that 10 per cent of the shares subscribed shall (as near as may be) be whole paid</w:t>
      </w:r>
      <w:r>
        <w:noBreakHyphen/>
      </w:r>
      <w:r w:rsidRPr="008F61D9">
        <w:t>in shares and the balance shall be callable shares.</w:t>
      </w:r>
    </w:p>
    <w:p w:rsidR="00B62759" w:rsidRPr="008F61D9" w:rsidRDefault="00B62759" w:rsidP="00B62759">
      <w:pPr>
        <w:tabs>
          <w:tab w:val="left" w:pos="709"/>
        </w:tabs>
        <w:spacing w:before="120"/>
        <w:ind w:firstLine="284"/>
        <w:jc w:val="both"/>
      </w:pPr>
      <w:r w:rsidRPr="008F61D9">
        <w:t>(2)</w:t>
      </w:r>
      <w:r w:rsidRPr="008F61D9">
        <w:tab/>
        <w:t>Each member wishing to subscribe pursuant to this Resolution shall deposit with the Bank the following documents in a form acceptable to the Bank:</w:t>
      </w:r>
    </w:p>
    <w:p w:rsidR="00B62759" w:rsidRPr="008F61D9" w:rsidRDefault="00B62759" w:rsidP="00B62759">
      <w:pPr>
        <w:spacing w:before="40"/>
        <w:ind w:left="851" w:hanging="425"/>
        <w:jc w:val="both"/>
      </w:pPr>
      <w:r w:rsidRPr="008F61D9">
        <w:t>(a)</w:t>
      </w:r>
      <w:r w:rsidRPr="008F61D9">
        <w:tab/>
        <w:t>an instrument of subscription whereby the member subscribes to the</w:t>
      </w:r>
      <w:r>
        <w:t xml:space="preserve"> </w:t>
      </w:r>
      <w:r w:rsidRPr="008F61D9">
        <w:t>number of paid</w:t>
      </w:r>
      <w:r>
        <w:noBreakHyphen/>
      </w:r>
      <w:r w:rsidRPr="008F61D9">
        <w:t>in and callable shares specified in such instrument;</w:t>
      </w:r>
    </w:p>
    <w:p w:rsidR="00B62759" w:rsidRPr="008F61D9" w:rsidRDefault="00B62759" w:rsidP="00B62759">
      <w:pPr>
        <w:spacing w:before="40"/>
        <w:ind w:left="851" w:hanging="425"/>
        <w:jc w:val="both"/>
      </w:pPr>
      <w:r w:rsidRPr="008F61D9">
        <w:t>(b)</w:t>
      </w:r>
      <w:r w:rsidRPr="008F61D9">
        <w:tab/>
        <w:t>a representation that the member has duly taken all legislative and other internal action necessary to enable it to make such subscription; and</w:t>
      </w:r>
    </w:p>
    <w:p w:rsidR="00B62759" w:rsidRPr="008F61D9" w:rsidRDefault="00B62759" w:rsidP="00B62759">
      <w:pPr>
        <w:spacing w:before="40"/>
        <w:ind w:left="851" w:hanging="425"/>
        <w:jc w:val="both"/>
      </w:pPr>
      <w:r w:rsidRPr="008F61D9">
        <w:t>(c)</w:t>
      </w:r>
      <w:r w:rsidRPr="008F61D9">
        <w:tab/>
        <w:t>an undertaking that the member will furnish such information as the Bank may request concerning such action.</w:t>
      </w:r>
    </w:p>
    <w:p w:rsidR="00B62759" w:rsidRPr="008F61D9" w:rsidRDefault="00B62759" w:rsidP="00B62759">
      <w:pPr>
        <w:spacing w:before="120"/>
        <w:jc w:val="both"/>
      </w:pPr>
      <w:r w:rsidRPr="008F61D9">
        <w:t>Such documents shall be deposited not later than 31</w:t>
      </w:r>
      <w:r>
        <w:t> </w:t>
      </w:r>
      <w:r w:rsidRPr="008F61D9">
        <w:t>March 1978; provided that at the request of a member the Board of Directors may allow up to a further month for the deposit of documents by that member.</w:t>
      </w:r>
    </w:p>
    <w:p w:rsidR="00B62759" w:rsidRPr="008F61D9" w:rsidRDefault="00B62759" w:rsidP="00B62759">
      <w:pPr>
        <w:tabs>
          <w:tab w:val="left" w:pos="709"/>
        </w:tabs>
        <w:spacing w:before="120"/>
        <w:ind w:firstLine="284"/>
        <w:jc w:val="both"/>
      </w:pPr>
      <w:r w:rsidRPr="008F61D9">
        <w:t>(3)</w:t>
      </w:r>
      <w:r w:rsidRPr="008F61D9">
        <w:tab/>
        <w:t xml:space="preserve">Each instrument of subscription shall become effective and the subscription thereunder shall be deemed to have been made on the Effective Date, or on the date on which the Bank notifies the subscribing member that the documents deposited by such member pursuant to </w:t>
      </w:r>
      <w:r>
        <w:t>paragraph (</w:t>
      </w:r>
      <w:r w:rsidRPr="008F61D9">
        <w:t>2) of this Section II are satisfactory to the Bank, whichever is the later.</w:t>
      </w:r>
    </w:p>
    <w:p w:rsidR="00B62759" w:rsidRPr="008F61D9" w:rsidRDefault="00B62759" w:rsidP="00B62759">
      <w:pPr>
        <w:tabs>
          <w:tab w:val="left" w:pos="709"/>
        </w:tabs>
        <w:spacing w:before="120"/>
        <w:ind w:firstLine="284"/>
        <w:jc w:val="both"/>
      </w:pPr>
      <w:r w:rsidRPr="008F61D9">
        <w:t>(4)</w:t>
      </w:r>
      <w:r w:rsidRPr="008F61D9">
        <w:tab/>
        <w:t>Payment in respect of paid</w:t>
      </w:r>
      <w:r>
        <w:noBreakHyphen/>
      </w:r>
      <w:r w:rsidRPr="008F61D9">
        <w:t>in shares subscribed pursuant to this Resolution shall be made in four equal instalments, of which the first shall be paid on or before 31</w:t>
      </w:r>
      <w:r>
        <w:t> </w:t>
      </w:r>
      <w:r w:rsidRPr="008F61D9">
        <w:t>March 1978, and the sec</w:t>
      </w:r>
      <w:r>
        <w:t>ond, third and</w:t>
      </w:r>
      <w:r w:rsidRPr="008F61D9">
        <w:t xml:space="preserve"> fourth on or before 31</w:t>
      </w:r>
      <w:r>
        <w:t> </w:t>
      </w:r>
      <w:r w:rsidRPr="008F61D9">
        <w:t>March of each succeeding year; provided that at the request of a member the Board of Directors may allow up to a further three months after 31</w:t>
      </w:r>
      <w:r>
        <w:t> </w:t>
      </w:r>
      <w:r w:rsidRPr="008F61D9">
        <w:t>March in the relevant year for payment of any instalment by that member. Of each instalment,</w:t>
      </w:r>
    </w:p>
    <w:p w:rsidR="00B62759" w:rsidRPr="008F61D9" w:rsidRDefault="00B62759" w:rsidP="00B62759">
      <w:pPr>
        <w:spacing w:before="40"/>
        <w:ind w:left="851" w:hanging="425"/>
        <w:jc w:val="both"/>
      </w:pPr>
      <w:r w:rsidRPr="008F61D9">
        <w:t>(a)</w:t>
      </w:r>
      <w:r w:rsidRPr="008F61D9">
        <w:tab/>
        <w:t>40 per cent shall be paid in a convertible currency which, where such currency is not that of the subscribing member, shall be selected by the member in consultation with the Bank; and</w:t>
      </w:r>
    </w:p>
    <w:p w:rsidR="00B62759" w:rsidRPr="008F61D9" w:rsidRDefault="00B62759" w:rsidP="00B62759">
      <w:pPr>
        <w:spacing w:before="40"/>
        <w:ind w:left="851" w:hanging="425"/>
        <w:jc w:val="both"/>
      </w:pPr>
      <w:r w:rsidRPr="008F61D9">
        <w:t>(b)</w:t>
      </w:r>
      <w:r w:rsidRPr="008F61D9">
        <w:tab/>
        <w:t>60 per cent shall be paid in the currency of the subscribing member.</w:t>
      </w:r>
    </w:p>
    <w:p w:rsidR="00B62759" w:rsidRPr="008F61D9" w:rsidRDefault="00B62759" w:rsidP="00B62759">
      <w:pPr>
        <w:tabs>
          <w:tab w:val="left" w:pos="1276"/>
        </w:tabs>
        <w:spacing w:before="240"/>
        <w:jc w:val="both"/>
      </w:pPr>
      <w:r w:rsidRPr="008F61D9">
        <w:t>SECTION III.</w:t>
      </w:r>
      <w:r>
        <w:tab/>
      </w:r>
      <w:r w:rsidRPr="008F61D9">
        <w:tab/>
        <w:t>PROCEDURAL PROVISIONS</w:t>
      </w:r>
    </w:p>
    <w:p w:rsidR="00B62759" w:rsidRPr="008F61D9" w:rsidRDefault="00B62759" w:rsidP="00B62759">
      <w:pPr>
        <w:tabs>
          <w:tab w:val="left" w:pos="709"/>
        </w:tabs>
        <w:spacing w:before="120"/>
        <w:ind w:firstLine="284"/>
        <w:jc w:val="both"/>
      </w:pPr>
      <w:r w:rsidRPr="008F61D9">
        <w:t>(1)</w:t>
      </w:r>
      <w:r w:rsidRPr="008F61D9">
        <w:tab/>
        <w:t>For purposes of this Resolution, the Effective Date shall be the date, on or before 30</w:t>
      </w:r>
      <w:r>
        <w:t> </w:t>
      </w:r>
      <w:r w:rsidRPr="008F61D9">
        <w:t>September 1977 or such subsequent date not later than 31</w:t>
      </w:r>
      <w:r>
        <w:t> </w:t>
      </w:r>
      <w:r w:rsidRPr="008F61D9">
        <w:t xml:space="preserve">December 1977 as the Board of Directors may determine, on which documents satisfactory to the Bank have been deposited pursuant to </w:t>
      </w:r>
      <w:r>
        <w:t>paragraph (</w:t>
      </w:r>
      <w:r w:rsidRPr="008F61D9">
        <w:t>2) of Section II providing for subscriptions in an aggregate amount of at least</w:t>
      </w:r>
      <w:r>
        <w:t xml:space="preserve"> </w:t>
      </w:r>
      <w:r w:rsidRPr="008F61D9">
        <w:t>240,000 shares.</w:t>
      </w:r>
    </w:p>
    <w:p w:rsidR="00B62759" w:rsidRPr="008F61D9" w:rsidRDefault="00B62759" w:rsidP="00B62759">
      <w:pPr>
        <w:tabs>
          <w:tab w:val="left" w:pos="709"/>
        </w:tabs>
        <w:spacing w:before="120"/>
        <w:ind w:firstLine="284"/>
        <w:jc w:val="both"/>
      </w:pPr>
      <w:r w:rsidRPr="008F61D9">
        <w:t>(2)</w:t>
      </w:r>
      <w:r w:rsidRPr="008F61D9">
        <w:tab/>
        <w:t>Except as otherwise determined by the Board of Directors, each payment for shares subscribed pursuant to this Resolution shall be made at the rate of exchange used by the Bank for translation of currencies in its books of account, as of the date such payment is received by the Bank.</w:t>
      </w:r>
    </w:p>
    <w:p w:rsidR="00B62759" w:rsidRPr="008F61D9" w:rsidRDefault="00B62759" w:rsidP="00B62759">
      <w:pPr>
        <w:tabs>
          <w:tab w:val="left" w:pos="709"/>
        </w:tabs>
        <w:spacing w:before="120"/>
        <w:ind w:firstLine="284"/>
        <w:jc w:val="both"/>
      </w:pPr>
      <w:r w:rsidRPr="008F61D9">
        <w:t>(3)</w:t>
      </w:r>
      <w:r w:rsidRPr="008F61D9">
        <w:tab/>
        <w:t>Subject to the provisions of this Resolution, the Articles of Agreement of the Bank shall apply mutatis mutandis to all shares authorized by, and to subscriptions and payments made under, this Resolution as if such shares were part of the original capital stock of the Bank and such subscriptions and payments were initial subscriptions to and payments for such stock.</w:t>
      </w:r>
    </w:p>
    <w:p w:rsidR="00B62759" w:rsidRDefault="00B62759" w:rsidP="00B62759">
      <w:pPr>
        <w:sectPr w:rsidR="00B62759">
          <w:headerReference w:type="even" r:id="rId26"/>
          <w:headerReference w:type="default" r:id="rId27"/>
          <w:footerReference w:type="even" r:id="rId28"/>
          <w:headerReference w:type="first" r:id="rId29"/>
          <w:pgSz w:w="11906" w:h="16838" w:code="9"/>
          <w:pgMar w:top="2268" w:right="2410" w:bottom="3827" w:left="2410" w:header="567" w:footer="3119" w:gutter="0"/>
          <w:cols w:space="708"/>
          <w:docGrid w:linePitch="360"/>
        </w:sectPr>
      </w:pPr>
    </w:p>
    <w:p w:rsidR="00334C1D" w:rsidRPr="00334C1D" w:rsidRDefault="00334C1D" w:rsidP="008C2ACF">
      <w:bookmarkStart w:id="9" w:name="_GoBack"/>
      <w:bookmarkEnd w:id="9"/>
    </w:p>
    <w:sectPr w:rsidR="00334C1D" w:rsidRPr="00334C1D" w:rsidSect="008C2ACF">
      <w:headerReference w:type="even" r:id="rId30"/>
      <w:headerReference w:type="default" r:id="rId31"/>
      <w:footerReference w:type="even" r:id="rId32"/>
      <w:footerReference w:type="default" r:id="rId33"/>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8F" w:rsidRDefault="0059018F" w:rsidP="00CA01CE">
      <w:r>
        <w:separator/>
      </w:r>
    </w:p>
  </w:endnote>
  <w:endnote w:type="continuationSeparator" w:id="0">
    <w:p w:rsidR="0059018F" w:rsidRDefault="0059018F"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2A5BF5" w:rsidRDefault="00334C1D">
    <w:pPr>
      <w:pBdr>
        <w:top w:val="single" w:sz="6" w:space="1" w:color="auto"/>
      </w:pBdr>
      <w:rPr>
        <w:sz w:val="18"/>
        <w:szCs w:val="18"/>
      </w:rPr>
    </w:pPr>
  </w:p>
  <w:p w:rsidR="00334C1D" w:rsidRPr="002A5BF5" w:rsidRDefault="00E37F51">
    <w:pPr>
      <w:rPr>
        <w:i/>
        <w:szCs w:val="22"/>
      </w:rPr>
    </w:pPr>
    <w:r w:rsidRPr="002A5BF5">
      <w:rPr>
        <w:i/>
      </w:rPr>
      <w:fldChar w:fldCharType="begin"/>
    </w:r>
    <w:r w:rsidR="00334C1D" w:rsidRPr="002A5BF5">
      <w:rPr>
        <w:i/>
      </w:rPr>
      <w:instrText xml:space="preserve">PAGE  </w:instrText>
    </w:r>
    <w:r w:rsidRPr="002A5BF5">
      <w:rPr>
        <w:i/>
      </w:rPr>
      <w:fldChar w:fldCharType="separate"/>
    </w:r>
    <w:r w:rsidR="005D220C">
      <w:rPr>
        <w:i/>
        <w:noProof/>
      </w:rPr>
      <w:t>2</w:t>
    </w:r>
    <w:r w:rsidRPr="002A5BF5">
      <w:rPr>
        <w:i/>
      </w:rPr>
      <w:fldChar w:fldCharType="end"/>
    </w:r>
    <w:r w:rsidR="00334C1D">
      <w:rPr>
        <w:i/>
      </w:rPr>
      <w:t xml:space="preserve">            </w:t>
    </w:r>
    <w:r w:rsidRPr="002A5BF5">
      <w:rPr>
        <w:i/>
        <w:szCs w:val="22"/>
      </w:rPr>
      <w:fldChar w:fldCharType="begin"/>
    </w:r>
    <w:r w:rsidR="00334C1D" w:rsidRPr="002A5BF5">
      <w:rPr>
        <w:i/>
        <w:szCs w:val="22"/>
      </w:rPr>
      <w:instrText xml:space="preserve"> STYLEREF ShortT \* </w:instrText>
    </w:r>
    <w:r w:rsidR="00334C1D">
      <w:rPr>
        <w:i/>
        <w:szCs w:val="22"/>
      </w:rPr>
      <w:instrText>CHAR</w:instrText>
    </w:r>
    <w:r w:rsidR="00334C1D" w:rsidRPr="002A5BF5">
      <w:rPr>
        <w:i/>
        <w:szCs w:val="22"/>
      </w:rPr>
      <w:instrText xml:space="preserve">FORMAT </w:instrText>
    </w:r>
    <w:r w:rsidRPr="002A5BF5">
      <w:rPr>
        <w:i/>
        <w:szCs w:val="22"/>
      </w:rPr>
      <w:fldChar w:fldCharType="separate"/>
    </w:r>
    <w:r w:rsidR="005D220C">
      <w:rPr>
        <w:i/>
        <w:noProof/>
        <w:szCs w:val="22"/>
      </w:rPr>
      <w:t>Asian Development Bank (Additional Subscription) Act 1972</w:t>
    </w:r>
    <w:r w:rsidRPr="002A5BF5">
      <w:rPr>
        <w:i/>
        <w:szCs w:val="22"/>
      </w:rPr>
      <w:fldChar w:fldCharType="end"/>
    </w:r>
    <w:r w:rsidR="00334C1D">
      <w:rPr>
        <w:i/>
        <w:szCs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8C2ACF">
    <w:pPr>
      <w:pBdr>
        <w:top w:val="single" w:sz="6" w:space="1" w:color="auto"/>
      </w:pBdr>
      <w:spacing w:before="120"/>
      <w:rPr>
        <w:sz w:val="18"/>
      </w:rPr>
    </w:pPr>
  </w:p>
  <w:p w:rsidR="00A87342" w:rsidRPr="008C2ACF" w:rsidRDefault="00E37F51" w:rsidP="008C2ACF">
    <w:pPr>
      <w:rPr>
        <w:i/>
        <w:sz w:val="18"/>
      </w:rPr>
    </w:pPr>
    <w:r>
      <w:rPr>
        <w:i/>
        <w:sz w:val="18"/>
      </w:rPr>
      <w:fldChar w:fldCharType="begin"/>
    </w:r>
    <w:r w:rsidR="008C2ACF">
      <w:rPr>
        <w:i/>
        <w:sz w:val="18"/>
      </w:rPr>
      <w:instrText xml:space="preserve"> PAGE  \* roman </w:instrText>
    </w:r>
    <w:r>
      <w:rPr>
        <w:i/>
        <w:sz w:val="18"/>
      </w:rPr>
      <w:fldChar w:fldCharType="separate"/>
    </w:r>
    <w:r w:rsidR="00EE0C00">
      <w:rPr>
        <w:i/>
        <w:noProof/>
        <w:sz w:val="18"/>
      </w:rPr>
      <w:t>i</w:t>
    </w:r>
    <w:r>
      <w:rPr>
        <w:i/>
        <w:sz w:val="18"/>
      </w:rPr>
      <w:fldChar w:fldCharType="end"/>
    </w:r>
    <w:r w:rsidR="008C2ACF" w:rsidRPr="00ED79B6">
      <w:rPr>
        <w:i/>
        <w:sz w:val="18"/>
      </w:rPr>
      <w:t xml:space="preserve">       </w:t>
    </w:r>
    <w:r>
      <w:rPr>
        <w:i/>
        <w:sz w:val="18"/>
      </w:rPr>
      <w:fldChar w:fldCharType="begin"/>
    </w:r>
    <w:r w:rsidR="008C2ACF">
      <w:rPr>
        <w:i/>
        <w:sz w:val="18"/>
      </w:rPr>
      <w:instrText xml:space="preserve"> STYLEREF  ShortT </w:instrText>
    </w:r>
    <w:r>
      <w:rPr>
        <w:i/>
        <w:sz w:val="18"/>
      </w:rPr>
      <w:fldChar w:fldCharType="separate"/>
    </w:r>
    <w:r w:rsidR="00EE0C00">
      <w:rPr>
        <w:i/>
        <w:noProof/>
        <w:sz w:val="18"/>
      </w:rPr>
      <w:t>Asian Development Bank (Additional Subscription) Act 1977</w:t>
    </w:r>
    <w:r>
      <w:rPr>
        <w:i/>
        <w:sz w:val="18"/>
      </w:rPr>
      <w:fldChar w:fldCharType="end"/>
    </w:r>
    <w:r w:rsidR="008C2ACF" w:rsidRPr="00ED79B6">
      <w:rPr>
        <w:i/>
        <w:sz w:val="18"/>
      </w:rPr>
      <w:t xml:space="preserve">       </w:t>
    </w:r>
    <w:r>
      <w:rPr>
        <w:i/>
        <w:sz w:val="18"/>
      </w:rPr>
      <w:fldChar w:fldCharType="begin"/>
    </w:r>
    <w:r w:rsidR="008C2ACF">
      <w:rPr>
        <w:i/>
        <w:sz w:val="18"/>
      </w:rPr>
      <w:instrText xml:space="preserve"> STYLEREF  Actno </w:instrText>
    </w:r>
    <w:r>
      <w:rPr>
        <w:i/>
        <w:sz w:val="18"/>
      </w:rPr>
      <w:fldChar w:fldCharType="separate"/>
    </w:r>
    <w:r w:rsidR="00EE0C00">
      <w:rPr>
        <w:i/>
        <w:noProof/>
        <w:sz w:val="18"/>
      </w:rPr>
      <w:t>No. 21, 1977</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pPr>
      <w:pBdr>
        <w:top w:val="single" w:sz="6" w:space="1" w:color="auto"/>
      </w:pBdr>
      <w:rPr>
        <w:sz w:val="18"/>
      </w:rPr>
    </w:pPr>
  </w:p>
  <w:p w:rsidR="00A87342" w:rsidRDefault="00E37F51">
    <w:pPr>
      <w:jc w:val="right"/>
      <w:rPr>
        <w:i/>
        <w:sz w:val="18"/>
      </w:rPr>
    </w:pPr>
    <w:r>
      <w:rPr>
        <w:i/>
        <w:sz w:val="18"/>
      </w:rPr>
      <w:fldChar w:fldCharType="begin"/>
    </w:r>
    <w:r w:rsidR="00A87342">
      <w:rPr>
        <w:i/>
        <w:sz w:val="18"/>
      </w:rPr>
      <w:instrText xml:space="preserve"> STYLEREF ShortT </w:instrText>
    </w:r>
    <w:r>
      <w:rPr>
        <w:i/>
        <w:sz w:val="18"/>
      </w:rPr>
      <w:fldChar w:fldCharType="separate"/>
    </w:r>
    <w:r w:rsidR="00B62759">
      <w:rPr>
        <w:i/>
        <w:noProof/>
        <w:sz w:val="18"/>
      </w:rPr>
      <w:t>Asian Development Bank (Additional Subscription) Act 1977</w:t>
    </w:r>
    <w:r>
      <w:rPr>
        <w:i/>
        <w:sz w:val="18"/>
      </w:rPr>
      <w:fldChar w:fldCharType="end"/>
    </w:r>
    <w:r w:rsidR="00A87342">
      <w:rPr>
        <w:i/>
        <w:sz w:val="18"/>
      </w:rPr>
      <w:t xml:space="preserve">       </w:t>
    </w:r>
    <w:r>
      <w:rPr>
        <w:i/>
        <w:sz w:val="18"/>
      </w:rPr>
      <w:fldChar w:fldCharType="begin"/>
    </w:r>
    <w:r w:rsidR="00A87342">
      <w:rPr>
        <w:i/>
        <w:sz w:val="18"/>
      </w:rPr>
      <w:instrText xml:space="preserve"> STYLEREF Actno </w:instrText>
    </w:r>
    <w:r>
      <w:rPr>
        <w:i/>
        <w:sz w:val="18"/>
      </w:rPr>
      <w:fldChar w:fldCharType="separate"/>
    </w:r>
    <w:r w:rsidR="00B62759">
      <w:rPr>
        <w:i/>
        <w:noProof/>
        <w:sz w:val="18"/>
      </w:rPr>
      <w:t>No. 21, 1977</w:t>
    </w:r>
    <w:r>
      <w:rPr>
        <w:i/>
        <w:sz w:val="18"/>
      </w:rPr>
      <w:fldChar w:fldCharType="end"/>
    </w:r>
    <w:r w:rsidR="00A87342">
      <w:rPr>
        <w:i/>
        <w:sz w:val="18"/>
      </w:rPr>
      <w:t xml:space="preserve">       </w:t>
    </w:r>
    <w:r>
      <w:rPr>
        <w:i/>
        <w:sz w:val="18"/>
      </w:rPr>
      <w:fldChar w:fldCharType="begin"/>
    </w:r>
    <w:r w:rsidR="00A87342">
      <w:rPr>
        <w:i/>
        <w:sz w:val="18"/>
      </w:rPr>
      <w:instrText xml:space="preserve"> PAGE </w:instrText>
    </w:r>
    <w:r>
      <w:rPr>
        <w:i/>
        <w:sz w:val="18"/>
      </w:rPr>
      <w:fldChar w:fldCharType="separate"/>
    </w:r>
    <w:r w:rsidR="00B62759">
      <w:rPr>
        <w:i/>
        <w:noProof/>
        <w:sz w:val="18"/>
      </w:rPr>
      <w:t>1</w:t>
    </w:r>
    <w:r>
      <w:rPr>
        <w:i/>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Pr="00ED79B6" w:rsidRDefault="00B62759" w:rsidP="00B62759">
    <w:pPr>
      <w:pBdr>
        <w:top w:val="single" w:sz="6" w:space="1" w:color="auto"/>
      </w:pBdr>
      <w:jc w:val="right"/>
      <w:rPr>
        <w:webHidden/>
        <w:sz w:val="18"/>
        <w:szCs w:val="18"/>
      </w:rPr>
    </w:pPr>
  </w:p>
  <w:p w:rsidR="00B62759" w:rsidRPr="00B62759" w:rsidRDefault="00B62759" w:rsidP="00B62759">
    <w:pPr>
      <w:rPr>
        <w:i/>
        <w:sz w:val="18"/>
        <w:szCs w:val="18"/>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EE0C00">
      <w:rPr>
        <w:i/>
        <w:noProof/>
        <w:webHidden/>
        <w:sz w:val="18"/>
        <w:szCs w:val="18"/>
      </w:rPr>
      <w:t>2</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ShortT </w:instrText>
    </w:r>
    <w:r w:rsidRPr="00ED79B6">
      <w:rPr>
        <w:i/>
        <w:webHidden/>
        <w:sz w:val="18"/>
        <w:szCs w:val="18"/>
      </w:rPr>
      <w:fldChar w:fldCharType="separate"/>
    </w:r>
    <w:r w:rsidR="00EE0C00">
      <w:rPr>
        <w:i/>
        <w:noProof/>
        <w:webHidden/>
        <w:sz w:val="18"/>
        <w:szCs w:val="18"/>
      </w:rPr>
      <w:t>Asian Development Bank (Additional Subscription) Act 1977</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Actno </w:instrText>
    </w:r>
    <w:r w:rsidRPr="00ED79B6">
      <w:rPr>
        <w:i/>
        <w:webHidden/>
        <w:sz w:val="18"/>
        <w:szCs w:val="18"/>
      </w:rPr>
      <w:fldChar w:fldCharType="separate"/>
    </w:r>
    <w:r w:rsidR="00EE0C00">
      <w:rPr>
        <w:i/>
        <w:noProof/>
        <w:webHidden/>
        <w:sz w:val="18"/>
        <w:szCs w:val="18"/>
      </w:rPr>
      <w:t>No. 21, 1977</w:t>
    </w:r>
    <w:r w:rsidRPr="00ED79B6">
      <w:rPr>
        <w:i/>
        <w:webHidden/>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Pr="00ED79B6" w:rsidRDefault="00B62759" w:rsidP="00B62759">
    <w:pPr>
      <w:pBdr>
        <w:top w:val="single" w:sz="6" w:space="1" w:color="auto"/>
      </w:pBdr>
      <w:rPr>
        <w:webHidden/>
        <w:sz w:val="18"/>
        <w:szCs w:val="18"/>
      </w:rPr>
    </w:pPr>
  </w:p>
  <w:p w:rsidR="00B62759" w:rsidRPr="00B62759" w:rsidRDefault="00B62759" w:rsidP="00B62759">
    <w:pPr>
      <w:jc w:val="right"/>
      <w:rPr>
        <w:i/>
        <w:sz w:val="18"/>
        <w:szCs w:val="18"/>
      </w:rPr>
    </w:pPr>
    <w:r>
      <w:rPr>
        <w:i/>
        <w:webHidden/>
        <w:sz w:val="18"/>
        <w:szCs w:val="18"/>
      </w:rPr>
      <w:fldChar w:fldCharType="begin"/>
    </w:r>
    <w:r>
      <w:rPr>
        <w:i/>
        <w:webHidden/>
        <w:sz w:val="18"/>
        <w:szCs w:val="18"/>
      </w:rPr>
      <w:instrText xml:space="preserve"> STYLEREF  ShortT </w:instrText>
    </w:r>
    <w:r>
      <w:rPr>
        <w:i/>
        <w:webHidden/>
        <w:sz w:val="18"/>
        <w:szCs w:val="18"/>
      </w:rPr>
      <w:fldChar w:fldCharType="separate"/>
    </w:r>
    <w:r w:rsidR="00EE0C00">
      <w:rPr>
        <w:i/>
        <w:noProof/>
        <w:webHidden/>
        <w:sz w:val="18"/>
        <w:szCs w:val="18"/>
      </w:rPr>
      <w:t>Asian Development Bank (Additional Subscription) Act 1977</w:t>
    </w:r>
    <w:r>
      <w:rPr>
        <w:i/>
        <w:webHidden/>
        <w:sz w:val="18"/>
        <w:szCs w:val="18"/>
      </w:rPr>
      <w:fldChar w:fldCharType="end"/>
    </w:r>
    <w:r w:rsidRPr="00ED79B6">
      <w:rPr>
        <w:i/>
        <w:webHidden/>
        <w:sz w:val="18"/>
        <w:szCs w:val="18"/>
      </w:rPr>
      <w:t xml:space="preserve">       </w:t>
    </w:r>
    <w:r>
      <w:rPr>
        <w:i/>
        <w:webHidden/>
        <w:sz w:val="18"/>
        <w:szCs w:val="18"/>
      </w:rPr>
      <w:fldChar w:fldCharType="begin"/>
    </w:r>
    <w:r>
      <w:rPr>
        <w:i/>
        <w:webHidden/>
        <w:sz w:val="18"/>
        <w:szCs w:val="18"/>
      </w:rPr>
      <w:instrText xml:space="preserve"> STYLEREF  Actno </w:instrText>
    </w:r>
    <w:r>
      <w:rPr>
        <w:i/>
        <w:webHidden/>
        <w:sz w:val="18"/>
        <w:szCs w:val="18"/>
      </w:rPr>
      <w:fldChar w:fldCharType="separate"/>
    </w:r>
    <w:r w:rsidR="00EE0C00">
      <w:rPr>
        <w:i/>
        <w:noProof/>
        <w:webHidden/>
        <w:sz w:val="18"/>
        <w:szCs w:val="18"/>
      </w:rPr>
      <w:t>No. 21, 1977</w:t>
    </w:r>
    <w:r>
      <w:rPr>
        <w:i/>
        <w:webHidden/>
        <w:sz w:val="18"/>
        <w:szCs w:val="18"/>
      </w:rPr>
      <w:fldChar w:fldCharType="end"/>
    </w:r>
    <w:r>
      <w:rPr>
        <w:i/>
        <w:webHidden/>
        <w:sz w:val="18"/>
        <w:szCs w:val="18"/>
      </w:rPr>
      <w:t xml:space="preserve">       </w:t>
    </w: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EE0C00">
      <w:rPr>
        <w:i/>
        <w:noProof/>
        <w:webHidden/>
        <w:sz w:val="18"/>
        <w:szCs w:val="18"/>
      </w:rPr>
      <w:t>5</w:t>
    </w:r>
    <w:r w:rsidRPr="00ED79B6">
      <w:rPr>
        <w:i/>
        <w:webHidden/>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Default="00B62759" w:rsidP="00B62759">
    <w:pPr>
      <w:pBdr>
        <w:top w:val="single" w:sz="6" w:space="1" w:color="auto"/>
      </w:pBdr>
      <w:rPr>
        <w:sz w:val="18"/>
      </w:rPr>
    </w:pPr>
  </w:p>
  <w:p w:rsidR="00B62759" w:rsidRPr="00B62759" w:rsidRDefault="00B62759" w:rsidP="00B62759">
    <w:pPr>
      <w:jc w:val="right"/>
      <w:rPr>
        <w:i/>
        <w:sz w:val="18"/>
      </w:rPr>
    </w:pPr>
    <w:r>
      <w:rPr>
        <w:i/>
        <w:sz w:val="18"/>
      </w:rPr>
      <w:fldChar w:fldCharType="begin"/>
    </w:r>
    <w:r>
      <w:rPr>
        <w:i/>
        <w:sz w:val="18"/>
      </w:rPr>
      <w:instrText xml:space="preserve"> STYLEREF ShortT </w:instrText>
    </w:r>
    <w:r>
      <w:rPr>
        <w:i/>
        <w:sz w:val="18"/>
      </w:rPr>
      <w:fldChar w:fldCharType="separate"/>
    </w:r>
    <w:r w:rsidR="00EE0C00">
      <w:rPr>
        <w:i/>
        <w:noProof/>
        <w:sz w:val="18"/>
      </w:rPr>
      <w:t>Asian Development Bank (Additional Subscription) Act 1977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EE0C00">
      <w:rPr>
        <w:i/>
        <w:noProof/>
        <w:sz w:val="18"/>
      </w:rPr>
      <w:t>No. 21, 1977</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EE0C00">
      <w:rPr>
        <w:i/>
        <w:noProof/>
        <w:sz w:val="18"/>
      </w:rPr>
      <w:t>1</w:t>
    </w:r>
    <w:r>
      <w:rPr>
        <w:i/>
        <w:sz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Pr="00ED79B6" w:rsidRDefault="00B62759" w:rsidP="00B62759">
    <w:pPr>
      <w:pBdr>
        <w:top w:val="single" w:sz="6" w:space="1" w:color="auto"/>
      </w:pBdr>
      <w:jc w:val="right"/>
      <w:rPr>
        <w:webHidden/>
        <w:sz w:val="18"/>
        <w:szCs w:val="18"/>
      </w:rPr>
    </w:pPr>
  </w:p>
  <w:p w:rsidR="00B62759" w:rsidRPr="00B62759" w:rsidRDefault="00B62759" w:rsidP="00B62759">
    <w:pPr>
      <w:rPr>
        <w:i/>
        <w:sz w:val="18"/>
        <w:szCs w:val="18"/>
      </w:rPr>
    </w:pPr>
    <w:r w:rsidRPr="00ED79B6">
      <w:rPr>
        <w:i/>
        <w:webHidden/>
        <w:sz w:val="18"/>
        <w:szCs w:val="18"/>
      </w:rPr>
      <w:fldChar w:fldCharType="begin"/>
    </w:r>
    <w:r w:rsidRPr="00ED79B6">
      <w:rPr>
        <w:i/>
        <w:webHidden/>
        <w:sz w:val="18"/>
        <w:szCs w:val="18"/>
      </w:rPr>
      <w:instrText xml:space="preserve"> PAGE </w:instrText>
    </w:r>
    <w:r w:rsidRPr="00ED79B6">
      <w:rPr>
        <w:i/>
        <w:webHidden/>
        <w:sz w:val="18"/>
        <w:szCs w:val="18"/>
      </w:rPr>
      <w:fldChar w:fldCharType="separate"/>
    </w:r>
    <w:r w:rsidR="00EE0C00">
      <w:rPr>
        <w:i/>
        <w:noProof/>
        <w:webHidden/>
        <w:sz w:val="18"/>
        <w:szCs w:val="18"/>
      </w:rPr>
      <w:t>6</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ShortT </w:instrText>
    </w:r>
    <w:r w:rsidRPr="00ED79B6">
      <w:rPr>
        <w:i/>
        <w:webHidden/>
        <w:sz w:val="18"/>
        <w:szCs w:val="18"/>
      </w:rPr>
      <w:fldChar w:fldCharType="separate"/>
    </w:r>
    <w:r w:rsidR="00EE0C00">
      <w:rPr>
        <w:i/>
        <w:noProof/>
        <w:webHidden/>
        <w:sz w:val="18"/>
        <w:szCs w:val="18"/>
      </w:rPr>
      <w:t>Asian Development Bank (Additional Subscription) Act 1977</w:t>
    </w:r>
    <w:r w:rsidRPr="00ED79B6">
      <w:rPr>
        <w:i/>
        <w:webHidden/>
        <w:sz w:val="18"/>
        <w:szCs w:val="18"/>
      </w:rPr>
      <w:fldChar w:fldCharType="end"/>
    </w:r>
    <w:r w:rsidRPr="00ED79B6">
      <w:rPr>
        <w:i/>
        <w:webHidden/>
        <w:sz w:val="18"/>
        <w:szCs w:val="18"/>
      </w:rPr>
      <w:t xml:space="preserve">       </w:t>
    </w:r>
    <w:r w:rsidRPr="00ED79B6">
      <w:rPr>
        <w:i/>
        <w:webHidden/>
        <w:sz w:val="18"/>
        <w:szCs w:val="18"/>
      </w:rPr>
      <w:fldChar w:fldCharType="begin"/>
    </w:r>
    <w:r w:rsidRPr="00ED79B6">
      <w:rPr>
        <w:i/>
        <w:webHidden/>
        <w:sz w:val="18"/>
        <w:szCs w:val="18"/>
      </w:rPr>
      <w:instrText xml:space="preserve"> STYLEREF Actno </w:instrText>
    </w:r>
    <w:r w:rsidRPr="00ED79B6">
      <w:rPr>
        <w:i/>
        <w:webHidden/>
        <w:sz w:val="18"/>
        <w:szCs w:val="18"/>
      </w:rPr>
      <w:fldChar w:fldCharType="separate"/>
    </w:r>
    <w:r w:rsidR="00EE0C00">
      <w:rPr>
        <w:i/>
        <w:noProof/>
        <w:webHidden/>
        <w:sz w:val="18"/>
        <w:szCs w:val="18"/>
      </w:rPr>
      <w:t>No. 21, 1977</w:t>
    </w:r>
    <w:r w:rsidRPr="00ED79B6">
      <w:rPr>
        <w:i/>
        <w:webHidde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E37F51"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E37F51"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8F" w:rsidRDefault="0059018F" w:rsidP="00CA01CE">
      <w:r>
        <w:separator/>
      </w:r>
    </w:p>
  </w:footnote>
  <w:footnote w:type="continuationSeparator" w:id="0">
    <w:p w:rsidR="0059018F" w:rsidRDefault="0059018F"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8C6D62" w:rsidRDefault="00334C1D">
    <w:pPr>
      <w:keepNext/>
      <w:rPr>
        <w:sz w:val="20"/>
        <w:szCs w:val="20"/>
      </w:rPr>
    </w:pPr>
  </w:p>
  <w:p w:rsidR="00334C1D" w:rsidRPr="008C6D62" w:rsidRDefault="00334C1D">
    <w:pPr>
      <w:keepNext/>
      <w:rPr>
        <w:sz w:val="20"/>
        <w:szCs w:val="20"/>
      </w:rPr>
    </w:pPr>
  </w:p>
  <w:p w:rsidR="00334C1D" w:rsidRPr="008C6D62" w:rsidRDefault="00334C1D">
    <w:pPr>
      <w:keepNext/>
      <w:rPr>
        <w:sz w:val="20"/>
        <w:szCs w:val="20"/>
      </w:rPr>
    </w:pPr>
  </w:p>
  <w:p w:rsidR="00334C1D" w:rsidRPr="00E140E4" w:rsidRDefault="00334C1D">
    <w:pPr>
      <w:keepNext/>
    </w:pPr>
  </w:p>
  <w:p w:rsidR="00334C1D" w:rsidRPr="00E140E4" w:rsidRDefault="00334C1D">
    <w:pPr>
      <w:keepNext/>
    </w:pPr>
  </w:p>
  <w:p w:rsidR="00334C1D" w:rsidRPr="008C6D62" w:rsidRDefault="00334C1D">
    <w:pPr>
      <w:pStyle w:val="Header"/>
      <w:pBdr>
        <w:top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Pr="00E140E4" w:rsidRDefault="00B62759">
    <w:pPr>
      <w:keepNext/>
      <w:jc w:val="right"/>
      <w:rPr>
        <w:sz w:val="20"/>
        <w:szCs w:val="20"/>
      </w:rPr>
    </w:pPr>
  </w:p>
  <w:p w:rsidR="00B62759" w:rsidRPr="00E140E4" w:rsidRDefault="00B62759">
    <w:pPr>
      <w:keepNext/>
      <w:jc w:val="right"/>
      <w:rPr>
        <w:sz w:val="20"/>
        <w:szCs w:val="20"/>
      </w:rPr>
    </w:pPr>
    <w:r>
      <w:rPr>
        <w:sz w:val="20"/>
        <w:szCs w:val="20"/>
      </w:rPr>
      <w:fldChar w:fldCharType="begin"/>
    </w:r>
    <w:r>
      <w:rPr>
        <w:sz w:val="20"/>
        <w:szCs w:val="20"/>
      </w:rPr>
      <w:instrText xml:space="preserve"> STYLEREF  CharNotesReg  \* CHARFORMAT </w:instrText>
    </w:r>
    <w:r>
      <w:rPr>
        <w:sz w:val="20"/>
        <w:szCs w:val="20"/>
      </w:rPr>
      <w:fldChar w:fldCharType="separate"/>
    </w:r>
    <w:r>
      <w:rPr>
        <w:noProof/>
        <w:sz w:val="20"/>
        <w:szCs w:val="20"/>
      </w:rPr>
      <w:t>Notes to the</w:t>
    </w:r>
    <w:r>
      <w:rPr>
        <w:sz w:val="20"/>
        <w:szCs w:val="20"/>
      </w:rPr>
      <w:fldChar w:fldCharType="end"/>
    </w:r>
    <w:r>
      <w:rPr>
        <w:sz w:val="20"/>
        <w:szCs w:val="20"/>
      </w:rPr>
      <w:t xml:space="preserve">  </w:t>
    </w:r>
    <w:r w:rsidRPr="00CD4700">
      <w:rPr>
        <w:i/>
        <w:sz w:val="20"/>
        <w:szCs w:val="20"/>
      </w:rPr>
      <w:fldChar w:fldCharType="begin"/>
    </w:r>
    <w:r w:rsidRPr="00CD4700">
      <w:rPr>
        <w:i/>
        <w:sz w:val="20"/>
        <w:szCs w:val="20"/>
      </w:rPr>
      <w:instrText xml:space="preserve"> STYLEREF  CharNotesItals  \* CHARFORMAT </w:instrText>
    </w:r>
    <w:r w:rsidRPr="00CD4700">
      <w:rPr>
        <w:i/>
        <w:sz w:val="20"/>
        <w:szCs w:val="20"/>
      </w:rPr>
      <w:fldChar w:fldCharType="separate"/>
    </w:r>
    <w:r>
      <w:rPr>
        <w:i/>
        <w:noProof/>
        <w:sz w:val="20"/>
        <w:szCs w:val="20"/>
      </w:rPr>
      <w:t>^Act citation^</w:t>
    </w:r>
    <w:r w:rsidRPr="00CD4700">
      <w:rPr>
        <w:i/>
        <w:sz w:val="20"/>
        <w:szCs w:val="20"/>
      </w:rPr>
      <w:fldChar w:fldCharType="end"/>
    </w:r>
  </w:p>
  <w:p w:rsidR="00B62759" w:rsidRPr="008C6D62" w:rsidRDefault="00B62759">
    <w:pPr>
      <w:keepNext/>
      <w:jc w:val="right"/>
      <w:rPr>
        <w:sz w:val="20"/>
        <w:szCs w:val="20"/>
      </w:rPr>
    </w:pPr>
  </w:p>
  <w:p w:rsidR="00B62759" w:rsidRPr="00E140E4" w:rsidRDefault="00B62759">
    <w:pPr>
      <w:keepNext/>
      <w:jc w:val="right"/>
    </w:pPr>
  </w:p>
  <w:p w:rsidR="00B62759" w:rsidRPr="006E3759" w:rsidRDefault="00B62759">
    <w:pPr>
      <w:keepNext/>
      <w:jc w:val="right"/>
      <w:rPr>
        <w:rFonts w:ascii="Helvetica" w:hAnsi="Helvetica"/>
        <w:b/>
      </w:rPr>
    </w:pPr>
    <w:r>
      <w:rPr>
        <w:rFonts w:ascii="Helvetica" w:hAnsi="Helvetica"/>
        <w:b/>
      </w:rPr>
      <w:fldChar w:fldCharType="begin"/>
    </w:r>
    <w:r>
      <w:rPr>
        <w:rFonts w:ascii="Helvetica" w:hAnsi="Helvetica"/>
        <w:b/>
      </w:rPr>
      <w:instrText xml:space="preserve"> STYLEREF  ENoteNo \* CHARFORMAT </w:instrText>
    </w:r>
    <w:r>
      <w:rPr>
        <w:rFonts w:ascii="Helvetica" w:hAnsi="Helvetica"/>
        <w:b/>
      </w:rPr>
      <w:fldChar w:fldCharType="separate"/>
    </w:r>
    <w:r>
      <w:rPr>
        <w:rFonts w:ascii="Helvetica" w:hAnsi="Helvetica"/>
        <w:b/>
        <w:noProof/>
      </w:rPr>
      <w:t>Note 1</w:t>
    </w:r>
    <w:r>
      <w:rPr>
        <w:rFonts w:ascii="Helvetica" w:hAnsi="Helvetica"/>
        <w:b/>
      </w:rPr>
      <w:fldChar w:fldCharType="end"/>
    </w:r>
  </w:p>
  <w:p w:rsidR="00B62759" w:rsidRPr="008C6D62" w:rsidRDefault="00B62759">
    <w:pPr>
      <w:pStyle w:val="Header"/>
      <w:pBdr>
        <w:top w:val="single" w:sz="12"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E37F51"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E37F51">
      <w:rPr>
        <w:b/>
        <w:webHidden/>
        <w:sz w:val="20"/>
        <w:szCs w:val="20"/>
      </w:rPr>
      <w:fldChar w:fldCharType="begin"/>
    </w:r>
    <w:r>
      <w:rPr>
        <w:b/>
        <w:webHidden/>
        <w:sz w:val="20"/>
        <w:szCs w:val="20"/>
      </w:rPr>
      <w:instrText xml:space="preserve"> STYLEREF  CharChapNo </w:instrText>
    </w:r>
    <w:r w:rsidR="00E37F51">
      <w:rPr>
        <w:b/>
        <w:webHidden/>
        <w:sz w:val="20"/>
        <w:szCs w:val="20"/>
      </w:rPr>
      <w:fldChar w:fldCharType="separate"/>
    </w:r>
    <w:r>
      <w:rPr>
        <w:b/>
        <w:noProof/>
        <w:webHidden/>
        <w:sz w:val="20"/>
        <w:szCs w:val="20"/>
      </w:rPr>
      <w:t>The Schedule</w:t>
    </w:r>
    <w:r w:rsidR="00E37F51">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pPr>
      <w:pStyle w:val="headerpartodd0"/>
      <w:jc w:val="right"/>
    </w:pPr>
  </w:p>
  <w:p w:rsidR="00A87342" w:rsidRDefault="00A87342">
    <w:pPr>
      <w:pStyle w:val="headerpartodd0"/>
      <w:jc w:val="right"/>
      <w:rPr>
        <w:i/>
      </w:rPr>
    </w:pPr>
  </w:p>
  <w:p w:rsidR="00A87342" w:rsidRDefault="00A87342">
    <w:pPr>
      <w:pStyle w:val="headerpartodd0"/>
      <w:jc w:val="right"/>
    </w:pPr>
  </w:p>
  <w:p w:rsidR="00A87342" w:rsidRDefault="00A87342">
    <w:pPr>
      <w:pStyle w:val="headerpartodd0"/>
      <w:jc w:val="right"/>
      <w:rPr>
        <w:sz w:val="24"/>
      </w:rPr>
    </w:pPr>
  </w:p>
  <w:p w:rsidR="00A87342" w:rsidRDefault="00A87342">
    <w:pPr>
      <w:pStyle w:val="headerpartodd0"/>
      <w:pBdr>
        <w:bottom w:val="single" w:sz="6" w:space="1" w:color="auto"/>
      </w:pBdr>
      <w:jc w:val="right"/>
      <w:rPr>
        <w:i/>
        <w:sz w:val="24"/>
      </w:rPr>
    </w:pPr>
  </w:p>
  <w:p w:rsidR="00A87342" w:rsidRDefault="00A87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11" w:rsidRPr="00ED79B6" w:rsidRDefault="00D67A11" w:rsidP="00D67A11">
    <w:pPr>
      <w:pBdr>
        <w:bottom w:val="single" w:sz="12"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342" w:rsidRDefault="00A8734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Pr="00FF4C0F" w:rsidRDefault="00B62759">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p>
  <w:p w:rsidR="00B62759" w:rsidRPr="00FF4C0F" w:rsidRDefault="00B62759">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CharPartNo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p>
  <w:p w:rsidR="00B62759" w:rsidRPr="00FF4C0F" w:rsidRDefault="00B62759">
    <w:pPr>
      <w:keepNext/>
      <w:rPr>
        <w:sz w:val="20"/>
        <w:szCs w:val="20"/>
      </w:rPr>
    </w:pP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p>
  <w:p w:rsidR="00B62759" w:rsidRPr="00E140E4" w:rsidRDefault="00B62759">
    <w:pPr>
      <w:keepNext/>
      <w:rPr>
        <w:sz w:val="24"/>
      </w:rPr>
    </w:pPr>
  </w:p>
  <w:p w:rsidR="00B62759" w:rsidRPr="00E140E4" w:rsidRDefault="00B62759">
    <w:pPr>
      <w:keepNext/>
      <w:rPr>
        <w:b/>
        <w:sz w:val="24"/>
      </w:rPr>
    </w:pPr>
    <w:r w:rsidRPr="00E140E4">
      <w:rPr>
        <w:sz w:val="24"/>
      </w:rPr>
      <w:t>Section</w:t>
    </w:r>
    <w:r w:rsidRPr="00FF4C0F">
      <w:rPr>
        <w:sz w:val="24"/>
      </w:rPr>
      <w:t xml:space="preserve"> </w:t>
    </w:r>
    <w:r w:rsidRPr="00FF4C0F">
      <w:rPr>
        <w:sz w:val="24"/>
      </w:rPr>
      <w:fldChar w:fldCharType="begin"/>
    </w:r>
    <w:r w:rsidRPr="00FF4C0F">
      <w:rPr>
        <w:sz w:val="24"/>
      </w:rPr>
      <w:instrText xml:space="preserve"> STYLEREF  CharSectno  \* CHARFORMAT </w:instrText>
    </w:r>
    <w:r w:rsidRPr="00FF4C0F">
      <w:rPr>
        <w:sz w:val="24"/>
      </w:rPr>
      <w:fldChar w:fldCharType="separate"/>
    </w:r>
    <w:r w:rsidR="00EE0C00">
      <w:rPr>
        <w:noProof/>
        <w:sz w:val="24"/>
      </w:rPr>
      <w:t>2</w:t>
    </w:r>
    <w:r w:rsidRPr="00FF4C0F">
      <w:rPr>
        <w:sz w:val="24"/>
      </w:rPr>
      <w:fldChar w:fldCharType="end"/>
    </w:r>
  </w:p>
  <w:p w:rsidR="00B62759" w:rsidRPr="00E140E4" w:rsidRDefault="00B62759">
    <w:pPr>
      <w:pStyle w:val="Header"/>
      <w:pBdr>
        <w:top w:val="single" w:sz="6"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Pr="00FF4C0F" w:rsidRDefault="00B62759">
    <w:pPr>
      <w:keepNext/>
      <w:jc w:val="right"/>
      <w:rPr>
        <w:sz w:val="20"/>
        <w:szCs w:val="20"/>
      </w:rPr>
    </w:pPr>
    <w:r w:rsidRPr="00FF4C0F">
      <w:rPr>
        <w:sz w:val="20"/>
        <w:szCs w:val="20"/>
      </w:rPr>
      <w:fldChar w:fldCharType="begin"/>
    </w:r>
    <w:r w:rsidRPr="00FF4C0F">
      <w:rPr>
        <w:sz w:val="20"/>
        <w:szCs w:val="20"/>
      </w:rPr>
      <w:instrText xml:space="preserve"> STYLEREF  CharChapText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CharChapNo  \* CHARFORMAT </w:instrText>
    </w:r>
    <w:r w:rsidRPr="00FF4C0F">
      <w:rPr>
        <w:sz w:val="20"/>
        <w:szCs w:val="20"/>
      </w:rPr>
      <w:fldChar w:fldCharType="end"/>
    </w:r>
  </w:p>
  <w:p w:rsidR="00B62759" w:rsidRPr="00FF4C0F" w:rsidRDefault="00B62759">
    <w:pPr>
      <w:keepNext/>
      <w:jc w:val="right"/>
      <w:rPr>
        <w:sz w:val="20"/>
        <w:szCs w:val="20"/>
      </w:rPr>
    </w:pPr>
    <w:r w:rsidRPr="00FF4C0F">
      <w:rPr>
        <w:sz w:val="20"/>
        <w:szCs w:val="20"/>
      </w:rPr>
      <w:fldChar w:fldCharType="begin"/>
    </w:r>
    <w:r w:rsidRPr="00FF4C0F">
      <w:rPr>
        <w:sz w:val="20"/>
        <w:szCs w:val="20"/>
      </w:rPr>
      <w:instrText xml:space="preserve"> STYLEREF  CharPartText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b/>
        <w:sz w:val="20"/>
        <w:szCs w:val="20"/>
      </w:rPr>
      <w:instrText xml:space="preserve"> S</w:instrText>
    </w:r>
    <w:r w:rsidRPr="00FF4C0F">
      <w:rPr>
        <w:sz w:val="20"/>
        <w:szCs w:val="20"/>
      </w:rPr>
      <w:instrText xml:space="preserve">TYLEREF  CharPartNo  \* CHARFORMAT </w:instrText>
    </w:r>
    <w:r w:rsidRPr="00FF4C0F">
      <w:rPr>
        <w:sz w:val="20"/>
        <w:szCs w:val="20"/>
      </w:rPr>
      <w:fldChar w:fldCharType="end"/>
    </w:r>
  </w:p>
  <w:p w:rsidR="00B62759" w:rsidRPr="00FF4C0F" w:rsidRDefault="00B62759">
    <w:pPr>
      <w:keepNext/>
      <w:jc w:val="right"/>
      <w:rPr>
        <w:sz w:val="20"/>
        <w:szCs w:val="20"/>
      </w:rPr>
    </w:pPr>
    <w:r w:rsidRPr="00FF4C0F">
      <w:rPr>
        <w:sz w:val="20"/>
        <w:szCs w:val="20"/>
      </w:rPr>
      <w:fldChar w:fldCharType="begin"/>
    </w:r>
    <w:r w:rsidRPr="00FF4C0F">
      <w:rPr>
        <w:sz w:val="20"/>
        <w:szCs w:val="20"/>
      </w:rPr>
      <w:instrText xml:space="preserve"> STYLEREF  CharDivText  \* CHARFORMAT </w:instrText>
    </w:r>
    <w:r w:rsidRPr="00FF4C0F">
      <w:rPr>
        <w:sz w:val="20"/>
        <w:szCs w:val="20"/>
      </w:rPr>
      <w:fldChar w:fldCharType="end"/>
    </w:r>
    <w:r w:rsidRPr="00FF4C0F">
      <w:rPr>
        <w:sz w:val="20"/>
        <w:szCs w:val="20"/>
      </w:rPr>
      <w:t xml:space="preserve">  </w:t>
    </w:r>
    <w:r w:rsidRPr="00FF4C0F">
      <w:rPr>
        <w:sz w:val="20"/>
        <w:szCs w:val="20"/>
      </w:rPr>
      <w:fldChar w:fldCharType="begin"/>
    </w:r>
    <w:r w:rsidRPr="00FF4C0F">
      <w:rPr>
        <w:sz w:val="20"/>
        <w:szCs w:val="20"/>
      </w:rPr>
      <w:instrText xml:space="preserve"> </w:instrText>
    </w:r>
    <w:r w:rsidRPr="00FF4C0F">
      <w:rPr>
        <w:b/>
        <w:sz w:val="20"/>
        <w:szCs w:val="20"/>
      </w:rPr>
      <w:instrText>S</w:instrText>
    </w:r>
    <w:r w:rsidRPr="00FF4C0F">
      <w:rPr>
        <w:sz w:val="20"/>
        <w:szCs w:val="20"/>
      </w:rPr>
      <w:instrText xml:space="preserve">TYLEREF  CharDivNo  \* CHARFORMAT </w:instrText>
    </w:r>
    <w:r w:rsidRPr="00FF4C0F">
      <w:rPr>
        <w:sz w:val="20"/>
        <w:szCs w:val="20"/>
      </w:rPr>
      <w:fldChar w:fldCharType="end"/>
    </w:r>
  </w:p>
  <w:p w:rsidR="00B62759" w:rsidRPr="00E140E4" w:rsidRDefault="00B62759">
    <w:pPr>
      <w:keepNext/>
      <w:jc w:val="right"/>
      <w:rPr>
        <w:sz w:val="24"/>
      </w:rPr>
    </w:pPr>
  </w:p>
  <w:p w:rsidR="00B62759" w:rsidRPr="0037294E" w:rsidRDefault="00B62759">
    <w:pPr>
      <w:keepNext/>
      <w:jc w:val="right"/>
      <w:rPr>
        <w:sz w:val="24"/>
      </w:rPr>
    </w:pPr>
    <w:r>
      <w:rPr>
        <w:sz w:val="24"/>
      </w:rPr>
      <w:t>Sectio</w:t>
    </w:r>
    <w:r w:rsidRPr="0037294E">
      <w:rPr>
        <w:sz w:val="24"/>
      </w:rPr>
      <w:t xml:space="preserve">n </w:t>
    </w:r>
    <w:r w:rsidRPr="00FF4C0F">
      <w:rPr>
        <w:sz w:val="24"/>
      </w:rPr>
      <w:fldChar w:fldCharType="begin"/>
    </w:r>
    <w:r w:rsidRPr="00FF4C0F">
      <w:rPr>
        <w:sz w:val="24"/>
      </w:rPr>
      <w:instrText xml:space="preserve"> STYLEREF  CharSectno  \* CHARFORMAT </w:instrText>
    </w:r>
    <w:r w:rsidRPr="00FF4C0F">
      <w:rPr>
        <w:sz w:val="24"/>
      </w:rPr>
      <w:fldChar w:fldCharType="separate"/>
    </w:r>
    <w:r w:rsidR="00EE0C00">
      <w:rPr>
        <w:noProof/>
        <w:sz w:val="24"/>
      </w:rPr>
      <w:t>6</w:t>
    </w:r>
    <w:r w:rsidRPr="00FF4C0F">
      <w:rPr>
        <w:sz w:val="24"/>
      </w:rPr>
      <w:fldChar w:fldCharType="end"/>
    </w:r>
  </w:p>
  <w:p w:rsidR="00B62759" w:rsidRPr="008C6D62" w:rsidRDefault="00B62759">
    <w:pPr>
      <w:pStyle w:val="Header"/>
      <w:pBdr>
        <w:top w:val="single" w:sz="6" w:space="1" w:color="auto"/>
      </w:pBd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Pr="00B62759" w:rsidRDefault="00B62759" w:rsidP="00B6275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Default="00B62759" w:rsidP="00B62759">
    <w:pPr>
      <w:rPr>
        <w:webHidden/>
        <w:sz w:val="20"/>
        <w:szCs w:val="20"/>
      </w:rPr>
    </w:pPr>
    <w:r>
      <w:rPr>
        <w:b/>
        <w:webHidden/>
        <w:sz w:val="20"/>
        <w:szCs w:val="20"/>
      </w:rPr>
      <w:fldChar w:fldCharType="begin"/>
    </w:r>
    <w:r>
      <w:rPr>
        <w:b/>
        <w:webHidden/>
        <w:sz w:val="20"/>
        <w:szCs w:val="20"/>
      </w:rPr>
      <w:instrText xml:space="preserve"> STYLEREF CharChapNo </w:instrText>
    </w:r>
    <w:r>
      <w:rPr>
        <w:b/>
        <w:webHidden/>
        <w:sz w:val="20"/>
        <w:szCs w:val="20"/>
      </w:rPr>
      <w:fldChar w:fldCharType="separate"/>
    </w:r>
    <w:r w:rsidR="00EE0C00">
      <w:rPr>
        <w:b/>
        <w:noProof/>
        <w:webHidden/>
        <w:sz w:val="20"/>
        <w:szCs w:val="20"/>
      </w:rPr>
      <w:t>Schedule</w:t>
    </w:r>
    <w:r>
      <w:rPr>
        <w:b/>
        <w:webHidden/>
        <w:sz w:val="20"/>
        <w:szCs w:val="20"/>
      </w:rPr>
      <w:fldChar w:fldCharType="end"/>
    </w:r>
    <w:r>
      <w:rPr>
        <w:b/>
        <w:webHidden/>
        <w:sz w:val="20"/>
        <w:szCs w:val="20"/>
      </w:rPr>
      <w:t xml:space="preserve">  </w:t>
    </w:r>
    <w:r>
      <w:rPr>
        <w:webHidden/>
        <w:sz w:val="20"/>
        <w:szCs w:val="20"/>
      </w:rPr>
      <w:fldChar w:fldCharType="begin"/>
    </w:r>
    <w:r>
      <w:rPr>
        <w:webHidden/>
        <w:sz w:val="20"/>
        <w:szCs w:val="20"/>
      </w:rPr>
      <w:instrText xml:space="preserve"> STYLEREF CharChapText </w:instrText>
    </w:r>
    <w:r>
      <w:rPr>
        <w:webHidden/>
        <w:sz w:val="20"/>
        <w:szCs w:val="20"/>
      </w:rPr>
      <w:fldChar w:fldCharType="separate"/>
    </w:r>
    <w:r w:rsidR="00EE0C00">
      <w:rPr>
        <w:noProof/>
        <w:webHidden/>
        <w:sz w:val="20"/>
        <w:szCs w:val="20"/>
      </w:rPr>
      <w:t>Resolution No. 104 of the Board of Governors adopted on 29 October 1976</w:t>
    </w:r>
    <w:r>
      <w:rPr>
        <w:webHidden/>
        <w:sz w:val="20"/>
        <w:szCs w:val="20"/>
      </w:rPr>
      <w:fldChar w:fldCharType="end"/>
    </w:r>
  </w:p>
  <w:p w:rsidR="00B62759" w:rsidRDefault="00B62759" w:rsidP="00B62759">
    <w:pPr>
      <w:rPr>
        <w:b/>
        <w:webHidden/>
        <w:sz w:val="20"/>
        <w:szCs w:val="20"/>
      </w:rPr>
    </w:pPr>
  </w:p>
  <w:p w:rsidR="00B62759" w:rsidRDefault="00B62759" w:rsidP="00B62759">
    <w:pPr>
      <w:rPr>
        <w:webHidden/>
        <w:sz w:val="20"/>
        <w:szCs w:val="20"/>
      </w:rPr>
    </w:pPr>
  </w:p>
  <w:p w:rsidR="00B62759" w:rsidRDefault="00B62759" w:rsidP="00B62759">
    <w:pPr>
      <w:rPr>
        <w:b/>
        <w:webHidden/>
        <w:sz w:val="24"/>
      </w:rPr>
    </w:pPr>
  </w:p>
  <w:p w:rsidR="00B62759" w:rsidRDefault="00B62759" w:rsidP="00B62759">
    <w:pPr>
      <w:pBdr>
        <w:bottom w:val="single" w:sz="6" w:space="1" w:color="auto"/>
      </w:pBdr>
      <w:rPr>
        <w:webHidden/>
        <w:sz w:val="24"/>
      </w:rPr>
    </w:pPr>
  </w:p>
  <w:p w:rsidR="00B62759" w:rsidRPr="00B62759" w:rsidRDefault="00B62759" w:rsidP="00B6275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759" w:rsidRDefault="00B62759" w:rsidP="00B62759">
    <w:pPr>
      <w:jc w:val="right"/>
      <w:rPr>
        <w:webHidden/>
        <w:sz w:val="20"/>
        <w:szCs w:val="20"/>
      </w:rPr>
    </w:pPr>
    <w:r>
      <w:rPr>
        <w:b/>
        <w:webHidden/>
        <w:sz w:val="20"/>
        <w:szCs w:val="20"/>
      </w:rPr>
      <w:fldChar w:fldCharType="begin"/>
    </w:r>
    <w:r>
      <w:rPr>
        <w:b/>
        <w:webHidden/>
        <w:sz w:val="20"/>
        <w:szCs w:val="20"/>
      </w:rPr>
      <w:instrText xml:space="preserve"> STYLEREF  CharChapNo </w:instrText>
    </w:r>
    <w:r>
      <w:rPr>
        <w:b/>
        <w:webHidden/>
        <w:sz w:val="20"/>
        <w:szCs w:val="20"/>
      </w:rPr>
      <w:fldChar w:fldCharType="separate"/>
    </w:r>
    <w:r w:rsidR="00EE0C00">
      <w:rPr>
        <w:b/>
        <w:noProof/>
        <w:webHidden/>
        <w:sz w:val="20"/>
        <w:szCs w:val="20"/>
      </w:rPr>
      <w:t>Schedule</w:t>
    </w:r>
    <w:r>
      <w:rPr>
        <w:b/>
        <w:webHidden/>
        <w:sz w:val="20"/>
        <w:szCs w:val="20"/>
      </w:rPr>
      <w:fldChar w:fldCharType="end"/>
    </w:r>
    <w:r w:rsidR="00E27EB6">
      <w:rPr>
        <w:webHidden/>
        <w:sz w:val="20"/>
        <w:szCs w:val="20"/>
      </w:rPr>
      <w:t xml:space="preserve">  </w:t>
    </w:r>
    <w:r w:rsidR="00E27EB6">
      <w:rPr>
        <w:webHidden/>
        <w:sz w:val="20"/>
        <w:szCs w:val="20"/>
      </w:rPr>
      <w:fldChar w:fldCharType="begin"/>
    </w:r>
    <w:r w:rsidR="00E27EB6">
      <w:rPr>
        <w:webHidden/>
        <w:sz w:val="20"/>
        <w:szCs w:val="20"/>
      </w:rPr>
      <w:instrText xml:space="preserve"> STYLEREF CharChapText </w:instrText>
    </w:r>
    <w:r w:rsidR="00E27EB6">
      <w:rPr>
        <w:webHidden/>
        <w:sz w:val="20"/>
        <w:szCs w:val="20"/>
      </w:rPr>
      <w:fldChar w:fldCharType="separate"/>
    </w:r>
    <w:r w:rsidR="00EE0C00">
      <w:rPr>
        <w:noProof/>
        <w:webHidden/>
        <w:sz w:val="20"/>
        <w:szCs w:val="20"/>
      </w:rPr>
      <w:t>Resolution No. 104 of the Board of Governors adopted on 29 October 1976</w:t>
    </w:r>
    <w:r w:rsidR="00E27EB6">
      <w:rPr>
        <w:webHidden/>
        <w:sz w:val="20"/>
        <w:szCs w:val="20"/>
      </w:rPr>
      <w:fldChar w:fldCharType="end"/>
    </w:r>
  </w:p>
  <w:p w:rsidR="00B62759" w:rsidRDefault="00B62759" w:rsidP="00B62759">
    <w:pPr>
      <w:jc w:val="right"/>
      <w:rPr>
        <w:b/>
        <w:webHidden/>
        <w:sz w:val="20"/>
        <w:szCs w:val="20"/>
      </w:rPr>
    </w:pPr>
  </w:p>
  <w:p w:rsidR="00B62759" w:rsidRDefault="00B62759" w:rsidP="00B62759">
    <w:pPr>
      <w:jc w:val="right"/>
      <w:rPr>
        <w:webHidden/>
        <w:sz w:val="20"/>
        <w:szCs w:val="20"/>
      </w:rPr>
    </w:pPr>
  </w:p>
  <w:p w:rsidR="00B62759" w:rsidRDefault="00B62759" w:rsidP="00B62759">
    <w:pPr>
      <w:jc w:val="right"/>
      <w:rPr>
        <w:b/>
        <w:webHidden/>
        <w:sz w:val="24"/>
      </w:rPr>
    </w:pPr>
  </w:p>
  <w:p w:rsidR="00B62759" w:rsidRDefault="00B62759" w:rsidP="00B62759">
    <w:pPr>
      <w:pBdr>
        <w:bottom w:val="single" w:sz="6" w:space="1" w:color="auto"/>
      </w:pBdr>
      <w:jc w:val="right"/>
      <w:rPr>
        <w:webHidden/>
        <w:sz w:val="24"/>
      </w:rPr>
    </w:pPr>
  </w:p>
  <w:p w:rsidR="00B62759" w:rsidRDefault="00B62759" w:rsidP="00B62759">
    <w:pPr>
      <w:pStyle w:val="Header"/>
      <w:rPr>
        <w:webHidde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2D4"/>
    <w:rsid w:val="006B23B6"/>
    <w:rsid w:val="006B3898"/>
    <w:rsid w:val="006B3A62"/>
    <w:rsid w:val="006B4C9D"/>
    <w:rsid w:val="006B658F"/>
    <w:rsid w:val="006B6CD5"/>
    <w:rsid w:val="006B75F7"/>
    <w:rsid w:val="006C0C27"/>
    <w:rsid w:val="006C0DBF"/>
    <w:rsid w:val="006C101D"/>
    <w:rsid w:val="006C105A"/>
    <w:rsid w:val="006C10E3"/>
    <w:rsid w:val="006C1B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33FC"/>
    <w:rsid w:val="007A4EB3"/>
    <w:rsid w:val="007A5785"/>
    <w:rsid w:val="007A6087"/>
    <w:rsid w:val="007A713F"/>
    <w:rsid w:val="007A71C2"/>
    <w:rsid w:val="007B0153"/>
    <w:rsid w:val="007B0400"/>
    <w:rsid w:val="007B09A0"/>
    <w:rsid w:val="007B0D61"/>
    <w:rsid w:val="007B1661"/>
    <w:rsid w:val="007B23B5"/>
    <w:rsid w:val="007B3264"/>
    <w:rsid w:val="007B4863"/>
    <w:rsid w:val="007B4FA7"/>
    <w:rsid w:val="007B550D"/>
    <w:rsid w:val="007B6111"/>
    <w:rsid w:val="007B63C9"/>
    <w:rsid w:val="007B6402"/>
    <w:rsid w:val="007C0848"/>
    <w:rsid w:val="007C0A95"/>
    <w:rsid w:val="007C165B"/>
    <w:rsid w:val="007C1B06"/>
    <w:rsid w:val="007C2154"/>
    <w:rsid w:val="007C2561"/>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7D"/>
    <w:rsid w:val="009A4026"/>
    <w:rsid w:val="009A4E82"/>
    <w:rsid w:val="009A72C1"/>
    <w:rsid w:val="009A74D9"/>
    <w:rsid w:val="009A7A2C"/>
    <w:rsid w:val="009A7E2E"/>
    <w:rsid w:val="009B00D0"/>
    <w:rsid w:val="009B019B"/>
    <w:rsid w:val="009B05EE"/>
    <w:rsid w:val="009B1B5C"/>
    <w:rsid w:val="009B1CEA"/>
    <w:rsid w:val="009B2DA7"/>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997"/>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759"/>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1255"/>
    <w:rsid w:val="00BD2540"/>
    <w:rsid w:val="00BD327A"/>
    <w:rsid w:val="00BD388A"/>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2BDC"/>
    <w:rsid w:val="00DC3AA4"/>
    <w:rsid w:val="00DC4189"/>
    <w:rsid w:val="00DC496B"/>
    <w:rsid w:val="00DC4B5B"/>
    <w:rsid w:val="00DC4C2C"/>
    <w:rsid w:val="00DC6011"/>
    <w:rsid w:val="00DC619C"/>
    <w:rsid w:val="00DC63FF"/>
    <w:rsid w:val="00DC6A38"/>
    <w:rsid w:val="00DC7BCF"/>
    <w:rsid w:val="00DD0566"/>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27EB6"/>
    <w:rsid w:val="00E31CF8"/>
    <w:rsid w:val="00E31D42"/>
    <w:rsid w:val="00E327A0"/>
    <w:rsid w:val="00E33F5F"/>
    <w:rsid w:val="00E34569"/>
    <w:rsid w:val="00E353E2"/>
    <w:rsid w:val="00E36CA9"/>
    <w:rsid w:val="00E37A21"/>
    <w:rsid w:val="00E37F5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0C00"/>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895"/>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
    <w:basedOn w:val="paragraph"/>
    <w:rsid w:val="004E4EAF"/>
    <w:pPr>
      <w:tabs>
        <w:tab w:val="clear" w:pos="1531"/>
        <w:tab w:val="right" w:pos="2722"/>
      </w:tabs>
      <w:ind w:left="2835" w:hanging="2835"/>
    </w:pPr>
  </w:style>
  <w:style w:type="paragraph" w:customStyle="1" w:styleId="paragraphsub">
    <w:name w:val="paragraph(sub)"/>
    <w:aliases w:val="aa"/>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E4EA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wmf"/><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oleObject" Target="embeddings/oleObject1.bin"/><Relationship Id="rId19" Type="http://schemas.openxmlformats.org/officeDocument/2006/relationships/oleObject" Target="embeddings/oleObject2.bin"/><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C6B6D-279B-4FB6-A131-5EA9D7E8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1346</Words>
  <Characters>7674</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2013-01-01T23:18:00Z</cp:lastPrinted>
  <dcterms:created xsi:type="dcterms:W3CDTF">2019-08-22T20:40:00Z</dcterms:created>
  <dcterms:modified xsi:type="dcterms:W3CDTF">2019-08-22T20:40:00Z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