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31" w:rsidRPr="00A57B76" w:rsidRDefault="0088590B" w:rsidP="00176048">
      <w:pPr>
        <w:ind w:left="1440" w:right="1440"/>
        <w:jc w:val="center"/>
        <w:rPr>
          <w:rFonts w:ascii="Times New Roman" w:hAnsi="Times New Roman" w:cs="Times New Roman"/>
          <w:sz w:val="32"/>
        </w:rPr>
      </w:pPr>
      <w:bookmarkStart w:id="0" w:name="bookmark0"/>
      <w:r w:rsidRPr="00A57B76">
        <w:rPr>
          <w:rFonts w:ascii="Times New Roman" w:hAnsi="Times New Roman" w:cs="Times New Roman"/>
          <w:b/>
          <w:bCs/>
          <w:sz w:val="32"/>
        </w:rPr>
        <w:t>PHOSPHATE FERTILIZERS BOUNTY</w:t>
      </w:r>
      <w:r w:rsidR="00176048" w:rsidRPr="00A57B76">
        <w:rPr>
          <w:rFonts w:ascii="Times New Roman" w:hAnsi="Times New Roman" w:cs="Times New Roman"/>
          <w:b/>
          <w:bCs/>
          <w:sz w:val="32"/>
        </w:rPr>
        <w:t xml:space="preserve"> </w:t>
      </w:r>
      <w:r w:rsidRPr="00A57B76">
        <w:rPr>
          <w:rFonts w:ascii="Times New Roman" w:hAnsi="Times New Roman" w:cs="Times New Roman"/>
          <w:b/>
          <w:bCs/>
          <w:sz w:val="32"/>
        </w:rPr>
        <w:t>AMENDMENT ACT 1977</w:t>
      </w:r>
      <w:bookmarkEnd w:id="0"/>
    </w:p>
    <w:p w:rsidR="00311331" w:rsidRPr="00A57B76" w:rsidRDefault="0088590B" w:rsidP="00C2172C">
      <w:pPr>
        <w:shd w:val="clear" w:color="auto" w:fill="FFFFFF"/>
        <w:autoSpaceDE w:val="0"/>
        <w:autoSpaceDN w:val="0"/>
        <w:adjustRightInd w:val="0"/>
        <w:spacing w:before="360" w:after="360"/>
        <w:jc w:val="center"/>
        <w:rPr>
          <w:rFonts w:ascii="Times New Roman" w:hAnsi="Times New Roman" w:cs="Times New Roman"/>
          <w:sz w:val="28"/>
        </w:rPr>
      </w:pPr>
      <w:bookmarkStart w:id="1" w:name="bookmark1"/>
      <w:r w:rsidRPr="00A57B76">
        <w:rPr>
          <w:rFonts w:ascii="Times New Roman" w:hAnsi="Times New Roman" w:cs="Times New Roman"/>
          <w:b/>
          <w:bCs/>
          <w:sz w:val="28"/>
        </w:rPr>
        <w:t>No. 66 of 1977</w:t>
      </w:r>
      <w:bookmarkEnd w:id="1"/>
    </w:p>
    <w:p w:rsidR="00311331" w:rsidRPr="00A57B76" w:rsidRDefault="0088590B" w:rsidP="00C2172C">
      <w:pPr>
        <w:shd w:val="clear" w:color="auto" w:fill="FFFFFF"/>
        <w:autoSpaceDE w:val="0"/>
        <w:autoSpaceDN w:val="0"/>
        <w:adjustRightInd w:val="0"/>
        <w:spacing w:after="400"/>
        <w:jc w:val="both"/>
        <w:rPr>
          <w:rFonts w:ascii="Times New Roman" w:hAnsi="Times New Roman" w:cs="Times New Roman"/>
        </w:rPr>
      </w:pPr>
      <w:r w:rsidRPr="00A57B76">
        <w:rPr>
          <w:rFonts w:ascii="Times New Roman" w:hAnsi="Times New Roman" w:cs="Times New Roman"/>
        </w:rPr>
        <w:t xml:space="preserve">An Act to amend the </w:t>
      </w:r>
      <w:r w:rsidRPr="00A57B76">
        <w:rPr>
          <w:rFonts w:ascii="Times New Roman" w:hAnsi="Times New Roman" w:cs="Times New Roman"/>
          <w:i/>
          <w:iCs/>
        </w:rPr>
        <w:t>Phosphate Fertilizers Bounty Act</w:t>
      </w:r>
      <w:r w:rsidRPr="00A57B76">
        <w:rPr>
          <w:rFonts w:ascii="Times New Roman" w:hAnsi="Times New Roman" w:cs="Times New Roman"/>
        </w:rPr>
        <w:t xml:space="preserve"> 1963, and for related purposes.</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BE IT ENACTED by the Queen, and the Senate and the House of Representatives of the Commonwealth of Australia, as follows:</w:t>
      </w:r>
      <w:r w:rsidR="00343932" w:rsidRPr="00A57B76">
        <w:rPr>
          <w:rFonts w:ascii="Times New Roman" w:hAnsi="Times New Roman" w:cs="Times New Roman"/>
        </w:rPr>
        <w:t>—</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Short title, &amp;c.</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t>1.</w:t>
      </w:r>
      <w:r w:rsidR="00343932" w:rsidRPr="00A57B76">
        <w:rPr>
          <w:rFonts w:ascii="Times New Roman" w:hAnsi="Times New Roman" w:cs="Times New Roman"/>
        </w:rPr>
        <w:t xml:space="preserve"> </w:t>
      </w:r>
      <w:r w:rsidRPr="00A57B76">
        <w:rPr>
          <w:rFonts w:ascii="Times New Roman" w:hAnsi="Times New Roman" w:cs="Times New Roman"/>
        </w:rPr>
        <w:t xml:space="preserve">(1) This Act may be cited as the </w:t>
      </w:r>
      <w:r w:rsidRPr="00A57B76">
        <w:rPr>
          <w:rFonts w:ascii="Times New Roman" w:hAnsi="Times New Roman" w:cs="Times New Roman"/>
          <w:i/>
          <w:iCs/>
        </w:rPr>
        <w:t>Phosphate Fertilizers Bounty Amendment Act</w:t>
      </w:r>
      <w:r w:rsidRPr="00A57B76">
        <w:rPr>
          <w:rFonts w:ascii="Times New Roman" w:hAnsi="Times New Roman" w:cs="Times New Roman"/>
        </w:rPr>
        <w:t xml:space="preserve"> 1977.</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 xml:space="preserve">(2) The </w:t>
      </w:r>
      <w:r w:rsidRPr="00A57B76">
        <w:rPr>
          <w:rFonts w:ascii="Times New Roman" w:hAnsi="Times New Roman" w:cs="Times New Roman"/>
          <w:i/>
          <w:iCs/>
        </w:rPr>
        <w:t>Phosphate Fertilizers Bounty Act</w:t>
      </w:r>
      <w:r w:rsidRPr="00A57B76">
        <w:rPr>
          <w:rFonts w:ascii="Times New Roman" w:hAnsi="Times New Roman" w:cs="Times New Roman"/>
        </w:rPr>
        <w:t xml:space="preserve"> 1963 is in this Act referred to as the Principal Act.</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Commencement.</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t>2.</w:t>
      </w:r>
      <w:r w:rsidR="00343932" w:rsidRPr="00A57B76">
        <w:rPr>
          <w:rFonts w:ascii="Times New Roman" w:hAnsi="Times New Roman" w:cs="Times New Roman"/>
        </w:rPr>
        <w:t xml:space="preserve"> </w:t>
      </w:r>
      <w:bookmarkStart w:id="2" w:name="_GoBack"/>
      <w:r w:rsidRPr="00A57B76">
        <w:rPr>
          <w:rFonts w:ascii="Times New Roman" w:hAnsi="Times New Roman" w:cs="Times New Roman"/>
        </w:rPr>
        <w:t>This Act shall come into operation on 1 July 1977.</w:t>
      </w:r>
      <w:bookmarkEnd w:id="2"/>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Interpretation.</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t>3.</w:t>
      </w:r>
      <w:r w:rsidR="00343932" w:rsidRPr="00A57B76">
        <w:rPr>
          <w:rFonts w:ascii="Times New Roman" w:hAnsi="Times New Roman" w:cs="Times New Roman"/>
        </w:rPr>
        <w:t xml:space="preserve"> </w:t>
      </w:r>
      <w:r w:rsidRPr="00A57B76">
        <w:rPr>
          <w:rFonts w:ascii="Times New Roman" w:hAnsi="Times New Roman" w:cs="Times New Roman"/>
        </w:rPr>
        <w:t>Section 3 of the Principal Act is amended—</w:t>
      </w:r>
    </w:p>
    <w:p w:rsidR="00311331" w:rsidRPr="00A57B76" w:rsidRDefault="0088590B" w:rsidP="009E1CAF">
      <w:pPr>
        <w:spacing w:after="60"/>
        <w:ind w:left="720" w:hanging="288"/>
        <w:jc w:val="both"/>
        <w:rPr>
          <w:rFonts w:ascii="Times New Roman" w:hAnsi="Times New Roman" w:cs="Times New Roman"/>
        </w:rPr>
      </w:pPr>
      <w:r w:rsidRPr="00A57B76">
        <w:rPr>
          <w:rFonts w:ascii="Times New Roman" w:hAnsi="Times New Roman" w:cs="Times New Roman"/>
        </w:rPr>
        <w:t>(a)</w:t>
      </w:r>
      <w:r w:rsidR="00343932" w:rsidRPr="00A57B76">
        <w:rPr>
          <w:rFonts w:ascii="Times New Roman" w:hAnsi="Times New Roman" w:cs="Times New Roman"/>
        </w:rPr>
        <w:t xml:space="preserve"> </w:t>
      </w:r>
      <w:r w:rsidRPr="00A57B76">
        <w:rPr>
          <w:rFonts w:ascii="Times New Roman" w:hAnsi="Times New Roman" w:cs="Times New Roman"/>
        </w:rPr>
        <w:t xml:space="preserve">by omitting the definition of </w:t>
      </w:r>
      <w:r w:rsidR="00343932" w:rsidRPr="00A57B76">
        <w:rPr>
          <w:rFonts w:ascii="Times New Roman" w:hAnsi="Times New Roman" w:cs="Times New Roman"/>
        </w:rPr>
        <w:t>“</w:t>
      </w:r>
      <w:proofErr w:type="spellStart"/>
      <w:r w:rsidRPr="00A57B76">
        <w:rPr>
          <w:rFonts w:ascii="Times New Roman" w:hAnsi="Times New Roman" w:cs="Times New Roman"/>
        </w:rPr>
        <w:t>bountiable</w:t>
      </w:r>
      <w:proofErr w:type="spellEnd"/>
      <w:r w:rsidRPr="00A57B76">
        <w:rPr>
          <w:rFonts w:ascii="Times New Roman" w:hAnsi="Times New Roman" w:cs="Times New Roman"/>
        </w:rPr>
        <w:t xml:space="preserve"> products” and substituting the following definitions:</w:t>
      </w:r>
      <w:r w:rsidR="00343932" w:rsidRPr="00A57B76">
        <w:rPr>
          <w:rFonts w:ascii="Times New Roman" w:hAnsi="Times New Roman" w:cs="Times New Roman"/>
        </w:rPr>
        <w:t>—</w:t>
      </w:r>
    </w:p>
    <w:p w:rsidR="00311331" w:rsidRPr="00A57B76" w:rsidRDefault="00343932" w:rsidP="009E1CAF">
      <w:pPr>
        <w:spacing w:after="60"/>
        <w:ind w:left="1152" w:hanging="288"/>
        <w:jc w:val="both"/>
        <w:rPr>
          <w:rFonts w:ascii="Times New Roman" w:hAnsi="Times New Roman" w:cs="Times New Roman"/>
        </w:rPr>
      </w:pPr>
      <w:r w:rsidRPr="00A57B76">
        <w:rPr>
          <w:rFonts w:ascii="Times New Roman" w:hAnsi="Times New Roman" w:cs="Times New Roman"/>
        </w:rPr>
        <w:t>“</w:t>
      </w:r>
      <w:r w:rsidR="0088590B" w:rsidRPr="00A57B76">
        <w:rPr>
          <w:rFonts w:ascii="Times New Roman" w:hAnsi="Times New Roman" w:cs="Times New Roman"/>
        </w:rPr>
        <w:t>‘available phosphorus content’, in relation to a substance in respect of which bounty is claimed, means the available phosphorus content of that substance as determined in accordance with the regulations;</w:t>
      </w:r>
    </w:p>
    <w:p w:rsidR="00311331" w:rsidRPr="00A57B76" w:rsidRDefault="00343932" w:rsidP="009E1CAF">
      <w:pPr>
        <w:spacing w:after="60"/>
        <w:ind w:left="1152" w:hanging="288"/>
        <w:jc w:val="both"/>
        <w:rPr>
          <w:rFonts w:ascii="Times New Roman" w:hAnsi="Times New Roman" w:cs="Times New Roman"/>
        </w:rPr>
      </w:pPr>
      <w:r w:rsidRPr="00A57B76">
        <w:rPr>
          <w:rFonts w:ascii="Times New Roman" w:hAnsi="Times New Roman" w:cs="Times New Roman"/>
        </w:rPr>
        <w:t>“</w:t>
      </w:r>
      <w:r w:rsidR="0088590B" w:rsidRPr="00A57B76">
        <w:rPr>
          <w:rFonts w:ascii="Times New Roman" w:hAnsi="Times New Roman" w:cs="Times New Roman"/>
        </w:rPr>
        <w:t>‘</w:t>
      </w:r>
      <w:proofErr w:type="spellStart"/>
      <w:r w:rsidR="0088590B" w:rsidRPr="00A57B76">
        <w:rPr>
          <w:rFonts w:ascii="Times New Roman" w:hAnsi="Times New Roman" w:cs="Times New Roman"/>
        </w:rPr>
        <w:t>bountiable</w:t>
      </w:r>
      <w:proofErr w:type="spellEnd"/>
      <w:r w:rsidR="0088590B" w:rsidRPr="00A57B76">
        <w:rPr>
          <w:rFonts w:ascii="Times New Roman" w:hAnsi="Times New Roman" w:cs="Times New Roman"/>
        </w:rPr>
        <w:t xml:space="preserve"> products’ means </w:t>
      </w:r>
      <w:proofErr w:type="spellStart"/>
      <w:r w:rsidR="0088590B" w:rsidRPr="00A57B76">
        <w:rPr>
          <w:rFonts w:ascii="Times New Roman" w:hAnsi="Times New Roman" w:cs="Times New Roman"/>
        </w:rPr>
        <w:t>phosphatic</w:t>
      </w:r>
      <w:proofErr w:type="spellEnd"/>
      <w:r w:rsidR="0088590B" w:rsidRPr="00A57B76">
        <w:rPr>
          <w:rFonts w:ascii="Times New Roman" w:hAnsi="Times New Roman" w:cs="Times New Roman"/>
        </w:rPr>
        <w:t xml:space="preserve"> substances;”;</w:t>
      </w:r>
    </w:p>
    <w:p w:rsidR="00311331" w:rsidRPr="00A57B76" w:rsidRDefault="0088590B" w:rsidP="009E1CAF">
      <w:pPr>
        <w:spacing w:after="60"/>
        <w:ind w:left="720" w:hanging="288"/>
        <w:jc w:val="both"/>
        <w:rPr>
          <w:rFonts w:ascii="Times New Roman" w:hAnsi="Times New Roman" w:cs="Times New Roman"/>
        </w:rPr>
      </w:pPr>
      <w:r w:rsidRPr="00A57B76">
        <w:rPr>
          <w:rFonts w:ascii="Times New Roman" w:hAnsi="Times New Roman" w:cs="Times New Roman"/>
        </w:rPr>
        <w:t>(b)</w:t>
      </w:r>
      <w:r w:rsidR="00343932" w:rsidRPr="00A57B76">
        <w:rPr>
          <w:rFonts w:ascii="Times New Roman" w:hAnsi="Times New Roman" w:cs="Times New Roman"/>
        </w:rPr>
        <w:t xml:space="preserve"> </w:t>
      </w:r>
      <w:r w:rsidRPr="00A57B76">
        <w:rPr>
          <w:rFonts w:ascii="Times New Roman" w:hAnsi="Times New Roman" w:cs="Times New Roman"/>
        </w:rPr>
        <w:t>by adding at the end of the definition of “Collector” the words “or Territory”;</w:t>
      </w:r>
    </w:p>
    <w:p w:rsidR="00311331" w:rsidRPr="00A57B76" w:rsidRDefault="0088590B" w:rsidP="009E1CAF">
      <w:pPr>
        <w:spacing w:after="60"/>
        <w:ind w:left="720" w:hanging="288"/>
        <w:jc w:val="both"/>
        <w:rPr>
          <w:rFonts w:ascii="Times New Roman" w:hAnsi="Times New Roman" w:cs="Times New Roman"/>
        </w:rPr>
      </w:pPr>
      <w:r w:rsidRPr="00A57B76">
        <w:rPr>
          <w:rFonts w:ascii="Times New Roman" w:hAnsi="Times New Roman" w:cs="Times New Roman"/>
        </w:rPr>
        <w:t>(c)</w:t>
      </w:r>
      <w:r w:rsidR="00343932" w:rsidRPr="00A57B76">
        <w:rPr>
          <w:rFonts w:ascii="Times New Roman" w:hAnsi="Times New Roman" w:cs="Times New Roman"/>
        </w:rPr>
        <w:t xml:space="preserve"> </w:t>
      </w:r>
      <w:r w:rsidRPr="00A57B76">
        <w:rPr>
          <w:rFonts w:ascii="Times New Roman" w:hAnsi="Times New Roman" w:cs="Times New Roman"/>
        </w:rPr>
        <w:t>by omitting the definitions of “fertilizer mixture” and “phosphorus pentoxide content” and substituting the following definitions:</w:t>
      </w:r>
      <w:r w:rsidR="00343932" w:rsidRPr="00A57B76">
        <w:rPr>
          <w:rFonts w:ascii="Times New Roman" w:hAnsi="Times New Roman" w:cs="Times New Roman"/>
        </w:rPr>
        <w:t>—</w:t>
      </w:r>
    </w:p>
    <w:p w:rsidR="00311331" w:rsidRPr="00A57B76" w:rsidRDefault="00343932" w:rsidP="009E1CAF">
      <w:pPr>
        <w:spacing w:after="60"/>
        <w:ind w:left="1152" w:hanging="288"/>
        <w:jc w:val="both"/>
        <w:rPr>
          <w:rFonts w:ascii="Times New Roman" w:hAnsi="Times New Roman" w:cs="Times New Roman"/>
        </w:rPr>
      </w:pPr>
      <w:r w:rsidRPr="00A57B76">
        <w:rPr>
          <w:rFonts w:ascii="Times New Roman" w:hAnsi="Times New Roman" w:cs="Times New Roman"/>
        </w:rPr>
        <w:t>“</w:t>
      </w:r>
      <w:r w:rsidR="0088590B" w:rsidRPr="00A57B76">
        <w:rPr>
          <w:rFonts w:ascii="Times New Roman" w:hAnsi="Times New Roman" w:cs="Times New Roman"/>
        </w:rPr>
        <w:t xml:space="preserve">‘fertilizer mixture’ means a mixture resulting from the addition to a </w:t>
      </w:r>
      <w:proofErr w:type="spellStart"/>
      <w:r w:rsidR="0088590B" w:rsidRPr="00A57B76">
        <w:rPr>
          <w:rFonts w:ascii="Times New Roman" w:hAnsi="Times New Roman" w:cs="Times New Roman"/>
        </w:rPr>
        <w:t>phosphatic</w:t>
      </w:r>
      <w:proofErr w:type="spellEnd"/>
      <w:r w:rsidR="0088590B" w:rsidRPr="00A57B76">
        <w:rPr>
          <w:rFonts w:ascii="Times New Roman" w:hAnsi="Times New Roman" w:cs="Times New Roman"/>
        </w:rPr>
        <w:t xml:space="preserve"> substance of fertilizers that are not </w:t>
      </w:r>
      <w:proofErr w:type="spellStart"/>
      <w:r w:rsidR="0088590B" w:rsidRPr="00A57B76">
        <w:rPr>
          <w:rFonts w:ascii="Times New Roman" w:hAnsi="Times New Roman" w:cs="Times New Roman"/>
        </w:rPr>
        <w:t>phosphatic</w:t>
      </w:r>
      <w:proofErr w:type="spellEnd"/>
      <w:r w:rsidR="0088590B" w:rsidRPr="00A57B76">
        <w:rPr>
          <w:rFonts w:ascii="Times New Roman" w:hAnsi="Times New Roman" w:cs="Times New Roman"/>
        </w:rPr>
        <w:t xml:space="preserve"> substances;</w:t>
      </w:r>
    </w:p>
    <w:p w:rsidR="00311331" w:rsidRPr="00A57B76" w:rsidRDefault="00343932" w:rsidP="009E1CAF">
      <w:pPr>
        <w:spacing w:after="60"/>
        <w:ind w:left="1152" w:hanging="288"/>
        <w:jc w:val="both"/>
        <w:rPr>
          <w:rFonts w:ascii="Times New Roman" w:hAnsi="Times New Roman" w:cs="Times New Roman"/>
        </w:rPr>
      </w:pPr>
      <w:r w:rsidRPr="00A57B76">
        <w:rPr>
          <w:rFonts w:ascii="Times New Roman" w:hAnsi="Times New Roman" w:cs="Times New Roman"/>
        </w:rPr>
        <w:t>“</w:t>
      </w:r>
      <w:r w:rsidR="0088590B" w:rsidRPr="00A57B76">
        <w:rPr>
          <w:rFonts w:ascii="Times New Roman" w:hAnsi="Times New Roman" w:cs="Times New Roman"/>
        </w:rPr>
        <w:t>‘</w:t>
      </w:r>
      <w:proofErr w:type="spellStart"/>
      <w:r w:rsidR="0088590B" w:rsidRPr="00A57B76">
        <w:rPr>
          <w:rFonts w:ascii="Times New Roman" w:hAnsi="Times New Roman" w:cs="Times New Roman"/>
        </w:rPr>
        <w:t>phosphatic</w:t>
      </w:r>
      <w:proofErr w:type="spellEnd"/>
      <w:r w:rsidR="0088590B" w:rsidRPr="00A57B76">
        <w:rPr>
          <w:rFonts w:ascii="Times New Roman" w:hAnsi="Times New Roman" w:cs="Times New Roman"/>
        </w:rPr>
        <w:t xml:space="preserve"> substance’ means superphosphate, ammonium phosphate or any other substance that is a chemical compound composed in part of phosphorus;</w:t>
      </w:r>
      <w:r w:rsidRPr="00A57B76">
        <w:rPr>
          <w:rFonts w:ascii="Times New Roman" w:hAnsi="Times New Roman" w:cs="Times New Roman"/>
        </w:rPr>
        <w:t>”</w:t>
      </w:r>
      <w:r w:rsidR="0088590B" w:rsidRPr="00A57B76">
        <w:rPr>
          <w:rFonts w:ascii="Times New Roman" w:hAnsi="Times New Roman" w:cs="Times New Roman"/>
        </w:rPr>
        <w:t>; and</w:t>
      </w:r>
    </w:p>
    <w:p w:rsidR="00311331" w:rsidRPr="00A57B76" w:rsidRDefault="0088590B" w:rsidP="009E1CAF">
      <w:pPr>
        <w:spacing w:after="60"/>
        <w:ind w:left="720" w:hanging="288"/>
        <w:jc w:val="both"/>
        <w:rPr>
          <w:rFonts w:ascii="Times New Roman" w:hAnsi="Times New Roman" w:cs="Times New Roman"/>
        </w:rPr>
      </w:pPr>
      <w:r w:rsidRPr="00A57B76">
        <w:rPr>
          <w:rFonts w:ascii="Times New Roman" w:hAnsi="Times New Roman" w:cs="Times New Roman"/>
        </w:rPr>
        <w:t>(d)</w:t>
      </w:r>
      <w:r w:rsidR="00343932" w:rsidRPr="00A57B76">
        <w:rPr>
          <w:rFonts w:ascii="Times New Roman" w:hAnsi="Times New Roman" w:cs="Times New Roman"/>
        </w:rPr>
        <w:t xml:space="preserve"> </w:t>
      </w:r>
      <w:r w:rsidRPr="00A57B76">
        <w:rPr>
          <w:rFonts w:ascii="Times New Roman" w:hAnsi="Times New Roman" w:cs="Times New Roman"/>
        </w:rPr>
        <w:t>by adding at the end thereof the following sub-section:</w:t>
      </w:r>
      <w:r w:rsidR="00343932" w:rsidRPr="00A57B76">
        <w:rPr>
          <w:rFonts w:ascii="Times New Roman" w:hAnsi="Times New Roman" w:cs="Times New Roman"/>
        </w:rPr>
        <w:t>—</w:t>
      </w:r>
    </w:p>
    <w:p w:rsidR="00311331" w:rsidRPr="00A57B76" w:rsidRDefault="0088590B" w:rsidP="009E1CAF">
      <w:pPr>
        <w:spacing w:after="60"/>
        <w:ind w:left="720" w:firstLine="432"/>
        <w:jc w:val="both"/>
        <w:rPr>
          <w:rFonts w:ascii="Times New Roman" w:hAnsi="Times New Roman" w:cs="Times New Roman"/>
        </w:rPr>
      </w:pPr>
      <w:r w:rsidRPr="00A57B76">
        <w:rPr>
          <w:rFonts w:ascii="Times New Roman" w:hAnsi="Times New Roman" w:cs="Times New Roman"/>
        </w:rPr>
        <w:t>“(2) For the purposes of this Act, use as a supplement to stock food shall be regarded as use as a fertilizer.”.</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t>4.</w:t>
      </w:r>
      <w:r w:rsidRPr="00A57B76">
        <w:rPr>
          <w:rFonts w:ascii="Times New Roman" w:hAnsi="Times New Roman" w:cs="Times New Roman"/>
        </w:rPr>
        <w:t xml:space="preserve"> Section 4 of the Principal Act is repealed and the following section substituted:</w:t>
      </w:r>
      <w:r w:rsidR="00343932" w:rsidRPr="00A57B76">
        <w:rPr>
          <w:rFonts w:ascii="Times New Roman" w:hAnsi="Times New Roman" w:cs="Times New Roman"/>
        </w:rPr>
        <w:t>—</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Specification of bounty.</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 xml:space="preserve">“4. (1) Bounty is payable in accordance with this Act on the production of </w:t>
      </w:r>
      <w:proofErr w:type="spellStart"/>
      <w:r w:rsidRPr="00A57B76">
        <w:rPr>
          <w:rFonts w:ascii="Times New Roman" w:hAnsi="Times New Roman" w:cs="Times New Roman"/>
        </w:rPr>
        <w:t>bountiable</w:t>
      </w:r>
      <w:proofErr w:type="spellEnd"/>
      <w:r w:rsidRPr="00A57B76">
        <w:rPr>
          <w:rFonts w:ascii="Times New Roman" w:hAnsi="Times New Roman" w:cs="Times New Roman"/>
        </w:rPr>
        <w:t xml:space="preserve"> products.</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 xml:space="preserve">“(2) A producer is not entitled to receive a payment of bounty in respect of </w:t>
      </w:r>
      <w:proofErr w:type="spellStart"/>
      <w:r w:rsidRPr="00A57B76">
        <w:rPr>
          <w:rFonts w:ascii="Times New Roman" w:hAnsi="Times New Roman" w:cs="Times New Roman"/>
        </w:rPr>
        <w:t>bountiable</w:t>
      </w:r>
      <w:proofErr w:type="spellEnd"/>
      <w:r w:rsidRPr="00A57B76">
        <w:rPr>
          <w:rFonts w:ascii="Times New Roman" w:hAnsi="Times New Roman" w:cs="Times New Roman"/>
        </w:rPr>
        <w:t xml:space="preserve"> products unless those products have been produced at registered premises and—</w:t>
      </w:r>
    </w:p>
    <w:p w:rsidR="00311331" w:rsidRPr="00A57B76" w:rsidRDefault="0088590B" w:rsidP="009E1CAF">
      <w:pPr>
        <w:spacing w:after="60"/>
        <w:ind w:left="720" w:hanging="288"/>
        <w:jc w:val="both"/>
        <w:rPr>
          <w:rFonts w:ascii="Times New Roman" w:hAnsi="Times New Roman" w:cs="Times New Roman"/>
        </w:rPr>
      </w:pPr>
      <w:r w:rsidRPr="00A57B76">
        <w:rPr>
          <w:rFonts w:ascii="Times New Roman" w:hAnsi="Times New Roman" w:cs="Times New Roman"/>
        </w:rPr>
        <w:t>(a)</w:t>
      </w:r>
      <w:r w:rsidR="00343932" w:rsidRPr="00A57B76">
        <w:rPr>
          <w:rFonts w:ascii="Times New Roman" w:hAnsi="Times New Roman" w:cs="Times New Roman"/>
        </w:rPr>
        <w:t xml:space="preserve"> </w:t>
      </w:r>
      <w:r w:rsidRPr="00A57B76">
        <w:rPr>
          <w:rFonts w:ascii="Times New Roman" w:hAnsi="Times New Roman" w:cs="Times New Roman"/>
        </w:rPr>
        <w:t>are sold during the period from and including 1 July 1977 to and including 30 June 1982 by the producer for use in Australia as a fertilizer; or</w:t>
      </w:r>
    </w:p>
    <w:p w:rsidR="00311331" w:rsidRPr="00A57B76" w:rsidRDefault="0088590B" w:rsidP="009E1CAF">
      <w:pPr>
        <w:spacing w:after="60"/>
        <w:ind w:left="720" w:hanging="288"/>
        <w:jc w:val="both"/>
        <w:rPr>
          <w:rFonts w:ascii="Times New Roman" w:hAnsi="Times New Roman" w:cs="Times New Roman"/>
        </w:rPr>
      </w:pPr>
      <w:r w:rsidRPr="00A57B76">
        <w:rPr>
          <w:rFonts w:ascii="Times New Roman" w:hAnsi="Times New Roman" w:cs="Times New Roman"/>
        </w:rPr>
        <w:t>(b)</w:t>
      </w:r>
      <w:r w:rsidR="00343932" w:rsidRPr="00A57B76">
        <w:rPr>
          <w:rFonts w:ascii="Times New Roman" w:hAnsi="Times New Roman" w:cs="Times New Roman"/>
        </w:rPr>
        <w:t xml:space="preserve"> </w:t>
      </w:r>
      <w:r w:rsidRPr="00A57B76">
        <w:rPr>
          <w:rFonts w:ascii="Times New Roman" w:hAnsi="Times New Roman" w:cs="Times New Roman"/>
        </w:rPr>
        <w:t>are used during the period referred to in paragraph (a) by the producer in the production of a fertilizer mixture for use in Australia.”.</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 xml:space="preserve">Trace elements, compounds and substances deemed to be </w:t>
      </w:r>
      <w:proofErr w:type="spellStart"/>
      <w:r w:rsidRPr="00A57B76">
        <w:rPr>
          <w:rFonts w:ascii="Times New Roman" w:hAnsi="Times New Roman" w:cs="Times New Roman"/>
          <w:b/>
          <w:sz w:val="20"/>
        </w:rPr>
        <w:t>bountiable</w:t>
      </w:r>
      <w:proofErr w:type="spellEnd"/>
      <w:r w:rsidRPr="00A57B76">
        <w:rPr>
          <w:rFonts w:ascii="Times New Roman" w:hAnsi="Times New Roman" w:cs="Times New Roman"/>
          <w:b/>
          <w:sz w:val="20"/>
        </w:rPr>
        <w:t xml:space="preserve"> products.</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t>5.</w:t>
      </w:r>
      <w:r w:rsidR="00343932" w:rsidRPr="00A57B76">
        <w:rPr>
          <w:rFonts w:ascii="Times New Roman" w:hAnsi="Times New Roman" w:cs="Times New Roman"/>
        </w:rPr>
        <w:t xml:space="preserve"> </w:t>
      </w:r>
      <w:r w:rsidRPr="00A57B76">
        <w:rPr>
          <w:rFonts w:ascii="Times New Roman" w:hAnsi="Times New Roman" w:cs="Times New Roman"/>
        </w:rPr>
        <w:t>Section 4</w:t>
      </w:r>
      <w:r w:rsidRPr="00A57B76">
        <w:rPr>
          <w:rFonts w:ascii="Times New Roman" w:hAnsi="Times New Roman" w:cs="Times New Roman"/>
          <w:smallCaps/>
        </w:rPr>
        <w:t>a</w:t>
      </w:r>
      <w:r w:rsidRPr="00A57B76">
        <w:rPr>
          <w:rFonts w:ascii="Times New Roman" w:hAnsi="Times New Roman" w:cs="Times New Roman"/>
        </w:rPr>
        <w:t xml:space="preserve"> of the Principal Act is amended by omitting sub-section (2) and substituting the following sub-section:</w:t>
      </w:r>
      <w:r w:rsidR="00343932" w:rsidRPr="00A57B76">
        <w:rPr>
          <w:rFonts w:ascii="Times New Roman" w:hAnsi="Times New Roman" w:cs="Times New Roman"/>
        </w:rPr>
        <w:t>—</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 xml:space="preserve">“(2) Where a trace element, a compound or a substance in relation to which this section applies has been added to a </w:t>
      </w:r>
      <w:proofErr w:type="spellStart"/>
      <w:r w:rsidRPr="00A57B76">
        <w:rPr>
          <w:rFonts w:ascii="Times New Roman" w:hAnsi="Times New Roman" w:cs="Times New Roman"/>
        </w:rPr>
        <w:t>phosphatic</w:t>
      </w:r>
      <w:proofErr w:type="spellEnd"/>
      <w:r w:rsidRPr="00A57B76">
        <w:rPr>
          <w:rFonts w:ascii="Times New Roman" w:hAnsi="Times New Roman" w:cs="Times New Roman"/>
        </w:rPr>
        <w:t xml:space="preserve"> substance in respect of which bounty is claimed, the trace element, compound or substance so added shall be deemed to be that </w:t>
      </w:r>
      <w:proofErr w:type="spellStart"/>
      <w:r w:rsidRPr="00A57B76">
        <w:rPr>
          <w:rFonts w:ascii="Times New Roman" w:hAnsi="Times New Roman" w:cs="Times New Roman"/>
        </w:rPr>
        <w:t>phosphatic</w:t>
      </w:r>
      <w:proofErr w:type="spellEnd"/>
      <w:r w:rsidRPr="00A57B76">
        <w:rPr>
          <w:rFonts w:ascii="Times New Roman" w:hAnsi="Times New Roman" w:cs="Times New Roman"/>
        </w:rPr>
        <w:t xml:space="preserve"> substance and to have the same available phosphorus content as that </w:t>
      </w:r>
      <w:proofErr w:type="spellStart"/>
      <w:r w:rsidRPr="00A57B76">
        <w:rPr>
          <w:rFonts w:ascii="Times New Roman" w:hAnsi="Times New Roman" w:cs="Times New Roman"/>
        </w:rPr>
        <w:t>phosphatic</w:t>
      </w:r>
      <w:proofErr w:type="spellEnd"/>
      <w:r w:rsidRPr="00A57B76">
        <w:rPr>
          <w:rFonts w:ascii="Times New Roman" w:hAnsi="Times New Roman" w:cs="Times New Roman"/>
        </w:rPr>
        <w:t xml:space="preserve"> substance, and bounty is payable accordingly.</w:t>
      </w:r>
    </w:p>
    <w:p w:rsidR="003140C0" w:rsidRDefault="003140C0">
      <w:pPr>
        <w:rPr>
          <w:rFonts w:ascii="Times New Roman" w:hAnsi="Times New Roman" w:cs="Times New Roman"/>
          <w:b/>
          <w:bCs/>
        </w:rPr>
      </w:pPr>
      <w:r>
        <w:rPr>
          <w:rFonts w:ascii="Times New Roman" w:hAnsi="Times New Roman" w:cs="Times New Roman"/>
          <w:b/>
          <w:bCs/>
        </w:rPr>
        <w:br w:type="page"/>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lastRenderedPageBreak/>
        <w:t>6.</w:t>
      </w:r>
      <w:r w:rsidR="00343932" w:rsidRPr="00A57B76">
        <w:rPr>
          <w:rFonts w:ascii="Times New Roman" w:hAnsi="Times New Roman" w:cs="Times New Roman"/>
        </w:rPr>
        <w:t xml:space="preserve"> </w:t>
      </w:r>
      <w:r w:rsidRPr="00A57B76">
        <w:rPr>
          <w:rFonts w:ascii="Times New Roman" w:hAnsi="Times New Roman" w:cs="Times New Roman"/>
        </w:rPr>
        <w:t>Section 5 of the Principal Act is repealed and the following sections are substituted:</w:t>
      </w:r>
      <w:r w:rsidR="00343932" w:rsidRPr="00A57B76">
        <w:rPr>
          <w:rFonts w:ascii="Times New Roman" w:hAnsi="Times New Roman" w:cs="Times New Roman"/>
        </w:rPr>
        <w:t>—</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Uniformity.</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“5. A power conferred on the Governor-General or the Minister by this Act shall not be exercised in such a manner that bounty would not be uniform throughout the Commonwealth within the meaning of paragraph (iii) of section 51 of the Constitution.</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To whom bounty payable.</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“5</w:t>
      </w:r>
      <w:r w:rsidRPr="00A57B76">
        <w:rPr>
          <w:rFonts w:ascii="Times New Roman" w:hAnsi="Times New Roman" w:cs="Times New Roman"/>
          <w:smallCaps/>
        </w:rPr>
        <w:t>a</w:t>
      </w:r>
      <w:r w:rsidRPr="00A57B76">
        <w:rPr>
          <w:rFonts w:ascii="Times New Roman" w:hAnsi="Times New Roman" w:cs="Times New Roman"/>
        </w:rPr>
        <w:t xml:space="preserve">. Subject to section 6, bounty in respect of </w:t>
      </w:r>
      <w:proofErr w:type="spellStart"/>
      <w:r w:rsidRPr="00A57B76">
        <w:rPr>
          <w:rFonts w:ascii="Times New Roman" w:hAnsi="Times New Roman" w:cs="Times New Roman"/>
        </w:rPr>
        <w:t>bountiable</w:t>
      </w:r>
      <w:proofErr w:type="spellEnd"/>
      <w:r w:rsidRPr="00A57B76">
        <w:rPr>
          <w:rFonts w:ascii="Times New Roman" w:hAnsi="Times New Roman" w:cs="Times New Roman"/>
        </w:rPr>
        <w:t xml:space="preserve"> products is payable to the producer of the products.</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b/>
          <w:bCs/>
        </w:rPr>
        <w:t>7.</w:t>
      </w:r>
      <w:r w:rsidR="00343932" w:rsidRPr="00A57B76">
        <w:rPr>
          <w:rFonts w:ascii="Times New Roman" w:hAnsi="Times New Roman" w:cs="Times New Roman"/>
        </w:rPr>
        <w:t xml:space="preserve"> </w:t>
      </w:r>
      <w:r w:rsidRPr="00A57B76">
        <w:rPr>
          <w:rFonts w:ascii="Times New Roman" w:hAnsi="Times New Roman" w:cs="Times New Roman"/>
        </w:rPr>
        <w:t>Sections 8 and 9 of the Principal Act are repealed and the following sections substituted:—</w:t>
      </w:r>
    </w:p>
    <w:p w:rsidR="00311331" w:rsidRPr="00A57B76" w:rsidRDefault="0088590B" w:rsidP="009E1CAF">
      <w:pPr>
        <w:spacing w:before="120" w:after="60"/>
        <w:jc w:val="both"/>
        <w:rPr>
          <w:rFonts w:ascii="Times New Roman" w:hAnsi="Times New Roman" w:cs="Times New Roman"/>
          <w:b/>
          <w:sz w:val="20"/>
        </w:rPr>
      </w:pPr>
      <w:r w:rsidRPr="00A57B76">
        <w:rPr>
          <w:rFonts w:ascii="Times New Roman" w:hAnsi="Times New Roman" w:cs="Times New Roman"/>
          <w:b/>
          <w:sz w:val="20"/>
        </w:rPr>
        <w:t>Rate of bounty in respect of superphosphate.</w:t>
      </w:r>
    </w:p>
    <w:p w:rsidR="00311331"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 xml:space="preserve">“8. (1) Bounty in respect of superphosphate, not being superphosphate in respect of which sub-section (2) applies, is payable at the rate of $12.00 for each </w:t>
      </w:r>
      <w:proofErr w:type="spellStart"/>
      <w:r w:rsidRPr="00A57B76">
        <w:rPr>
          <w:rFonts w:ascii="Times New Roman" w:hAnsi="Times New Roman" w:cs="Times New Roman"/>
        </w:rPr>
        <w:t>tonne</w:t>
      </w:r>
      <w:proofErr w:type="spellEnd"/>
      <w:r w:rsidRPr="00A57B76">
        <w:rPr>
          <w:rFonts w:ascii="Times New Roman" w:hAnsi="Times New Roman" w:cs="Times New Roman"/>
        </w:rPr>
        <w:t xml:space="preserve"> of superphosphate.</w:t>
      </w:r>
    </w:p>
    <w:p w:rsidR="00013B1A" w:rsidRPr="00A57B76" w:rsidRDefault="0088590B" w:rsidP="009E1CAF">
      <w:pPr>
        <w:spacing w:after="60"/>
        <w:ind w:firstLine="432"/>
        <w:jc w:val="both"/>
        <w:rPr>
          <w:rFonts w:ascii="Times New Roman" w:hAnsi="Times New Roman" w:cs="Times New Roman"/>
        </w:rPr>
      </w:pPr>
      <w:r w:rsidRPr="00A57B76">
        <w:rPr>
          <w:rFonts w:ascii="Times New Roman" w:hAnsi="Times New Roman" w:cs="Times New Roman"/>
        </w:rPr>
        <w:t xml:space="preserve">“(2) Where the percentage of the available phosphorus content of any superphosphate is less than 8.5 per centum or more than 8.9 per centum by weight of the superphosphate, bounty in respect of the superphosphate is payable at the rate of $138.00 for each </w:t>
      </w:r>
      <w:proofErr w:type="spellStart"/>
      <w:r w:rsidRPr="00A57B76">
        <w:rPr>
          <w:rFonts w:ascii="Times New Roman" w:hAnsi="Times New Roman" w:cs="Times New Roman"/>
        </w:rPr>
        <w:t>tonne</w:t>
      </w:r>
      <w:proofErr w:type="spellEnd"/>
      <w:r w:rsidRPr="00A57B76">
        <w:rPr>
          <w:rFonts w:ascii="Times New Roman" w:hAnsi="Times New Roman" w:cs="Times New Roman"/>
        </w:rPr>
        <w:t xml:space="preserve"> of the available phosphorus content of the superphosphate.</w:t>
      </w:r>
    </w:p>
    <w:p w:rsidR="00311331" w:rsidRPr="00A57B76" w:rsidRDefault="0088590B" w:rsidP="006A3AD5">
      <w:pPr>
        <w:spacing w:before="120" w:after="60"/>
        <w:jc w:val="both"/>
        <w:rPr>
          <w:rFonts w:ascii="Times New Roman" w:hAnsi="Times New Roman" w:cs="Times New Roman"/>
          <w:b/>
          <w:sz w:val="20"/>
        </w:rPr>
      </w:pPr>
      <w:r w:rsidRPr="00A57B76">
        <w:rPr>
          <w:rFonts w:ascii="Times New Roman" w:hAnsi="Times New Roman" w:cs="Times New Roman"/>
          <w:b/>
          <w:sz w:val="20"/>
        </w:rPr>
        <w:t xml:space="preserve">Rate of bounty in respect of </w:t>
      </w:r>
      <w:proofErr w:type="spellStart"/>
      <w:r w:rsidRPr="00A57B76">
        <w:rPr>
          <w:rFonts w:ascii="Times New Roman" w:hAnsi="Times New Roman" w:cs="Times New Roman"/>
          <w:b/>
          <w:sz w:val="20"/>
        </w:rPr>
        <w:t>phosphatic</w:t>
      </w:r>
      <w:proofErr w:type="spellEnd"/>
      <w:r w:rsidRPr="00A57B76">
        <w:rPr>
          <w:rFonts w:ascii="Times New Roman" w:hAnsi="Times New Roman" w:cs="Times New Roman"/>
          <w:b/>
          <w:sz w:val="20"/>
        </w:rPr>
        <w:t xml:space="preserve"> substances other than superphosphate.</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rPr>
        <w:t xml:space="preserve">“9. Bounty in respect of any </w:t>
      </w:r>
      <w:proofErr w:type="spellStart"/>
      <w:r w:rsidRPr="00A57B76">
        <w:rPr>
          <w:rFonts w:ascii="Times New Roman" w:hAnsi="Times New Roman" w:cs="Times New Roman"/>
        </w:rPr>
        <w:t>phosphatic</w:t>
      </w:r>
      <w:proofErr w:type="spellEnd"/>
      <w:r w:rsidRPr="00A57B76">
        <w:rPr>
          <w:rFonts w:ascii="Times New Roman" w:hAnsi="Times New Roman" w:cs="Times New Roman"/>
        </w:rPr>
        <w:t xml:space="preserve"> substance other than superphosphate is payable at the rate of $138.00 for each </w:t>
      </w:r>
      <w:proofErr w:type="spellStart"/>
      <w:r w:rsidRPr="00A57B76">
        <w:rPr>
          <w:rFonts w:ascii="Times New Roman" w:hAnsi="Times New Roman" w:cs="Times New Roman"/>
        </w:rPr>
        <w:t>tonne</w:t>
      </w:r>
      <w:proofErr w:type="spellEnd"/>
      <w:r w:rsidRPr="00A57B76">
        <w:rPr>
          <w:rFonts w:ascii="Times New Roman" w:hAnsi="Times New Roman" w:cs="Times New Roman"/>
        </w:rPr>
        <w:t xml:space="preserve"> of the available phosphorus content of the substance.”.</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b/>
          <w:bCs/>
        </w:rPr>
        <w:t>8.</w:t>
      </w:r>
      <w:r w:rsidR="00343932" w:rsidRPr="00A57B76">
        <w:rPr>
          <w:rFonts w:ascii="Times New Roman" w:hAnsi="Times New Roman" w:cs="Times New Roman"/>
        </w:rPr>
        <w:t xml:space="preserve"> </w:t>
      </w:r>
      <w:r w:rsidRPr="00A57B76">
        <w:rPr>
          <w:rFonts w:ascii="Times New Roman" w:hAnsi="Times New Roman" w:cs="Times New Roman"/>
        </w:rPr>
        <w:t>Section 11 of the Principal Act is repealed and the following section substituted:</w:t>
      </w:r>
      <w:r w:rsidR="00343932" w:rsidRPr="00A57B76">
        <w:rPr>
          <w:rFonts w:ascii="Times New Roman" w:hAnsi="Times New Roman" w:cs="Times New Roman"/>
        </w:rPr>
        <w:t>—</w:t>
      </w:r>
    </w:p>
    <w:p w:rsidR="00311331" w:rsidRPr="00A57B76" w:rsidRDefault="0088590B" w:rsidP="006A3AD5">
      <w:pPr>
        <w:spacing w:before="120" w:after="60"/>
        <w:jc w:val="both"/>
        <w:rPr>
          <w:rFonts w:ascii="Times New Roman" w:hAnsi="Times New Roman" w:cs="Times New Roman"/>
          <w:b/>
          <w:sz w:val="20"/>
        </w:rPr>
      </w:pPr>
      <w:r w:rsidRPr="00A57B76">
        <w:rPr>
          <w:rFonts w:ascii="Times New Roman" w:hAnsi="Times New Roman" w:cs="Times New Roman"/>
          <w:b/>
          <w:sz w:val="20"/>
        </w:rPr>
        <w:t>Approval of payment of bounty.</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rPr>
        <w:t xml:space="preserve">“11. (1) Where an application for bounty in respect of </w:t>
      </w:r>
      <w:proofErr w:type="spellStart"/>
      <w:r w:rsidRPr="00A57B76">
        <w:rPr>
          <w:rFonts w:ascii="Times New Roman" w:hAnsi="Times New Roman" w:cs="Times New Roman"/>
        </w:rPr>
        <w:t>bountiable</w:t>
      </w:r>
      <w:proofErr w:type="spellEnd"/>
      <w:r w:rsidRPr="00A57B76">
        <w:rPr>
          <w:rFonts w:ascii="Times New Roman" w:hAnsi="Times New Roman" w:cs="Times New Roman"/>
        </w:rPr>
        <w:t xml:space="preserve"> products is lodged in accordance with the regulations, the Minister shall—</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(a)</w:t>
      </w:r>
      <w:r w:rsidR="00343932" w:rsidRPr="00A57B76">
        <w:rPr>
          <w:rFonts w:ascii="Times New Roman" w:hAnsi="Times New Roman" w:cs="Times New Roman"/>
        </w:rPr>
        <w:t xml:space="preserve"> </w:t>
      </w:r>
      <w:r w:rsidRPr="00A57B76">
        <w:rPr>
          <w:rFonts w:ascii="Times New Roman" w:hAnsi="Times New Roman" w:cs="Times New Roman"/>
        </w:rPr>
        <w:t>if he is satisfied that bounty is payable in respect of those products—approve the payment of the bounty; or</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(b)</w:t>
      </w:r>
      <w:r w:rsidR="00343932" w:rsidRPr="00A57B76">
        <w:rPr>
          <w:rFonts w:ascii="Times New Roman" w:hAnsi="Times New Roman" w:cs="Times New Roman"/>
        </w:rPr>
        <w:t xml:space="preserve"> </w:t>
      </w:r>
      <w:r w:rsidRPr="00A57B76">
        <w:rPr>
          <w:rFonts w:ascii="Times New Roman" w:hAnsi="Times New Roman" w:cs="Times New Roman"/>
        </w:rPr>
        <w:t>if he is not so satisfied—refuse to approve payment of the bounty.</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rPr>
        <w:t>“(2) In sub-section (1), ‘bounty’ does not include an advance on account of bounty under section 12.</w:t>
      </w:r>
      <w:r w:rsidR="003140C0">
        <w:rPr>
          <w:rFonts w:ascii="Times New Roman" w:hAnsi="Times New Roman" w:cs="Times New Roman"/>
        </w:rPr>
        <w:t>”</w:t>
      </w:r>
      <w:r w:rsidR="00A57B76" w:rsidRPr="00A57B76">
        <w:rPr>
          <w:rFonts w:ascii="Times New Roman" w:hAnsi="Times New Roman" w:cs="Times New Roman"/>
        </w:rPr>
        <w:t>.</w:t>
      </w:r>
    </w:p>
    <w:p w:rsidR="00311331" w:rsidRPr="00A57B76" w:rsidRDefault="0088590B" w:rsidP="006A3AD5">
      <w:pPr>
        <w:spacing w:before="120" w:after="60"/>
        <w:jc w:val="both"/>
        <w:rPr>
          <w:rFonts w:ascii="Times New Roman" w:hAnsi="Times New Roman" w:cs="Times New Roman"/>
          <w:b/>
          <w:sz w:val="20"/>
        </w:rPr>
      </w:pPr>
      <w:r w:rsidRPr="00A57B76">
        <w:rPr>
          <w:rFonts w:ascii="Times New Roman" w:hAnsi="Times New Roman" w:cs="Times New Roman"/>
          <w:b/>
          <w:sz w:val="20"/>
        </w:rPr>
        <w:t>Security for compliance with Act and regulations.</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b/>
          <w:bCs/>
        </w:rPr>
        <w:t>9.</w:t>
      </w:r>
      <w:r w:rsidR="00343932" w:rsidRPr="00A57B76">
        <w:rPr>
          <w:rFonts w:ascii="Times New Roman" w:hAnsi="Times New Roman" w:cs="Times New Roman"/>
        </w:rPr>
        <w:t xml:space="preserve"> </w:t>
      </w:r>
      <w:r w:rsidRPr="00A57B76">
        <w:rPr>
          <w:rFonts w:ascii="Times New Roman" w:hAnsi="Times New Roman" w:cs="Times New Roman"/>
        </w:rPr>
        <w:t>Section 19 of the Principal Act is amended by inserting after the word “security” (first occurring) the words “, in an amount determined by the Minister,”.</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b/>
          <w:bCs/>
        </w:rPr>
        <w:t>10.</w:t>
      </w:r>
      <w:r w:rsidR="00343932" w:rsidRPr="00A57B76">
        <w:rPr>
          <w:rFonts w:ascii="Times New Roman" w:hAnsi="Times New Roman" w:cs="Times New Roman"/>
        </w:rPr>
        <w:t xml:space="preserve"> </w:t>
      </w:r>
      <w:r w:rsidRPr="00A57B76">
        <w:rPr>
          <w:rFonts w:ascii="Times New Roman" w:hAnsi="Times New Roman" w:cs="Times New Roman"/>
        </w:rPr>
        <w:t>After section 20 of the Principal Act the following section is inserted:</w:t>
      </w:r>
      <w:r w:rsidR="00343932" w:rsidRPr="00A57B76">
        <w:rPr>
          <w:rFonts w:ascii="Times New Roman" w:hAnsi="Times New Roman" w:cs="Times New Roman"/>
        </w:rPr>
        <w:t>—</w:t>
      </w:r>
    </w:p>
    <w:p w:rsidR="00311331" w:rsidRPr="00A57B76" w:rsidRDefault="0088590B" w:rsidP="006A3AD5">
      <w:pPr>
        <w:spacing w:before="120" w:after="60"/>
        <w:jc w:val="both"/>
        <w:rPr>
          <w:rFonts w:ascii="Times New Roman" w:hAnsi="Times New Roman" w:cs="Times New Roman"/>
          <w:b/>
          <w:sz w:val="20"/>
        </w:rPr>
      </w:pPr>
      <w:r w:rsidRPr="00A57B76">
        <w:rPr>
          <w:rFonts w:ascii="Times New Roman" w:hAnsi="Times New Roman" w:cs="Times New Roman"/>
          <w:b/>
          <w:sz w:val="20"/>
        </w:rPr>
        <w:t>Applications for review of decisions.</w:t>
      </w:r>
    </w:p>
    <w:p w:rsidR="00311331" w:rsidRPr="00A57B76" w:rsidRDefault="0088590B" w:rsidP="006A3AD5">
      <w:pPr>
        <w:spacing w:after="60"/>
        <w:ind w:firstLine="432"/>
        <w:jc w:val="both"/>
        <w:rPr>
          <w:rFonts w:ascii="Times New Roman" w:hAnsi="Times New Roman" w:cs="Times New Roman"/>
        </w:rPr>
      </w:pPr>
      <w:r w:rsidRPr="00A57B76">
        <w:rPr>
          <w:rFonts w:ascii="Times New Roman" w:hAnsi="Times New Roman" w:cs="Times New Roman"/>
          <w:smallCaps/>
        </w:rPr>
        <w:t>“20a.</w:t>
      </w:r>
      <w:r w:rsidRPr="00A57B76">
        <w:rPr>
          <w:rFonts w:ascii="Times New Roman" w:hAnsi="Times New Roman" w:cs="Times New Roman"/>
        </w:rPr>
        <w:t xml:space="preserve"> Applications may be made to the Administrative Appeals Tribunal for review of—</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(a)</w:t>
      </w:r>
      <w:r w:rsidR="00343932" w:rsidRPr="00A57B76">
        <w:rPr>
          <w:rFonts w:ascii="Times New Roman" w:hAnsi="Times New Roman" w:cs="Times New Roman"/>
        </w:rPr>
        <w:t xml:space="preserve"> </w:t>
      </w:r>
      <w:r w:rsidRPr="00A57B76">
        <w:rPr>
          <w:rFonts w:ascii="Times New Roman" w:hAnsi="Times New Roman" w:cs="Times New Roman"/>
        </w:rPr>
        <w:t>a direction of the Minister given under section 7;</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(b)</w:t>
      </w:r>
      <w:r w:rsidR="00343932" w:rsidRPr="00A57B76">
        <w:rPr>
          <w:rFonts w:ascii="Times New Roman" w:hAnsi="Times New Roman" w:cs="Times New Roman"/>
        </w:rPr>
        <w:t xml:space="preserve"> </w:t>
      </w:r>
      <w:r w:rsidRPr="00A57B76">
        <w:rPr>
          <w:rFonts w:ascii="Times New Roman" w:hAnsi="Times New Roman" w:cs="Times New Roman"/>
        </w:rPr>
        <w:t>a decision of the Comptroller-General made for the purposes of section 10;</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(c)</w:t>
      </w:r>
      <w:r w:rsidR="00343932" w:rsidRPr="00A57B76">
        <w:rPr>
          <w:rFonts w:ascii="Times New Roman" w:hAnsi="Times New Roman" w:cs="Times New Roman"/>
        </w:rPr>
        <w:t xml:space="preserve"> </w:t>
      </w:r>
      <w:r w:rsidRPr="00A57B76">
        <w:rPr>
          <w:rFonts w:ascii="Times New Roman" w:hAnsi="Times New Roman" w:cs="Times New Roman"/>
        </w:rPr>
        <w:t>an approval of the Minister given under sub-section 11(1) or a refusal of the Minister to give an approval under that sub-section;</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(d)</w:t>
      </w:r>
      <w:r w:rsidR="00343932" w:rsidRPr="00A57B76">
        <w:rPr>
          <w:rFonts w:ascii="Times New Roman" w:hAnsi="Times New Roman" w:cs="Times New Roman"/>
        </w:rPr>
        <w:t xml:space="preserve"> </w:t>
      </w:r>
      <w:r w:rsidRPr="00A57B76">
        <w:rPr>
          <w:rFonts w:ascii="Times New Roman" w:hAnsi="Times New Roman" w:cs="Times New Roman"/>
        </w:rPr>
        <w:t>a refusal of the Minister to register premises under section 13;</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(e)</w:t>
      </w:r>
      <w:r w:rsidR="00343932" w:rsidRPr="00A57B76">
        <w:rPr>
          <w:rFonts w:ascii="Times New Roman" w:hAnsi="Times New Roman" w:cs="Times New Roman"/>
        </w:rPr>
        <w:t xml:space="preserve"> </w:t>
      </w:r>
      <w:r w:rsidRPr="00A57B76">
        <w:rPr>
          <w:rFonts w:ascii="Times New Roman" w:hAnsi="Times New Roman" w:cs="Times New Roman"/>
        </w:rPr>
        <w:t>a determination made by the Minister for the purposes of sub-section 13(6) or a refusal of the Minister to make a determination for the purposes of that sub-section;</w:t>
      </w:r>
    </w:p>
    <w:p w:rsidR="00311331"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(f)</w:t>
      </w:r>
      <w:r w:rsidR="00343932" w:rsidRPr="00A57B76">
        <w:rPr>
          <w:rFonts w:ascii="Times New Roman" w:hAnsi="Times New Roman" w:cs="Times New Roman"/>
        </w:rPr>
        <w:t xml:space="preserve"> </w:t>
      </w:r>
      <w:r w:rsidRPr="00A57B76">
        <w:rPr>
          <w:rFonts w:ascii="Times New Roman" w:hAnsi="Times New Roman" w:cs="Times New Roman"/>
        </w:rPr>
        <w:t>a decision of the Minister made for the purposes of sub-section 13(7); or</w:t>
      </w:r>
    </w:p>
    <w:p w:rsidR="006A3AD5" w:rsidRPr="00A57B76" w:rsidRDefault="0088590B" w:rsidP="006A3AD5">
      <w:pPr>
        <w:spacing w:after="60"/>
        <w:ind w:left="720" w:hanging="288"/>
        <w:jc w:val="both"/>
        <w:rPr>
          <w:rFonts w:ascii="Times New Roman" w:hAnsi="Times New Roman" w:cs="Times New Roman"/>
        </w:rPr>
      </w:pPr>
      <w:r w:rsidRPr="00A57B76">
        <w:rPr>
          <w:rFonts w:ascii="Times New Roman" w:hAnsi="Times New Roman" w:cs="Times New Roman"/>
        </w:rPr>
        <w:t>(g)</w:t>
      </w:r>
      <w:r w:rsidR="00343932" w:rsidRPr="00A57B76">
        <w:rPr>
          <w:rFonts w:ascii="Times New Roman" w:hAnsi="Times New Roman" w:cs="Times New Roman"/>
        </w:rPr>
        <w:t xml:space="preserve"> </w:t>
      </w:r>
      <w:r w:rsidRPr="00A57B76">
        <w:rPr>
          <w:rFonts w:ascii="Times New Roman" w:hAnsi="Times New Roman" w:cs="Times New Roman"/>
        </w:rPr>
        <w:t>a determination by the Minister of an amount of security made for the purposes of section 19.”.</w:t>
      </w:r>
    </w:p>
    <w:p w:rsidR="00311331" w:rsidRPr="00A57B76" w:rsidRDefault="0088590B" w:rsidP="002371CB">
      <w:pPr>
        <w:spacing w:before="120" w:after="60"/>
        <w:jc w:val="both"/>
        <w:rPr>
          <w:rFonts w:ascii="Times New Roman" w:hAnsi="Times New Roman" w:cs="Times New Roman"/>
          <w:b/>
          <w:sz w:val="20"/>
        </w:rPr>
      </w:pPr>
      <w:r w:rsidRPr="00A57B76">
        <w:rPr>
          <w:rFonts w:ascii="Times New Roman" w:hAnsi="Times New Roman" w:cs="Times New Roman"/>
          <w:b/>
          <w:sz w:val="20"/>
        </w:rPr>
        <w:t>Saving.</w:t>
      </w:r>
    </w:p>
    <w:p w:rsidR="00311331" w:rsidRPr="00A57B76" w:rsidRDefault="0088590B" w:rsidP="002371CB">
      <w:pPr>
        <w:spacing w:after="60"/>
        <w:ind w:firstLine="432"/>
        <w:jc w:val="both"/>
        <w:rPr>
          <w:rFonts w:ascii="Times New Roman" w:hAnsi="Times New Roman" w:cs="Times New Roman"/>
        </w:rPr>
      </w:pPr>
      <w:r w:rsidRPr="00A57B76">
        <w:rPr>
          <w:rFonts w:ascii="Times New Roman" w:hAnsi="Times New Roman" w:cs="Times New Roman"/>
          <w:b/>
          <w:bCs/>
        </w:rPr>
        <w:t>11.</w:t>
      </w:r>
      <w:r w:rsidR="00343932" w:rsidRPr="00A57B76">
        <w:rPr>
          <w:rFonts w:ascii="Times New Roman" w:hAnsi="Times New Roman" w:cs="Times New Roman"/>
        </w:rPr>
        <w:t xml:space="preserve"> </w:t>
      </w:r>
      <w:r w:rsidRPr="00A57B76">
        <w:rPr>
          <w:rFonts w:ascii="Times New Roman" w:hAnsi="Times New Roman" w:cs="Times New Roman"/>
        </w:rPr>
        <w:t xml:space="preserve">The </w:t>
      </w:r>
      <w:r w:rsidRPr="00A57B76">
        <w:rPr>
          <w:rFonts w:ascii="Times New Roman" w:hAnsi="Times New Roman" w:cs="Times New Roman"/>
          <w:i/>
          <w:iCs/>
        </w:rPr>
        <w:t>Phosphate Fertilizers Bounty Act</w:t>
      </w:r>
      <w:r w:rsidRPr="00A57B76">
        <w:rPr>
          <w:rFonts w:ascii="Times New Roman" w:hAnsi="Times New Roman" w:cs="Times New Roman"/>
        </w:rPr>
        <w:t xml:space="preserve"> 1963, as amended and in force immediately before the commencement of this Act, continues to apply to and in relation to substances in respect of which bounty had been paid, or had become payable but had not been paid, before the commencement of this Act.</w:t>
      </w:r>
    </w:p>
    <w:sectPr w:rsidR="00311331" w:rsidRPr="00A57B76" w:rsidSect="00CB1820">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D2" w:rsidRDefault="007003D2" w:rsidP="00311331">
      <w:r>
        <w:separator/>
      </w:r>
    </w:p>
  </w:endnote>
  <w:endnote w:type="continuationSeparator" w:id="0">
    <w:p w:rsidR="007003D2" w:rsidRDefault="007003D2" w:rsidP="0031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D2" w:rsidRDefault="007003D2"/>
  </w:footnote>
  <w:footnote w:type="continuationSeparator" w:id="0">
    <w:p w:rsidR="007003D2" w:rsidRDefault="007003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20" w:rsidRPr="00CB1820" w:rsidRDefault="00CB1820" w:rsidP="00CB1820">
    <w:pPr>
      <w:pStyle w:val="Header"/>
      <w:tabs>
        <w:tab w:val="clear" w:pos="4680"/>
        <w:tab w:val="clear" w:pos="9360"/>
        <w:tab w:val="center" w:pos="5130"/>
        <w:tab w:val="right" w:pos="9630"/>
      </w:tabs>
      <w:rPr>
        <w:sz w:val="22"/>
      </w:rPr>
    </w:pPr>
    <w:r w:rsidRPr="00CB1820">
      <w:rPr>
        <w:rFonts w:ascii="Times New Roman" w:hAnsi="Times New Roman" w:cs="Times New Roman"/>
        <w:iCs/>
        <w:color w:val="auto"/>
        <w:sz w:val="22"/>
        <w:szCs w:val="20"/>
        <w:lang w:bidi="ar-SA"/>
      </w:rPr>
      <w:t>1977</w:t>
    </w:r>
    <w:r w:rsidRPr="00CB1820">
      <w:rPr>
        <w:rFonts w:ascii="Times New Roman" w:hAnsi="Times New Roman" w:cs="Times New Roman"/>
        <w:iCs/>
        <w:color w:val="auto"/>
        <w:sz w:val="22"/>
        <w:szCs w:val="20"/>
        <w:lang w:bidi="ar-SA"/>
      </w:rPr>
      <w:tab/>
    </w:r>
    <w:r w:rsidRPr="00CB1820">
      <w:rPr>
        <w:rFonts w:ascii="Times New Roman" w:hAnsi="Times New Roman" w:cs="Times New Roman"/>
        <w:i/>
        <w:iCs/>
        <w:color w:val="auto"/>
        <w:sz w:val="22"/>
        <w:szCs w:val="20"/>
        <w:lang w:bidi="ar-SA"/>
      </w:rPr>
      <w:t>Phosphate Fertilizers Bounty Amendment</w:t>
    </w:r>
    <w:r w:rsidRPr="00CB1820">
      <w:rPr>
        <w:rFonts w:ascii="Times New Roman" w:hAnsi="Times New Roman" w:cs="Times New Roman"/>
        <w:iCs/>
        <w:color w:val="auto"/>
        <w:sz w:val="22"/>
        <w:szCs w:val="20"/>
        <w:lang w:bidi="ar-SA"/>
      </w:rPr>
      <w:tab/>
    </w:r>
    <w:r w:rsidR="00F3153B">
      <w:rPr>
        <w:rFonts w:ascii="Times New Roman" w:hAnsi="Times New Roman" w:cs="Times New Roman"/>
        <w:iCs/>
        <w:color w:val="auto"/>
        <w:sz w:val="22"/>
        <w:szCs w:val="20"/>
        <w:lang w:bidi="ar-SA"/>
      </w:rPr>
      <w:t xml:space="preserve">No. </w:t>
    </w:r>
    <w:r w:rsidRPr="00CB1820">
      <w:rPr>
        <w:rFonts w:ascii="Times New Roman" w:hAnsi="Times New Roman" w:cs="Times New Roman"/>
        <w:iCs/>
        <w:color w:val="auto"/>
        <w:sz w:val="22"/>
        <w:szCs w:val="20"/>
        <w:lang w:bidi="ar-SA"/>
      </w:rPr>
      <w:t>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3B" w:rsidRDefault="00F3153B">
    <w:pPr>
      <w:pStyle w:val="Header"/>
    </w:pPr>
    <w:r>
      <w:rPr>
        <w:rFonts w:ascii="Times New Roman" w:hAnsi="Times New Roman" w:cs="Times New Roman"/>
        <w:iCs/>
        <w:color w:val="auto"/>
        <w:sz w:val="22"/>
        <w:szCs w:val="20"/>
        <w:lang w:bidi="ar-SA"/>
      </w:rPr>
      <w:t xml:space="preserve">No. </w:t>
    </w:r>
    <w:r w:rsidRPr="00CB1820">
      <w:rPr>
        <w:rFonts w:ascii="Times New Roman" w:hAnsi="Times New Roman" w:cs="Times New Roman"/>
        <w:iCs/>
        <w:color w:val="auto"/>
        <w:sz w:val="22"/>
        <w:szCs w:val="20"/>
        <w:lang w:bidi="ar-SA"/>
      </w:rPr>
      <w:t>66</w:t>
    </w:r>
    <w:r w:rsidRPr="00CB1820">
      <w:rPr>
        <w:rFonts w:ascii="Times New Roman" w:hAnsi="Times New Roman" w:cs="Times New Roman"/>
        <w:iCs/>
        <w:color w:val="auto"/>
        <w:sz w:val="22"/>
        <w:szCs w:val="20"/>
        <w:lang w:bidi="ar-SA"/>
      </w:rPr>
      <w:tab/>
    </w:r>
    <w:r w:rsidRPr="00CB1820">
      <w:rPr>
        <w:rFonts w:ascii="Times New Roman" w:hAnsi="Times New Roman" w:cs="Times New Roman"/>
        <w:i/>
        <w:iCs/>
        <w:color w:val="auto"/>
        <w:sz w:val="22"/>
        <w:szCs w:val="20"/>
        <w:lang w:bidi="ar-SA"/>
      </w:rPr>
      <w:t>Phosphate Fertilizers Bounty Amendment</w:t>
    </w:r>
    <w:r w:rsidRPr="00CB1820">
      <w:rPr>
        <w:rFonts w:ascii="Times New Roman" w:hAnsi="Times New Roman" w:cs="Times New Roman"/>
        <w:iCs/>
        <w:color w:val="auto"/>
        <w:sz w:val="22"/>
        <w:szCs w:val="20"/>
        <w:lang w:bidi="ar-SA"/>
      </w:rPr>
      <w:tab/>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31"/>
    <w:rsid w:val="00013B1A"/>
    <w:rsid w:val="00176048"/>
    <w:rsid w:val="002371CB"/>
    <w:rsid w:val="00311331"/>
    <w:rsid w:val="003140C0"/>
    <w:rsid w:val="00343932"/>
    <w:rsid w:val="003A46D1"/>
    <w:rsid w:val="006A3AD5"/>
    <w:rsid w:val="006F3133"/>
    <w:rsid w:val="007003D2"/>
    <w:rsid w:val="0088590B"/>
    <w:rsid w:val="009E1CAF"/>
    <w:rsid w:val="00A57B76"/>
    <w:rsid w:val="00B95EEF"/>
    <w:rsid w:val="00C2172C"/>
    <w:rsid w:val="00CB1820"/>
    <w:rsid w:val="00CE5DD5"/>
    <w:rsid w:val="00E72097"/>
    <w:rsid w:val="00F3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33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331"/>
    <w:rPr>
      <w:color w:val="0066CC"/>
      <w:u w:val="single"/>
    </w:rPr>
  </w:style>
  <w:style w:type="paragraph" w:styleId="Header">
    <w:name w:val="header"/>
    <w:basedOn w:val="Normal"/>
    <w:link w:val="HeaderChar"/>
    <w:uiPriority w:val="99"/>
    <w:unhideWhenUsed/>
    <w:rsid w:val="00CB1820"/>
    <w:pPr>
      <w:tabs>
        <w:tab w:val="center" w:pos="4680"/>
        <w:tab w:val="right" w:pos="9360"/>
      </w:tabs>
    </w:pPr>
  </w:style>
  <w:style w:type="character" w:customStyle="1" w:styleId="HeaderChar">
    <w:name w:val="Header Char"/>
    <w:basedOn w:val="DefaultParagraphFont"/>
    <w:link w:val="Header"/>
    <w:uiPriority w:val="99"/>
    <w:rsid w:val="00CB1820"/>
    <w:rPr>
      <w:color w:val="000000"/>
    </w:rPr>
  </w:style>
  <w:style w:type="paragraph" w:styleId="Footer">
    <w:name w:val="footer"/>
    <w:basedOn w:val="Normal"/>
    <w:link w:val="FooterChar"/>
    <w:uiPriority w:val="99"/>
    <w:unhideWhenUsed/>
    <w:rsid w:val="00CB1820"/>
    <w:pPr>
      <w:tabs>
        <w:tab w:val="center" w:pos="4680"/>
        <w:tab w:val="right" w:pos="9360"/>
      </w:tabs>
    </w:pPr>
  </w:style>
  <w:style w:type="character" w:customStyle="1" w:styleId="FooterChar">
    <w:name w:val="Footer Char"/>
    <w:basedOn w:val="DefaultParagraphFont"/>
    <w:link w:val="Footer"/>
    <w:uiPriority w:val="99"/>
    <w:rsid w:val="00CB1820"/>
    <w:rPr>
      <w:color w:val="000000"/>
    </w:rPr>
  </w:style>
  <w:style w:type="paragraph" w:styleId="BalloonText">
    <w:name w:val="Balloon Text"/>
    <w:basedOn w:val="Normal"/>
    <w:link w:val="BalloonTextChar"/>
    <w:uiPriority w:val="99"/>
    <w:semiHidden/>
    <w:unhideWhenUsed/>
    <w:rsid w:val="00CB1820"/>
    <w:rPr>
      <w:rFonts w:ascii="Tahoma" w:hAnsi="Tahoma" w:cs="Tahoma"/>
      <w:sz w:val="16"/>
      <w:szCs w:val="16"/>
    </w:rPr>
  </w:style>
  <w:style w:type="character" w:customStyle="1" w:styleId="BalloonTextChar">
    <w:name w:val="Balloon Text Char"/>
    <w:basedOn w:val="DefaultParagraphFont"/>
    <w:link w:val="BalloonText"/>
    <w:uiPriority w:val="99"/>
    <w:semiHidden/>
    <w:rsid w:val="00CB182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33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331"/>
    <w:rPr>
      <w:color w:val="0066CC"/>
      <w:u w:val="single"/>
    </w:rPr>
  </w:style>
  <w:style w:type="paragraph" w:styleId="Header">
    <w:name w:val="header"/>
    <w:basedOn w:val="Normal"/>
    <w:link w:val="HeaderChar"/>
    <w:uiPriority w:val="99"/>
    <w:unhideWhenUsed/>
    <w:rsid w:val="00CB1820"/>
    <w:pPr>
      <w:tabs>
        <w:tab w:val="center" w:pos="4680"/>
        <w:tab w:val="right" w:pos="9360"/>
      </w:tabs>
    </w:pPr>
  </w:style>
  <w:style w:type="character" w:customStyle="1" w:styleId="HeaderChar">
    <w:name w:val="Header Char"/>
    <w:basedOn w:val="DefaultParagraphFont"/>
    <w:link w:val="Header"/>
    <w:uiPriority w:val="99"/>
    <w:rsid w:val="00CB1820"/>
    <w:rPr>
      <w:color w:val="000000"/>
    </w:rPr>
  </w:style>
  <w:style w:type="paragraph" w:styleId="Footer">
    <w:name w:val="footer"/>
    <w:basedOn w:val="Normal"/>
    <w:link w:val="FooterChar"/>
    <w:uiPriority w:val="99"/>
    <w:unhideWhenUsed/>
    <w:rsid w:val="00CB1820"/>
    <w:pPr>
      <w:tabs>
        <w:tab w:val="center" w:pos="4680"/>
        <w:tab w:val="right" w:pos="9360"/>
      </w:tabs>
    </w:pPr>
  </w:style>
  <w:style w:type="character" w:customStyle="1" w:styleId="FooterChar">
    <w:name w:val="Footer Char"/>
    <w:basedOn w:val="DefaultParagraphFont"/>
    <w:link w:val="Footer"/>
    <w:uiPriority w:val="99"/>
    <w:rsid w:val="00CB1820"/>
    <w:rPr>
      <w:color w:val="000000"/>
    </w:rPr>
  </w:style>
  <w:style w:type="paragraph" w:styleId="BalloonText">
    <w:name w:val="Balloon Text"/>
    <w:basedOn w:val="Normal"/>
    <w:link w:val="BalloonTextChar"/>
    <w:uiPriority w:val="99"/>
    <w:semiHidden/>
    <w:unhideWhenUsed/>
    <w:rsid w:val="00CB1820"/>
    <w:rPr>
      <w:rFonts w:ascii="Tahoma" w:hAnsi="Tahoma" w:cs="Tahoma"/>
      <w:sz w:val="16"/>
      <w:szCs w:val="16"/>
    </w:rPr>
  </w:style>
  <w:style w:type="character" w:customStyle="1" w:styleId="BalloonTextChar">
    <w:name w:val="Balloon Text Char"/>
    <w:basedOn w:val="DefaultParagraphFont"/>
    <w:link w:val="BalloonText"/>
    <w:uiPriority w:val="99"/>
    <w:semiHidden/>
    <w:rsid w:val="00CB182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18</cp:revision>
  <dcterms:created xsi:type="dcterms:W3CDTF">2018-03-07T10:27:00Z</dcterms:created>
  <dcterms:modified xsi:type="dcterms:W3CDTF">2019-08-27T05:34:00Z</dcterms:modified>
</cp:coreProperties>
</file>