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468DB" w14:textId="77777777" w:rsidR="00C76A3E" w:rsidRPr="00AC0C1E" w:rsidRDefault="003C2A03" w:rsidP="00AC0C1E">
      <w:pPr>
        <w:shd w:val="clear" w:color="auto" w:fill="FFFFFF"/>
        <w:ind w:left="1440" w:right="1440"/>
        <w:jc w:val="center"/>
        <w:rPr>
          <w:sz w:val="32"/>
          <w:szCs w:val="24"/>
        </w:rPr>
      </w:pPr>
      <w:r w:rsidRPr="00AC0C1E">
        <w:rPr>
          <w:b/>
          <w:bCs/>
          <w:sz w:val="32"/>
          <w:szCs w:val="30"/>
        </w:rPr>
        <w:t>POSTAL AND TELECOMMUNICATIONS COMMISSIONS (TRANSITIONAL PROVISIONS) AMENDMENT ACT 1977</w:t>
      </w:r>
    </w:p>
    <w:p w14:paraId="58873B46" w14:textId="77777777" w:rsidR="00C76A3E" w:rsidRPr="000362A5" w:rsidRDefault="003C2A03" w:rsidP="000362A5">
      <w:pPr>
        <w:shd w:val="clear" w:color="auto" w:fill="FFFFFF"/>
        <w:spacing w:before="240" w:after="240"/>
        <w:jc w:val="center"/>
        <w:rPr>
          <w:sz w:val="28"/>
          <w:szCs w:val="24"/>
        </w:rPr>
      </w:pPr>
      <w:r w:rsidRPr="000362A5">
        <w:rPr>
          <w:b/>
          <w:bCs/>
          <w:sz w:val="28"/>
          <w:szCs w:val="26"/>
        </w:rPr>
        <w:t>No. 95 of 1977</w:t>
      </w:r>
    </w:p>
    <w:p w14:paraId="56F9E297" w14:textId="77777777" w:rsidR="00C76A3E" w:rsidRPr="000362A5" w:rsidRDefault="003C2A03" w:rsidP="000362A5">
      <w:pPr>
        <w:shd w:val="clear" w:color="auto" w:fill="FFFFFF"/>
        <w:spacing w:before="360" w:after="360"/>
        <w:jc w:val="both"/>
        <w:rPr>
          <w:sz w:val="24"/>
          <w:szCs w:val="24"/>
        </w:rPr>
      </w:pPr>
      <w:r w:rsidRPr="000362A5">
        <w:rPr>
          <w:sz w:val="24"/>
          <w:szCs w:val="22"/>
        </w:rPr>
        <w:t xml:space="preserve">An Act to amend the </w:t>
      </w:r>
      <w:r w:rsidRPr="000362A5">
        <w:rPr>
          <w:i/>
          <w:iCs/>
          <w:sz w:val="24"/>
          <w:szCs w:val="22"/>
        </w:rPr>
        <w:t xml:space="preserve">Postal and Telecommunications Commissions </w:t>
      </w:r>
      <w:r w:rsidR="00234985" w:rsidRPr="000362A5">
        <w:rPr>
          <w:iCs/>
          <w:sz w:val="24"/>
          <w:szCs w:val="22"/>
        </w:rPr>
        <w:t>(</w:t>
      </w:r>
      <w:r w:rsidRPr="000362A5">
        <w:rPr>
          <w:i/>
          <w:iCs/>
          <w:sz w:val="24"/>
          <w:szCs w:val="22"/>
        </w:rPr>
        <w:t>Transitional Provisions</w:t>
      </w:r>
      <w:r w:rsidR="00234985" w:rsidRPr="000362A5">
        <w:rPr>
          <w:iCs/>
          <w:sz w:val="24"/>
          <w:szCs w:val="22"/>
        </w:rPr>
        <w:t>)</w:t>
      </w:r>
      <w:r w:rsidRPr="000362A5">
        <w:rPr>
          <w:i/>
          <w:iCs/>
          <w:sz w:val="24"/>
          <w:szCs w:val="22"/>
        </w:rPr>
        <w:t xml:space="preserve"> Act </w:t>
      </w:r>
      <w:r w:rsidRPr="000362A5">
        <w:rPr>
          <w:sz w:val="24"/>
          <w:szCs w:val="22"/>
        </w:rPr>
        <w:t>1975, and for related purposes.</w:t>
      </w:r>
    </w:p>
    <w:p w14:paraId="4B76B151" w14:textId="77777777" w:rsidR="00C76A3E" w:rsidRPr="000362A5" w:rsidRDefault="003C2A03" w:rsidP="000362A5">
      <w:pPr>
        <w:shd w:val="clear" w:color="auto" w:fill="FFFFFF"/>
        <w:ind w:firstLine="288"/>
        <w:jc w:val="both"/>
        <w:rPr>
          <w:sz w:val="24"/>
          <w:szCs w:val="24"/>
        </w:rPr>
      </w:pPr>
      <w:r w:rsidRPr="000362A5">
        <w:rPr>
          <w:sz w:val="24"/>
          <w:szCs w:val="22"/>
        </w:rPr>
        <w:t>BE IT ENACTED by the Queen, and the Senate and House of Representatives of the Commonwealth of Australia, as follows:</w:t>
      </w:r>
    </w:p>
    <w:p w14:paraId="237D50EF" w14:textId="77777777" w:rsidR="00C76A3E" w:rsidRPr="00F56344" w:rsidRDefault="003C2A03" w:rsidP="00F56344">
      <w:pPr>
        <w:shd w:val="clear" w:color="auto" w:fill="FFFFFF"/>
        <w:spacing w:before="120" w:after="60"/>
        <w:jc w:val="both"/>
        <w:rPr>
          <w:b/>
          <w:szCs w:val="24"/>
        </w:rPr>
      </w:pPr>
      <w:r w:rsidRPr="00F56344">
        <w:rPr>
          <w:b/>
          <w:szCs w:val="18"/>
        </w:rPr>
        <w:t>Short title</w:t>
      </w:r>
    </w:p>
    <w:p w14:paraId="1996B8DE" w14:textId="77777777" w:rsidR="00C76A3E" w:rsidRPr="000362A5" w:rsidRDefault="003C2A03" w:rsidP="00F56344">
      <w:pPr>
        <w:shd w:val="clear" w:color="auto" w:fill="FFFFFF"/>
        <w:ind w:firstLine="288"/>
        <w:jc w:val="both"/>
        <w:rPr>
          <w:sz w:val="24"/>
          <w:szCs w:val="24"/>
        </w:rPr>
      </w:pPr>
      <w:r w:rsidRPr="000362A5">
        <w:rPr>
          <w:b/>
          <w:bCs/>
          <w:sz w:val="24"/>
          <w:szCs w:val="22"/>
        </w:rPr>
        <w:t>1.</w:t>
      </w:r>
      <w:r w:rsidRPr="000362A5">
        <w:rPr>
          <w:sz w:val="24"/>
          <w:szCs w:val="22"/>
        </w:rPr>
        <w:t xml:space="preserve"> This Act may be cited as the </w:t>
      </w:r>
      <w:r w:rsidRPr="000362A5">
        <w:rPr>
          <w:i/>
          <w:iCs/>
          <w:sz w:val="24"/>
          <w:szCs w:val="22"/>
        </w:rPr>
        <w:t xml:space="preserve">Postal and Telecommunications Commissions </w:t>
      </w:r>
      <w:r w:rsidR="00234985" w:rsidRPr="000362A5">
        <w:rPr>
          <w:iCs/>
          <w:sz w:val="24"/>
          <w:szCs w:val="22"/>
        </w:rPr>
        <w:t>(</w:t>
      </w:r>
      <w:r w:rsidRPr="000362A5">
        <w:rPr>
          <w:i/>
          <w:iCs/>
          <w:sz w:val="24"/>
          <w:szCs w:val="22"/>
        </w:rPr>
        <w:t>Transitional Provisions</w:t>
      </w:r>
      <w:r w:rsidR="00234985" w:rsidRPr="000362A5">
        <w:rPr>
          <w:iCs/>
          <w:sz w:val="24"/>
          <w:szCs w:val="22"/>
        </w:rPr>
        <w:t>)</w:t>
      </w:r>
      <w:r w:rsidRPr="000362A5">
        <w:rPr>
          <w:i/>
          <w:iCs/>
          <w:sz w:val="24"/>
          <w:szCs w:val="22"/>
        </w:rPr>
        <w:t xml:space="preserve"> Amendment Act </w:t>
      </w:r>
      <w:r w:rsidRPr="000362A5">
        <w:rPr>
          <w:sz w:val="24"/>
          <w:szCs w:val="22"/>
        </w:rPr>
        <w:t>1977.</w:t>
      </w:r>
      <w:r w:rsidRPr="000362A5">
        <w:rPr>
          <w:sz w:val="24"/>
          <w:szCs w:val="22"/>
          <w:vertAlign w:val="superscript"/>
        </w:rPr>
        <w:t>1</w:t>
      </w:r>
    </w:p>
    <w:p w14:paraId="463EE089" w14:textId="77777777" w:rsidR="00C76A3E" w:rsidRPr="00F56344" w:rsidRDefault="003C2A03" w:rsidP="00F56344">
      <w:pPr>
        <w:shd w:val="clear" w:color="auto" w:fill="FFFFFF"/>
        <w:spacing w:before="120" w:after="60"/>
        <w:jc w:val="both"/>
        <w:rPr>
          <w:b/>
          <w:szCs w:val="18"/>
        </w:rPr>
      </w:pPr>
      <w:r w:rsidRPr="00F56344">
        <w:rPr>
          <w:b/>
          <w:szCs w:val="18"/>
        </w:rPr>
        <w:t>Commencement</w:t>
      </w:r>
    </w:p>
    <w:p w14:paraId="7538B0F9" w14:textId="159180B8" w:rsidR="00C76A3E" w:rsidRPr="000362A5" w:rsidRDefault="003C2A03" w:rsidP="00F56344">
      <w:pPr>
        <w:shd w:val="clear" w:color="auto" w:fill="FFFFFF"/>
        <w:ind w:firstLine="288"/>
        <w:jc w:val="both"/>
        <w:rPr>
          <w:sz w:val="24"/>
          <w:szCs w:val="24"/>
        </w:rPr>
      </w:pPr>
      <w:r w:rsidRPr="000362A5">
        <w:rPr>
          <w:b/>
          <w:bCs/>
          <w:sz w:val="24"/>
          <w:szCs w:val="22"/>
        </w:rPr>
        <w:t>2.</w:t>
      </w:r>
      <w:r w:rsidRPr="000362A5">
        <w:rPr>
          <w:sz w:val="24"/>
          <w:szCs w:val="22"/>
        </w:rPr>
        <w:t xml:space="preserve"> This Act shall come into operation on the day on which it receives the Royal Assent</w:t>
      </w:r>
      <w:r w:rsidR="000F6E34">
        <w:rPr>
          <w:rStyle w:val="CommentReference"/>
        </w:rPr>
        <w:t>.</w:t>
      </w:r>
    </w:p>
    <w:p w14:paraId="1AEA2C0F" w14:textId="77777777" w:rsidR="00C76A3E" w:rsidRPr="00F56344" w:rsidRDefault="003C2A03" w:rsidP="00F56344">
      <w:pPr>
        <w:shd w:val="clear" w:color="auto" w:fill="FFFFFF"/>
        <w:spacing w:before="120" w:after="60"/>
        <w:jc w:val="both"/>
        <w:rPr>
          <w:b/>
          <w:szCs w:val="18"/>
        </w:rPr>
      </w:pPr>
      <w:r w:rsidRPr="00F56344">
        <w:rPr>
          <w:b/>
          <w:szCs w:val="18"/>
        </w:rPr>
        <w:t>Promotions of officers du</w:t>
      </w:r>
      <w:r w:rsidR="001B54C6" w:rsidRPr="00F56344">
        <w:rPr>
          <w:b/>
          <w:szCs w:val="18"/>
        </w:rPr>
        <w:t>ri</w:t>
      </w:r>
      <w:r w:rsidRPr="00F56344">
        <w:rPr>
          <w:b/>
          <w:szCs w:val="18"/>
        </w:rPr>
        <w:t>ng transitional period</w:t>
      </w:r>
    </w:p>
    <w:p w14:paraId="24A8E8A2" w14:textId="6F229812" w:rsidR="00C76A3E" w:rsidRPr="000362A5" w:rsidRDefault="003C2A03" w:rsidP="00F56344">
      <w:pPr>
        <w:shd w:val="clear" w:color="auto" w:fill="FFFFFF"/>
        <w:ind w:firstLine="288"/>
        <w:jc w:val="both"/>
        <w:rPr>
          <w:sz w:val="24"/>
          <w:szCs w:val="24"/>
        </w:rPr>
      </w:pPr>
      <w:r w:rsidRPr="000362A5">
        <w:rPr>
          <w:b/>
          <w:bCs/>
          <w:sz w:val="24"/>
          <w:szCs w:val="22"/>
        </w:rPr>
        <w:t>3.</w:t>
      </w:r>
      <w:r w:rsidRPr="000362A5">
        <w:rPr>
          <w:sz w:val="24"/>
          <w:szCs w:val="22"/>
        </w:rPr>
        <w:t xml:space="preserve"> Section 20 of the </w:t>
      </w:r>
      <w:r w:rsidRPr="000362A5">
        <w:rPr>
          <w:i/>
          <w:iCs/>
          <w:sz w:val="24"/>
          <w:szCs w:val="22"/>
        </w:rPr>
        <w:t xml:space="preserve">Postal and Telecommunications Commissions </w:t>
      </w:r>
      <w:r w:rsidR="00234985" w:rsidRPr="000362A5">
        <w:rPr>
          <w:iCs/>
          <w:sz w:val="24"/>
          <w:szCs w:val="22"/>
        </w:rPr>
        <w:t>(</w:t>
      </w:r>
      <w:r w:rsidRPr="000362A5">
        <w:rPr>
          <w:i/>
          <w:iCs/>
          <w:sz w:val="24"/>
          <w:szCs w:val="22"/>
        </w:rPr>
        <w:t>Transitional Provisions</w:t>
      </w:r>
      <w:r w:rsidR="00234985" w:rsidRPr="000362A5">
        <w:rPr>
          <w:iCs/>
          <w:sz w:val="24"/>
          <w:szCs w:val="22"/>
        </w:rPr>
        <w:t>)</w:t>
      </w:r>
      <w:r w:rsidRPr="000362A5">
        <w:rPr>
          <w:i/>
          <w:iCs/>
          <w:sz w:val="24"/>
          <w:szCs w:val="22"/>
        </w:rPr>
        <w:t xml:space="preserve"> Act </w:t>
      </w:r>
      <w:r w:rsidRPr="000362A5">
        <w:rPr>
          <w:sz w:val="24"/>
          <w:szCs w:val="22"/>
        </w:rPr>
        <w:t>1975 is amended by omitting from sub</w:t>
      </w:r>
      <w:r w:rsidR="000F6E34">
        <w:rPr>
          <w:sz w:val="24"/>
          <w:szCs w:val="22"/>
        </w:rPr>
        <w:t>-</w:t>
      </w:r>
      <w:r w:rsidRPr="000362A5">
        <w:rPr>
          <w:sz w:val="24"/>
          <w:szCs w:val="22"/>
        </w:rPr>
        <w:t xml:space="preserve">sections (2) and (3) </w:t>
      </w:r>
      <w:r w:rsidR="00234985" w:rsidRPr="000362A5">
        <w:rPr>
          <w:sz w:val="24"/>
          <w:szCs w:val="22"/>
        </w:rPr>
        <w:t>“</w:t>
      </w:r>
      <w:r w:rsidRPr="000362A5">
        <w:rPr>
          <w:sz w:val="24"/>
          <w:szCs w:val="22"/>
        </w:rPr>
        <w:t>For the purposes of sub-section (1)</w:t>
      </w:r>
      <w:r w:rsidR="00234985" w:rsidRPr="000362A5">
        <w:rPr>
          <w:sz w:val="24"/>
          <w:szCs w:val="22"/>
        </w:rPr>
        <w:t>”</w:t>
      </w:r>
      <w:r w:rsidRPr="000362A5">
        <w:rPr>
          <w:sz w:val="24"/>
          <w:szCs w:val="22"/>
        </w:rPr>
        <w:t xml:space="preserve"> and substituting </w:t>
      </w:r>
      <w:r w:rsidR="00234985" w:rsidRPr="000362A5">
        <w:rPr>
          <w:sz w:val="24"/>
          <w:szCs w:val="22"/>
        </w:rPr>
        <w:t>“</w:t>
      </w:r>
      <w:r w:rsidRPr="000362A5">
        <w:rPr>
          <w:sz w:val="24"/>
          <w:szCs w:val="22"/>
        </w:rPr>
        <w:t xml:space="preserve">While </w:t>
      </w:r>
      <w:r w:rsidR="007A55AE">
        <w:rPr>
          <w:sz w:val="24"/>
          <w:szCs w:val="22"/>
        </w:rPr>
        <w:t>this section continues in force”.</w:t>
      </w:r>
    </w:p>
    <w:p w14:paraId="7EF156A1" w14:textId="77777777" w:rsidR="00C76A3E" w:rsidRPr="00F56344" w:rsidRDefault="003C2A03" w:rsidP="00F56344">
      <w:pPr>
        <w:shd w:val="clear" w:color="auto" w:fill="FFFFFF"/>
        <w:spacing w:before="120" w:after="60"/>
        <w:jc w:val="both"/>
        <w:rPr>
          <w:b/>
          <w:szCs w:val="18"/>
        </w:rPr>
      </w:pPr>
      <w:r w:rsidRPr="00F56344">
        <w:rPr>
          <w:b/>
          <w:szCs w:val="18"/>
        </w:rPr>
        <w:t>Validation of promotions, &amp;c</w:t>
      </w:r>
    </w:p>
    <w:p w14:paraId="0B955F25" w14:textId="77777777" w:rsidR="00C76A3E" w:rsidRPr="000362A5" w:rsidRDefault="003C2A03" w:rsidP="00F56344">
      <w:pPr>
        <w:shd w:val="clear" w:color="auto" w:fill="FFFFFF"/>
        <w:ind w:firstLine="288"/>
        <w:jc w:val="both"/>
        <w:rPr>
          <w:sz w:val="24"/>
          <w:szCs w:val="24"/>
        </w:rPr>
      </w:pPr>
      <w:r w:rsidRPr="000362A5">
        <w:rPr>
          <w:b/>
          <w:bCs/>
          <w:sz w:val="24"/>
          <w:szCs w:val="22"/>
        </w:rPr>
        <w:t>4.</w:t>
      </w:r>
      <w:r w:rsidRPr="000362A5">
        <w:rPr>
          <w:sz w:val="24"/>
          <w:szCs w:val="22"/>
        </w:rPr>
        <w:t xml:space="preserve"> (1) Where, before the commencement of this Act</w:t>
      </w:r>
      <w:r w:rsidRPr="000362A5">
        <w:rPr>
          <w:rFonts w:eastAsia="Times New Roman"/>
          <w:sz w:val="24"/>
          <w:szCs w:val="22"/>
        </w:rPr>
        <w:t>—</w:t>
      </w:r>
    </w:p>
    <w:p w14:paraId="7C6FBD45" w14:textId="1D30E726" w:rsidR="00C76A3E" w:rsidRPr="000362A5" w:rsidRDefault="003C2A03" w:rsidP="00031427">
      <w:pPr>
        <w:shd w:val="clear" w:color="auto" w:fill="FFFFFF"/>
        <w:spacing w:before="120" w:after="120"/>
        <w:ind w:left="576" w:hanging="288"/>
        <w:jc w:val="both"/>
        <w:rPr>
          <w:sz w:val="24"/>
          <w:szCs w:val="24"/>
        </w:rPr>
      </w:pPr>
      <w:r w:rsidRPr="000362A5">
        <w:rPr>
          <w:sz w:val="24"/>
          <w:szCs w:val="22"/>
        </w:rPr>
        <w:t xml:space="preserve">(a) the Australian Postal Commission purported, under sub-section 54(6) of the </w:t>
      </w:r>
      <w:r w:rsidRPr="000362A5">
        <w:rPr>
          <w:i/>
          <w:iCs/>
          <w:sz w:val="24"/>
          <w:szCs w:val="22"/>
        </w:rPr>
        <w:t xml:space="preserve">Postal Services Act </w:t>
      </w:r>
      <w:r w:rsidRPr="000362A5">
        <w:rPr>
          <w:sz w:val="24"/>
          <w:szCs w:val="22"/>
        </w:rPr>
        <w:t>1975, to cancel the provisional promotion of an officer of the Australian Postal Commission Service to a vacant position in that Service and to promote an officer of the Australian Telecommunications Commission Service to that vacant position; or</w:t>
      </w:r>
    </w:p>
    <w:p w14:paraId="65BCEE0F" w14:textId="782052FA" w:rsidR="00C76A3E" w:rsidRPr="000362A5" w:rsidRDefault="003C2A03" w:rsidP="00031427">
      <w:pPr>
        <w:shd w:val="clear" w:color="auto" w:fill="FFFFFF"/>
        <w:spacing w:before="120" w:after="120"/>
        <w:ind w:left="576" w:hanging="288"/>
        <w:jc w:val="both"/>
        <w:rPr>
          <w:sz w:val="24"/>
          <w:szCs w:val="24"/>
        </w:rPr>
      </w:pPr>
      <w:r w:rsidRPr="000362A5">
        <w:rPr>
          <w:sz w:val="24"/>
          <w:szCs w:val="22"/>
        </w:rPr>
        <w:t xml:space="preserve">(b) the Australian Telecommunications Commission purported, under sub-section 51(6) of the </w:t>
      </w:r>
      <w:r w:rsidRPr="000362A5">
        <w:rPr>
          <w:i/>
          <w:iCs/>
          <w:sz w:val="24"/>
          <w:szCs w:val="22"/>
        </w:rPr>
        <w:t xml:space="preserve">Telecommunications Act </w:t>
      </w:r>
      <w:r w:rsidRPr="000362A5">
        <w:rPr>
          <w:sz w:val="24"/>
          <w:szCs w:val="22"/>
        </w:rPr>
        <w:t>1975, to cancel the provisional promotion of an officer of the Australian Telecommunications Commission Service to a vacant position in that Service and to promote an officer of the Australian Postal Commission Service to that vacant position,</w:t>
      </w:r>
    </w:p>
    <w:p w14:paraId="1330DB5E" w14:textId="0EA11AC4" w:rsidR="00C76A3E" w:rsidRPr="000F6E34" w:rsidRDefault="003C2A03" w:rsidP="000362A5">
      <w:pPr>
        <w:shd w:val="clear" w:color="auto" w:fill="FFFFFF"/>
        <w:jc w:val="both"/>
        <w:rPr>
          <w:sz w:val="24"/>
          <w:szCs w:val="22"/>
        </w:rPr>
      </w:pPr>
      <w:r w:rsidRPr="000362A5">
        <w:rPr>
          <w:sz w:val="24"/>
          <w:szCs w:val="22"/>
        </w:rPr>
        <w:t>the cancellation and promotion, and any appointment, transfer, promotion or other act or thing purported to be made or done as a consequence, whether direct or indirect, of the cancellation and promotion, shall be deemed to have been as valid and effectual as it would have</w:t>
      </w:r>
      <w:r w:rsidR="000F6E34">
        <w:rPr>
          <w:sz w:val="24"/>
          <w:szCs w:val="22"/>
        </w:rPr>
        <w:t xml:space="preserve"> </w:t>
      </w:r>
      <w:r w:rsidRPr="000362A5">
        <w:rPr>
          <w:sz w:val="24"/>
          <w:szCs w:val="22"/>
        </w:rPr>
        <w:t xml:space="preserve">been if section 20 of the </w:t>
      </w:r>
      <w:r w:rsidRPr="000362A5">
        <w:rPr>
          <w:i/>
          <w:iCs/>
          <w:sz w:val="24"/>
          <w:szCs w:val="22"/>
        </w:rPr>
        <w:t xml:space="preserve">Postal and Telecommunications Commissions </w:t>
      </w:r>
      <w:r w:rsidR="00234985" w:rsidRPr="000362A5">
        <w:rPr>
          <w:iCs/>
          <w:sz w:val="24"/>
          <w:szCs w:val="22"/>
        </w:rPr>
        <w:t>(</w:t>
      </w:r>
      <w:r w:rsidRPr="000362A5">
        <w:rPr>
          <w:i/>
          <w:iCs/>
          <w:sz w:val="24"/>
          <w:szCs w:val="22"/>
        </w:rPr>
        <w:t>Transitional Provisions</w:t>
      </w:r>
      <w:r w:rsidR="00234985" w:rsidRPr="000362A5">
        <w:rPr>
          <w:iCs/>
          <w:sz w:val="24"/>
          <w:szCs w:val="22"/>
        </w:rPr>
        <w:t>)</w:t>
      </w:r>
      <w:r w:rsidRPr="000362A5">
        <w:rPr>
          <w:i/>
          <w:iCs/>
          <w:sz w:val="24"/>
          <w:szCs w:val="22"/>
        </w:rPr>
        <w:t xml:space="preserve"> Act </w:t>
      </w:r>
      <w:r w:rsidRPr="000362A5">
        <w:rPr>
          <w:sz w:val="24"/>
          <w:szCs w:val="22"/>
        </w:rPr>
        <w:t>1975 as in force after the commencement of this Act had been in force at all times during the period that commenced on 12 June 1975 and ended immediately before the commencement of this Act.</w:t>
      </w:r>
    </w:p>
    <w:p w14:paraId="545C5E9E" w14:textId="77777777" w:rsidR="00C76A3E" w:rsidRPr="000362A5" w:rsidRDefault="003C2A03" w:rsidP="003329B3">
      <w:pPr>
        <w:shd w:val="clear" w:color="auto" w:fill="FFFFFF"/>
        <w:spacing w:before="60" w:after="60"/>
        <w:ind w:firstLine="288"/>
        <w:jc w:val="both"/>
        <w:rPr>
          <w:sz w:val="24"/>
          <w:szCs w:val="24"/>
        </w:rPr>
      </w:pPr>
      <w:r w:rsidRPr="000362A5">
        <w:rPr>
          <w:sz w:val="24"/>
          <w:szCs w:val="22"/>
        </w:rPr>
        <w:t>(2) Where</w:t>
      </w:r>
      <w:r w:rsidRPr="000362A5">
        <w:rPr>
          <w:rFonts w:eastAsia="Times New Roman"/>
          <w:sz w:val="24"/>
          <w:szCs w:val="22"/>
        </w:rPr>
        <w:t>—</w:t>
      </w:r>
    </w:p>
    <w:p w14:paraId="76A6B973" w14:textId="77777777" w:rsidR="00C76A3E" w:rsidRPr="000362A5" w:rsidRDefault="003C2A03" w:rsidP="003329B3">
      <w:pPr>
        <w:shd w:val="clear" w:color="auto" w:fill="FFFFFF"/>
        <w:spacing w:before="120" w:after="120"/>
        <w:ind w:left="576" w:hanging="288"/>
        <w:jc w:val="both"/>
        <w:rPr>
          <w:sz w:val="24"/>
          <w:szCs w:val="24"/>
        </w:rPr>
      </w:pPr>
      <w:r w:rsidRPr="000362A5">
        <w:rPr>
          <w:sz w:val="24"/>
          <w:szCs w:val="22"/>
        </w:rPr>
        <w:t>(a) before the commencement of this Act an officer of the Australian Postal Commission Service or of the Australian Telecommunications Commission Service purported to appeal against the provisional promotion of an officer of the other of those Services to a vacant position in that other Service; and</w:t>
      </w:r>
    </w:p>
    <w:p w14:paraId="752559C0" w14:textId="77777777" w:rsidR="00C76A3E" w:rsidRPr="000362A5" w:rsidRDefault="003C2A03" w:rsidP="003329B3">
      <w:pPr>
        <w:shd w:val="clear" w:color="auto" w:fill="FFFFFF"/>
        <w:spacing w:before="120" w:after="120"/>
        <w:ind w:left="576" w:hanging="288"/>
        <w:jc w:val="both"/>
        <w:rPr>
          <w:sz w:val="24"/>
          <w:szCs w:val="24"/>
        </w:rPr>
      </w:pPr>
      <w:r w:rsidRPr="000362A5">
        <w:rPr>
          <w:sz w:val="24"/>
          <w:szCs w:val="22"/>
        </w:rPr>
        <w:t>(b) that provisional promotion was neither confirmed nor cancelled before the commencement of this Act,</w:t>
      </w:r>
    </w:p>
    <w:p w14:paraId="34F10706" w14:textId="77777777" w:rsidR="00C76A3E" w:rsidRPr="000362A5" w:rsidRDefault="003C2A03" w:rsidP="000362A5">
      <w:pPr>
        <w:shd w:val="clear" w:color="auto" w:fill="FFFFFF"/>
        <w:jc w:val="both"/>
        <w:rPr>
          <w:sz w:val="24"/>
          <w:szCs w:val="24"/>
        </w:rPr>
      </w:pPr>
      <w:r w:rsidRPr="000362A5">
        <w:rPr>
          <w:sz w:val="24"/>
          <w:szCs w:val="22"/>
        </w:rPr>
        <w:t xml:space="preserve">the appeal, and any inquiry in respect of the appeal and any determination of the appeal by a Promotions Appeal Board, shall be deemed to have been as valid and effectual as they would have been if section 20 of the </w:t>
      </w:r>
      <w:r w:rsidRPr="000362A5">
        <w:rPr>
          <w:i/>
          <w:iCs/>
          <w:sz w:val="24"/>
          <w:szCs w:val="22"/>
        </w:rPr>
        <w:t xml:space="preserve">Postal and Telecommunications Commissions </w:t>
      </w:r>
      <w:r w:rsidR="00234985" w:rsidRPr="000362A5">
        <w:rPr>
          <w:iCs/>
          <w:sz w:val="24"/>
          <w:szCs w:val="22"/>
        </w:rPr>
        <w:t>(</w:t>
      </w:r>
      <w:r w:rsidRPr="000362A5">
        <w:rPr>
          <w:i/>
          <w:iCs/>
          <w:sz w:val="24"/>
          <w:szCs w:val="22"/>
        </w:rPr>
        <w:t>Transitional Provisions</w:t>
      </w:r>
      <w:r w:rsidR="00234985" w:rsidRPr="000362A5">
        <w:rPr>
          <w:iCs/>
          <w:sz w:val="24"/>
          <w:szCs w:val="22"/>
        </w:rPr>
        <w:t>)</w:t>
      </w:r>
      <w:r w:rsidRPr="000362A5">
        <w:rPr>
          <w:i/>
          <w:iCs/>
          <w:sz w:val="24"/>
          <w:szCs w:val="22"/>
        </w:rPr>
        <w:t xml:space="preserve"> Act </w:t>
      </w:r>
      <w:r w:rsidRPr="000362A5">
        <w:rPr>
          <w:sz w:val="24"/>
          <w:szCs w:val="22"/>
        </w:rPr>
        <w:t>1975 as in force after the commencement of this Act had been in force at all times during the period referred to in sub-section (1).</w:t>
      </w:r>
      <w:bookmarkStart w:id="0" w:name="_GoBack"/>
      <w:bookmarkEnd w:id="0"/>
    </w:p>
    <w:sectPr w:rsidR="00C76A3E" w:rsidRPr="000362A5" w:rsidSect="000362A5">
      <w:headerReference w:type="default" r:id="rId7"/>
      <w:pgSz w:w="11909" w:h="18000"/>
      <w:pgMar w:top="1080" w:right="1080" w:bottom="1080" w:left="1080" w:header="720" w:footer="720" w:gutter="0"/>
      <w:cols w:space="720"/>
      <w:noEndnote/>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998AAB" w15:done="0"/>
  <w15:commentEx w15:paraId="2ECBC21D" w15:done="0"/>
  <w15:commentEx w15:paraId="737FD8CF" w15:done="0"/>
  <w15:commentEx w15:paraId="4AD6D9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998AAB" w16cid:durableId="1F66E6BA"/>
  <w16cid:commentId w16cid:paraId="2ECBC21D" w16cid:durableId="1F66E6C6"/>
  <w16cid:commentId w16cid:paraId="737FD8CF" w16cid:durableId="1F66E6E7"/>
  <w16cid:commentId w16cid:paraId="4AD6D9C5" w16cid:durableId="1F66E7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95B3B" w14:textId="77777777" w:rsidR="00F953F9" w:rsidRDefault="00F953F9" w:rsidP="00771DDB">
      <w:r>
        <w:separator/>
      </w:r>
    </w:p>
  </w:endnote>
  <w:endnote w:type="continuationSeparator" w:id="0">
    <w:p w14:paraId="7FCAF10A" w14:textId="77777777" w:rsidR="00F953F9" w:rsidRDefault="00F953F9" w:rsidP="0077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C87FD" w14:textId="77777777" w:rsidR="00F953F9" w:rsidRDefault="00F953F9" w:rsidP="00771DDB">
      <w:r>
        <w:separator/>
      </w:r>
    </w:p>
  </w:footnote>
  <w:footnote w:type="continuationSeparator" w:id="0">
    <w:p w14:paraId="1410C9AD" w14:textId="77777777" w:rsidR="00F953F9" w:rsidRDefault="00F953F9" w:rsidP="00771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1FF7C" w14:textId="77777777" w:rsidR="00771DDB" w:rsidRDefault="00771DDB">
    <w:pPr>
      <w:pStyle w:val="Header"/>
    </w:pPr>
    <w:r>
      <w:rPr>
        <w:sz w:val="22"/>
        <w:szCs w:val="22"/>
      </w:rPr>
      <w:t>No. 95</w:t>
    </w:r>
    <w:r>
      <w:rPr>
        <w:sz w:val="22"/>
        <w:szCs w:val="22"/>
      </w:rPr>
      <w:tab/>
    </w:r>
    <w:r>
      <w:rPr>
        <w:i/>
        <w:iCs/>
        <w:sz w:val="22"/>
        <w:szCs w:val="22"/>
      </w:rPr>
      <w:t>Postal and Telecommunications Commissions</w:t>
    </w:r>
    <w:r>
      <w:rPr>
        <w:i/>
        <w:iCs/>
        <w:sz w:val="22"/>
        <w:szCs w:val="22"/>
      </w:rPr>
      <w:tab/>
    </w:r>
    <w:r>
      <w:rPr>
        <w:sz w:val="22"/>
        <w:szCs w:val="22"/>
      </w:rPr>
      <w:t>1977</w:t>
    </w:r>
  </w:p>
  <w:p w14:paraId="1282EADA" w14:textId="77777777" w:rsidR="00771DDB" w:rsidRDefault="00771DDB" w:rsidP="00771DDB">
    <w:pPr>
      <w:pStyle w:val="Header"/>
      <w:jc w:val="center"/>
    </w:pPr>
    <w:r>
      <w:rPr>
        <w:i/>
        <w:iCs/>
        <w:sz w:val="22"/>
        <w:szCs w:val="22"/>
      </w:rPr>
      <w:t>(Transitional Provisions) Amendment</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revisionView w:markup="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985"/>
    <w:rsid w:val="00024C96"/>
    <w:rsid w:val="00025096"/>
    <w:rsid w:val="00031427"/>
    <w:rsid w:val="000362A5"/>
    <w:rsid w:val="000427D1"/>
    <w:rsid w:val="000F6E34"/>
    <w:rsid w:val="001B54C6"/>
    <w:rsid w:val="00234985"/>
    <w:rsid w:val="003329B3"/>
    <w:rsid w:val="003C2A03"/>
    <w:rsid w:val="00410EF8"/>
    <w:rsid w:val="00491721"/>
    <w:rsid w:val="006F6E4D"/>
    <w:rsid w:val="00771DDB"/>
    <w:rsid w:val="007A55AE"/>
    <w:rsid w:val="00945537"/>
    <w:rsid w:val="00AC0C1E"/>
    <w:rsid w:val="00B23F7F"/>
    <w:rsid w:val="00C76A3E"/>
    <w:rsid w:val="00F56344"/>
    <w:rsid w:val="00F946DB"/>
    <w:rsid w:val="00F9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1EED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DDB"/>
    <w:pPr>
      <w:tabs>
        <w:tab w:val="center" w:pos="4680"/>
        <w:tab w:val="right" w:pos="9360"/>
      </w:tabs>
    </w:pPr>
  </w:style>
  <w:style w:type="character" w:customStyle="1" w:styleId="HeaderChar">
    <w:name w:val="Header Char"/>
    <w:basedOn w:val="DefaultParagraphFont"/>
    <w:link w:val="Header"/>
    <w:uiPriority w:val="99"/>
    <w:rsid w:val="00771DDB"/>
    <w:rPr>
      <w:rFonts w:ascii="Times New Roman" w:hAnsi="Times New Roman" w:cs="Times New Roman"/>
      <w:sz w:val="20"/>
      <w:szCs w:val="20"/>
    </w:rPr>
  </w:style>
  <w:style w:type="paragraph" w:styleId="Footer">
    <w:name w:val="footer"/>
    <w:basedOn w:val="Normal"/>
    <w:link w:val="FooterChar"/>
    <w:uiPriority w:val="99"/>
    <w:unhideWhenUsed/>
    <w:rsid w:val="00771DDB"/>
    <w:pPr>
      <w:tabs>
        <w:tab w:val="center" w:pos="4680"/>
        <w:tab w:val="right" w:pos="9360"/>
      </w:tabs>
    </w:pPr>
  </w:style>
  <w:style w:type="character" w:customStyle="1" w:styleId="FooterChar">
    <w:name w:val="Footer Char"/>
    <w:basedOn w:val="DefaultParagraphFont"/>
    <w:link w:val="Footer"/>
    <w:uiPriority w:val="99"/>
    <w:rsid w:val="00771DDB"/>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71DDB"/>
    <w:rPr>
      <w:rFonts w:ascii="Tahoma" w:hAnsi="Tahoma" w:cs="Tahoma"/>
      <w:sz w:val="16"/>
      <w:szCs w:val="16"/>
    </w:rPr>
  </w:style>
  <w:style w:type="character" w:customStyle="1" w:styleId="BalloonTextChar">
    <w:name w:val="Balloon Text Char"/>
    <w:basedOn w:val="DefaultParagraphFont"/>
    <w:link w:val="BalloonText"/>
    <w:uiPriority w:val="99"/>
    <w:semiHidden/>
    <w:rsid w:val="00771DDB"/>
    <w:rPr>
      <w:rFonts w:ascii="Tahoma" w:hAnsi="Tahoma" w:cs="Tahoma"/>
      <w:sz w:val="16"/>
      <w:szCs w:val="16"/>
    </w:rPr>
  </w:style>
  <w:style w:type="character" w:styleId="CommentReference">
    <w:name w:val="annotation reference"/>
    <w:basedOn w:val="DefaultParagraphFont"/>
    <w:uiPriority w:val="99"/>
    <w:semiHidden/>
    <w:unhideWhenUsed/>
    <w:rsid w:val="00F946DB"/>
    <w:rPr>
      <w:sz w:val="16"/>
      <w:szCs w:val="16"/>
    </w:rPr>
  </w:style>
  <w:style w:type="paragraph" w:styleId="CommentText">
    <w:name w:val="annotation text"/>
    <w:basedOn w:val="Normal"/>
    <w:link w:val="CommentTextChar"/>
    <w:uiPriority w:val="99"/>
    <w:semiHidden/>
    <w:unhideWhenUsed/>
    <w:rsid w:val="00F946DB"/>
  </w:style>
  <w:style w:type="character" w:customStyle="1" w:styleId="CommentTextChar">
    <w:name w:val="Comment Text Char"/>
    <w:basedOn w:val="DefaultParagraphFont"/>
    <w:link w:val="CommentText"/>
    <w:uiPriority w:val="99"/>
    <w:semiHidden/>
    <w:rsid w:val="00F946D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46DB"/>
    <w:rPr>
      <w:b/>
      <w:bCs/>
    </w:rPr>
  </w:style>
  <w:style w:type="character" w:customStyle="1" w:styleId="CommentSubjectChar">
    <w:name w:val="Comment Subject Char"/>
    <w:basedOn w:val="CommentTextChar"/>
    <w:link w:val="CommentSubject"/>
    <w:uiPriority w:val="99"/>
    <w:semiHidden/>
    <w:rsid w:val="00F946DB"/>
    <w:rPr>
      <w:rFonts w:ascii="Times New Roman" w:hAnsi="Times New Roman" w:cs="Times New Roman"/>
      <w:b/>
      <w:bCs/>
      <w:sz w:val="20"/>
      <w:szCs w:val="20"/>
    </w:rPr>
  </w:style>
  <w:style w:type="paragraph" w:styleId="Revision">
    <w:name w:val="Revision"/>
    <w:hidden/>
    <w:uiPriority w:val="99"/>
    <w:semiHidden/>
    <w:rsid w:val="000F6E34"/>
    <w:pPr>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DDB"/>
    <w:pPr>
      <w:tabs>
        <w:tab w:val="center" w:pos="4680"/>
        <w:tab w:val="right" w:pos="9360"/>
      </w:tabs>
    </w:pPr>
  </w:style>
  <w:style w:type="character" w:customStyle="1" w:styleId="HeaderChar">
    <w:name w:val="Header Char"/>
    <w:basedOn w:val="DefaultParagraphFont"/>
    <w:link w:val="Header"/>
    <w:uiPriority w:val="99"/>
    <w:rsid w:val="00771DDB"/>
    <w:rPr>
      <w:rFonts w:ascii="Times New Roman" w:hAnsi="Times New Roman" w:cs="Times New Roman"/>
      <w:sz w:val="20"/>
      <w:szCs w:val="20"/>
    </w:rPr>
  </w:style>
  <w:style w:type="paragraph" w:styleId="Footer">
    <w:name w:val="footer"/>
    <w:basedOn w:val="Normal"/>
    <w:link w:val="FooterChar"/>
    <w:uiPriority w:val="99"/>
    <w:unhideWhenUsed/>
    <w:rsid w:val="00771DDB"/>
    <w:pPr>
      <w:tabs>
        <w:tab w:val="center" w:pos="4680"/>
        <w:tab w:val="right" w:pos="9360"/>
      </w:tabs>
    </w:pPr>
  </w:style>
  <w:style w:type="character" w:customStyle="1" w:styleId="FooterChar">
    <w:name w:val="Footer Char"/>
    <w:basedOn w:val="DefaultParagraphFont"/>
    <w:link w:val="Footer"/>
    <w:uiPriority w:val="99"/>
    <w:rsid w:val="00771DDB"/>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71DDB"/>
    <w:rPr>
      <w:rFonts w:ascii="Tahoma" w:hAnsi="Tahoma" w:cs="Tahoma"/>
      <w:sz w:val="16"/>
      <w:szCs w:val="16"/>
    </w:rPr>
  </w:style>
  <w:style w:type="character" w:customStyle="1" w:styleId="BalloonTextChar">
    <w:name w:val="Balloon Text Char"/>
    <w:basedOn w:val="DefaultParagraphFont"/>
    <w:link w:val="BalloonText"/>
    <w:uiPriority w:val="99"/>
    <w:semiHidden/>
    <w:rsid w:val="00771DDB"/>
    <w:rPr>
      <w:rFonts w:ascii="Tahoma" w:hAnsi="Tahoma" w:cs="Tahoma"/>
      <w:sz w:val="16"/>
      <w:szCs w:val="16"/>
    </w:rPr>
  </w:style>
  <w:style w:type="character" w:styleId="CommentReference">
    <w:name w:val="annotation reference"/>
    <w:basedOn w:val="DefaultParagraphFont"/>
    <w:uiPriority w:val="99"/>
    <w:semiHidden/>
    <w:unhideWhenUsed/>
    <w:rsid w:val="00F946DB"/>
    <w:rPr>
      <w:sz w:val="16"/>
      <w:szCs w:val="16"/>
    </w:rPr>
  </w:style>
  <w:style w:type="paragraph" w:styleId="CommentText">
    <w:name w:val="annotation text"/>
    <w:basedOn w:val="Normal"/>
    <w:link w:val="CommentTextChar"/>
    <w:uiPriority w:val="99"/>
    <w:semiHidden/>
    <w:unhideWhenUsed/>
    <w:rsid w:val="00F946DB"/>
  </w:style>
  <w:style w:type="character" w:customStyle="1" w:styleId="CommentTextChar">
    <w:name w:val="Comment Text Char"/>
    <w:basedOn w:val="DefaultParagraphFont"/>
    <w:link w:val="CommentText"/>
    <w:uiPriority w:val="99"/>
    <w:semiHidden/>
    <w:rsid w:val="00F946D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46DB"/>
    <w:rPr>
      <w:b/>
      <w:bCs/>
    </w:rPr>
  </w:style>
  <w:style w:type="character" w:customStyle="1" w:styleId="CommentSubjectChar">
    <w:name w:val="Comment Subject Char"/>
    <w:basedOn w:val="CommentTextChar"/>
    <w:link w:val="CommentSubject"/>
    <w:uiPriority w:val="99"/>
    <w:semiHidden/>
    <w:rsid w:val="00F946DB"/>
    <w:rPr>
      <w:rFonts w:ascii="Times New Roman" w:hAnsi="Times New Roman" w:cs="Times New Roman"/>
      <w:b/>
      <w:bCs/>
      <w:sz w:val="20"/>
      <w:szCs w:val="20"/>
    </w:rPr>
  </w:style>
  <w:style w:type="paragraph" w:styleId="Revision">
    <w:name w:val="Revision"/>
    <w:hidden/>
    <w:uiPriority w:val="99"/>
    <w:semiHidden/>
    <w:rsid w:val="000F6E34"/>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475</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dc:creator>
  <cp:lastModifiedBy>Harper, Michael</cp:lastModifiedBy>
  <cp:revision>3</cp:revision>
  <dcterms:created xsi:type="dcterms:W3CDTF">2018-10-08T22:36:00Z</dcterms:created>
  <dcterms:modified xsi:type="dcterms:W3CDTF">2019-08-30T02:21:00Z</dcterms:modified>
</cp:coreProperties>
</file>